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0339A2">
      <w:pPr>
        <w:pStyle w:val="2"/>
        <w:spacing w:before="1" w:line="184" w:lineRule="auto"/>
        <w:jc w:val="center"/>
        <w:rPr>
          <w:rFonts w:ascii="黑体" w:hAnsi="黑体" w:eastAsia="黑体"/>
          <w:position w:val="-1"/>
          <w:sz w:val="44"/>
          <w:szCs w:val="44"/>
          <w:lang w:eastAsia="zh-CN"/>
        </w:rPr>
      </w:pPr>
      <w:r>
        <w:rPr>
          <w:rFonts w:ascii="黑体" w:hAnsi="黑体" w:eastAsia="黑体"/>
          <w:position w:val="-1"/>
          <w:sz w:val="44"/>
          <w:szCs w:val="44"/>
          <w:lang w:eastAsia="zh-CN"/>
        </w:rPr>
        <w:t>四川宏达股份有限公司</w:t>
      </w:r>
    </w:p>
    <w:p w14:paraId="327DAC2B">
      <w:pPr>
        <w:spacing w:before="100" w:after="100"/>
        <w:jc w:val="center"/>
        <w:rPr>
          <w:rFonts w:ascii="黑体" w:hAnsi="黑体" w:eastAsia="黑体" w:cs="宋体"/>
          <w:b/>
          <w:bCs/>
          <w:color w:val="auto"/>
          <w:sz w:val="44"/>
          <w:szCs w:val="44"/>
          <w:lang w:eastAsia="zh-CN"/>
        </w:rPr>
      </w:pPr>
      <w:r>
        <w:rPr>
          <w:rFonts w:hint="eastAsia" w:ascii="黑体" w:hAnsi="黑体" w:eastAsia="黑体" w:cs="宋体"/>
          <w:b/>
          <w:bCs/>
          <w:color w:val="auto"/>
          <w:sz w:val="44"/>
          <w:szCs w:val="44"/>
          <w:lang w:eastAsia="zh-CN"/>
        </w:rPr>
        <w:t>什邡磷化工分公司</w:t>
      </w:r>
    </w:p>
    <w:p w14:paraId="5B659D58">
      <w:pPr>
        <w:spacing w:before="100" w:after="100"/>
        <w:jc w:val="center"/>
        <w:rPr>
          <w:rFonts w:ascii="黑体" w:hAnsi="黑体" w:eastAsia="黑体" w:cs="黑体"/>
          <w:color w:val="auto"/>
          <w:sz w:val="44"/>
          <w:szCs w:val="44"/>
          <w:lang w:eastAsia="zh-CN"/>
        </w:rPr>
      </w:pPr>
      <w:r>
        <w:rPr>
          <w:rFonts w:hint="eastAsia" w:ascii="黑体" w:hAnsi="黑体" w:eastAsia="黑体" w:cs="宋体"/>
          <w:b/>
          <w:bCs/>
          <w:color w:val="auto"/>
          <w:sz w:val="44"/>
          <w:szCs w:val="44"/>
          <w:lang w:eastAsia="zh-CN"/>
        </w:rPr>
        <w:t>动力厂氢氧化钙采购</w:t>
      </w:r>
    </w:p>
    <w:p w14:paraId="2AD68319">
      <w:pPr>
        <w:jc w:val="both"/>
        <w:rPr>
          <w:rFonts w:ascii="宋体" w:hAnsi="宋体" w:eastAsia="宋体"/>
          <w:b/>
          <w:sz w:val="72"/>
          <w:szCs w:val="72"/>
          <w:lang w:eastAsia="zh-CN"/>
        </w:rPr>
      </w:pPr>
    </w:p>
    <w:p w14:paraId="49F386E1">
      <w:pPr>
        <w:pStyle w:val="2"/>
        <w:rPr>
          <w:rFonts w:ascii="宋体" w:hAnsi="宋体" w:eastAsia="宋体"/>
          <w:b/>
          <w:sz w:val="72"/>
          <w:szCs w:val="72"/>
          <w:lang w:eastAsia="zh-CN"/>
        </w:rPr>
      </w:pPr>
    </w:p>
    <w:p w14:paraId="05D7115F">
      <w:pPr>
        <w:pStyle w:val="6"/>
        <w:rPr>
          <w:rFonts w:ascii="宋体" w:hAnsi="宋体" w:eastAsia="宋体"/>
          <w:b/>
          <w:sz w:val="72"/>
          <w:szCs w:val="72"/>
        </w:rPr>
      </w:pPr>
    </w:p>
    <w:p w14:paraId="3D0C7A9E">
      <w:pPr>
        <w:rPr>
          <w:lang w:eastAsia="zh-CN"/>
        </w:rPr>
      </w:pPr>
    </w:p>
    <w:p w14:paraId="0644B07E">
      <w:pPr>
        <w:pStyle w:val="6"/>
      </w:pPr>
    </w:p>
    <w:p w14:paraId="779E81F6">
      <w:pPr>
        <w:jc w:val="center"/>
        <w:rPr>
          <w:rFonts w:ascii="宋体" w:hAnsi="宋体" w:eastAsia="宋体"/>
          <w:b/>
          <w:sz w:val="72"/>
          <w:szCs w:val="72"/>
          <w:lang w:eastAsia="zh-CN"/>
        </w:rPr>
      </w:pPr>
      <w:r>
        <w:rPr>
          <w:rFonts w:hint="eastAsia" w:ascii="宋体" w:hAnsi="宋体" w:eastAsia="宋体"/>
          <w:b/>
          <w:sz w:val="72"/>
          <w:szCs w:val="72"/>
          <w:lang w:eastAsia="zh-CN"/>
        </w:rPr>
        <w:t>比选文件</w:t>
      </w:r>
    </w:p>
    <w:p w14:paraId="37B8E9D1">
      <w:pPr>
        <w:pStyle w:val="2"/>
        <w:jc w:val="center"/>
        <w:rPr>
          <w:rFonts w:ascii="黑体" w:hAnsi="黑体" w:eastAsia="黑体" w:cs="宋体"/>
          <w:bCs/>
          <w:color w:val="auto"/>
          <w:sz w:val="32"/>
          <w:szCs w:val="32"/>
          <w:lang w:eastAsia="zh-CN"/>
        </w:rPr>
      </w:pPr>
    </w:p>
    <w:p w14:paraId="02177111">
      <w:pPr>
        <w:pStyle w:val="2"/>
        <w:jc w:val="center"/>
        <w:rPr>
          <w:rFonts w:hint="default" w:ascii="Times New Roman" w:hAnsi="Times New Roman" w:eastAsia="黑体" w:cs="Times New Roman"/>
          <w:sz w:val="32"/>
          <w:szCs w:val="32"/>
          <w:lang w:val="en-US" w:eastAsia="zh-CN"/>
        </w:rPr>
      </w:pPr>
      <w:r>
        <w:rPr>
          <w:rFonts w:hint="default" w:ascii="Times New Roman" w:hAnsi="Times New Roman" w:eastAsia="黑体" w:cs="Times New Roman"/>
          <w:bCs/>
          <w:color w:val="auto"/>
          <w:sz w:val="32"/>
          <w:szCs w:val="32"/>
          <w:lang w:eastAsia="zh-CN"/>
        </w:rPr>
        <w:t>编号：</w:t>
      </w:r>
      <w:r>
        <w:rPr>
          <w:rFonts w:hint="default" w:ascii="Times New Roman" w:hAnsi="Times New Roman" w:eastAsia="黑体" w:cs="Times New Roman"/>
          <w:sz w:val="32"/>
          <w:szCs w:val="32"/>
          <w:lang w:eastAsia="zh-CN"/>
        </w:rPr>
        <w:t>SFLHG-GKBX-2026-HW</w:t>
      </w:r>
      <w:r>
        <w:rPr>
          <w:rFonts w:hint="default" w:ascii="Times New Roman" w:hAnsi="Times New Roman" w:eastAsia="黑体" w:cs="Times New Roman"/>
          <w:sz w:val="32"/>
          <w:szCs w:val="32"/>
          <w:lang w:val="en-US" w:eastAsia="zh-CN"/>
        </w:rPr>
        <w:t>124</w:t>
      </w:r>
    </w:p>
    <w:p w14:paraId="1B442361">
      <w:pPr>
        <w:spacing w:line="360" w:lineRule="auto"/>
        <w:jc w:val="center"/>
        <w:rPr>
          <w:rFonts w:ascii="宋体" w:hAnsi="宋体" w:eastAsia="宋体"/>
          <w:sz w:val="48"/>
          <w:szCs w:val="48"/>
          <w:lang w:val="zh-CN" w:eastAsia="zh-CN"/>
        </w:rPr>
      </w:pPr>
    </w:p>
    <w:p w14:paraId="4CAEC44D">
      <w:pPr>
        <w:spacing w:line="360" w:lineRule="auto"/>
        <w:rPr>
          <w:rFonts w:ascii="宋体" w:hAnsi="宋体" w:eastAsia="宋体" w:cs="黑体"/>
          <w:lang w:val="zh-CN" w:eastAsia="zh-CN"/>
        </w:rPr>
      </w:pPr>
    </w:p>
    <w:p w14:paraId="1890BD28">
      <w:pPr>
        <w:jc w:val="center"/>
        <w:rPr>
          <w:rFonts w:ascii="宋体" w:hAnsi="宋体" w:eastAsia="宋体" w:cs="黑体"/>
          <w:lang w:val="zh-CN" w:eastAsia="zh-CN"/>
        </w:rPr>
      </w:pPr>
    </w:p>
    <w:p w14:paraId="5DF9569F">
      <w:pPr>
        <w:jc w:val="center"/>
        <w:rPr>
          <w:rFonts w:ascii="宋体" w:hAnsi="宋体" w:eastAsia="宋体" w:cs="黑体"/>
          <w:lang w:val="zh-CN" w:eastAsia="zh-CN"/>
        </w:rPr>
      </w:pPr>
    </w:p>
    <w:p w14:paraId="2C3DF9B8">
      <w:pPr>
        <w:jc w:val="center"/>
        <w:rPr>
          <w:rFonts w:ascii="宋体" w:hAnsi="宋体" w:eastAsia="宋体" w:cs="黑体"/>
          <w:lang w:val="zh-CN" w:eastAsia="zh-CN"/>
        </w:rPr>
      </w:pPr>
    </w:p>
    <w:p w14:paraId="28C7682A">
      <w:pPr>
        <w:jc w:val="center"/>
        <w:rPr>
          <w:rFonts w:ascii="宋体" w:hAnsi="宋体" w:eastAsia="宋体" w:cs="黑体"/>
          <w:lang w:val="zh-CN" w:eastAsia="zh-CN"/>
        </w:rPr>
      </w:pPr>
    </w:p>
    <w:p w14:paraId="7FCD9EF5">
      <w:pPr>
        <w:jc w:val="center"/>
        <w:rPr>
          <w:rFonts w:ascii="宋体" w:hAnsi="宋体" w:eastAsia="宋体" w:cs="黑体"/>
          <w:lang w:val="zh-CN" w:eastAsia="zh-CN"/>
        </w:rPr>
      </w:pPr>
    </w:p>
    <w:p w14:paraId="0B8BDE39">
      <w:pPr>
        <w:spacing w:line="600" w:lineRule="auto"/>
        <w:ind w:firstLine="2127" w:firstLineChars="709"/>
        <w:rPr>
          <w:rFonts w:ascii="宋体" w:hAnsi="宋体" w:eastAsia="宋体"/>
          <w:sz w:val="30"/>
          <w:szCs w:val="30"/>
          <w:lang w:eastAsia="zh-CN"/>
        </w:rPr>
      </w:pPr>
    </w:p>
    <w:p w14:paraId="193798F3">
      <w:pPr>
        <w:widowControl w:val="0"/>
        <w:kinsoku/>
        <w:autoSpaceDE/>
        <w:autoSpaceDN/>
        <w:adjustRightInd/>
        <w:snapToGrid/>
        <w:spacing w:line="480" w:lineRule="auto"/>
        <w:ind w:left="1050" w:leftChars="500" w:right="1050" w:rightChars="500"/>
        <w:jc w:val="center"/>
        <w:textAlignment w:val="auto"/>
        <w:rPr>
          <w:rFonts w:ascii="黑体" w:hAnsi="黑体" w:eastAsia="黑体"/>
          <w:b/>
          <w:bCs/>
          <w:color w:val="auto"/>
          <w:sz w:val="32"/>
          <w:szCs w:val="32"/>
          <w:lang w:eastAsia="zh-CN"/>
        </w:rPr>
      </w:pPr>
      <w:r>
        <w:rPr>
          <w:rFonts w:hint="eastAsia" w:ascii="黑体" w:hAnsi="黑体" w:eastAsia="黑体"/>
          <w:b/>
          <w:bCs/>
          <w:sz w:val="32"/>
          <w:szCs w:val="32"/>
          <w:lang w:eastAsia="zh-CN"/>
        </w:rPr>
        <w:t>比选人：</w:t>
      </w:r>
      <w:r>
        <w:rPr>
          <w:rFonts w:hint="eastAsia" w:ascii="黑体" w:hAnsi="黑体" w:eastAsia="黑体"/>
          <w:b/>
          <w:bCs/>
          <w:color w:val="auto"/>
          <w:sz w:val="32"/>
          <w:szCs w:val="32"/>
          <w:lang w:eastAsia="zh-CN"/>
        </w:rPr>
        <w:t>四川宏达股份有限公司</w:t>
      </w:r>
    </w:p>
    <w:p w14:paraId="594EE53B">
      <w:pPr>
        <w:spacing w:line="480" w:lineRule="auto"/>
        <w:jc w:val="center"/>
        <w:rPr>
          <w:rFonts w:ascii="黑体" w:hAnsi="黑体" w:eastAsia="黑体" w:cs="黑体"/>
          <w:b/>
          <w:bCs/>
          <w:sz w:val="32"/>
          <w:szCs w:val="32"/>
          <w:lang w:val="zh-CN" w:eastAsia="zh-CN"/>
        </w:rPr>
      </w:pPr>
    </w:p>
    <w:p w14:paraId="281EC050">
      <w:pPr>
        <w:spacing w:line="480" w:lineRule="auto"/>
        <w:jc w:val="center"/>
        <w:rPr>
          <w:rFonts w:hint="default" w:ascii="宋体" w:hAnsi="宋体" w:eastAsia="宋体"/>
          <w:b/>
          <w:sz w:val="30"/>
          <w:szCs w:val="30"/>
          <w:lang w:val="en-US" w:eastAsia="zh-CN"/>
        </w:rPr>
        <w:sectPr>
          <w:footerReference r:id="rId5" w:type="first"/>
          <w:headerReference r:id="rId3" w:type="default"/>
          <w:footerReference r:id="rId4" w:type="default"/>
          <w:pgSz w:w="11906" w:h="16838"/>
          <w:pgMar w:top="1417" w:right="1417" w:bottom="1417" w:left="1417" w:header="851" w:footer="992" w:gutter="0"/>
          <w:cols w:space="720" w:num="1"/>
          <w:docGrid w:linePitch="312" w:charSpace="0"/>
        </w:sectPr>
      </w:pPr>
      <w:r>
        <w:rPr>
          <w:rFonts w:hint="eastAsia" w:ascii="黑体" w:hAnsi="黑体" w:eastAsia="黑体" w:cs="黑体"/>
          <w:b/>
          <w:bCs/>
          <w:sz w:val="32"/>
          <w:szCs w:val="32"/>
          <w:lang w:val="zh-CN" w:eastAsia="zh-CN"/>
        </w:rPr>
        <w:t>20</w:t>
      </w:r>
      <w:r>
        <w:rPr>
          <w:rFonts w:hint="eastAsia" w:ascii="黑体" w:hAnsi="黑体" w:eastAsia="黑体" w:cs="黑体"/>
          <w:b/>
          <w:bCs/>
          <w:sz w:val="32"/>
          <w:szCs w:val="32"/>
          <w:lang w:eastAsia="zh-CN"/>
        </w:rPr>
        <w:t>26</w:t>
      </w:r>
      <w:r>
        <w:rPr>
          <w:rFonts w:hint="eastAsia" w:ascii="黑体" w:hAnsi="黑体" w:eastAsia="黑体" w:cs="黑体"/>
          <w:b/>
          <w:bCs/>
          <w:sz w:val="32"/>
          <w:szCs w:val="32"/>
          <w:lang w:val="zh-CN" w:eastAsia="zh-CN"/>
        </w:rPr>
        <w:t>年</w:t>
      </w:r>
      <w:r>
        <w:rPr>
          <w:rFonts w:hint="eastAsia" w:ascii="黑体" w:hAnsi="黑体" w:eastAsia="黑体" w:cs="黑体"/>
          <w:b/>
          <w:bCs/>
          <w:sz w:val="32"/>
          <w:szCs w:val="32"/>
          <w:lang w:val="en-US" w:eastAsia="zh-CN"/>
        </w:rPr>
        <w:t>9</w:t>
      </w:r>
      <w:r>
        <w:rPr>
          <w:rFonts w:hint="eastAsia" w:ascii="黑体" w:hAnsi="黑体" w:eastAsia="黑体" w:cs="黑体"/>
          <w:b/>
          <w:bCs/>
          <w:sz w:val="32"/>
          <w:szCs w:val="32"/>
          <w:lang w:eastAsia="zh-CN"/>
        </w:rPr>
        <w:t>月</w:t>
      </w:r>
      <w:r>
        <w:rPr>
          <w:rFonts w:hint="eastAsia" w:ascii="黑体" w:hAnsi="黑体" w:eastAsia="黑体" w:cs="黑体"/>
          <w:b/>
          <w:bCs/>
          <w:sz w:val="32"/>
          <w:szCs w:val="32"/>
          <w:lang w:val="en-US" w:eastAsia="zh-CN"/>
        </w:rPr>
        <w:t>14日</w:t>
      </w:r>
    </w:p>
    <w:p w14:paraId="48FCDC98">
      <w:pPr>
        <w:pStyle w:val="2"/>
        <w:spacing w:before="1" w:line="184" w:lineRule="auto"/>
        <w:rPr>
          <w:position w:val="-1"/>
          <w:sz w:val="16"/>
          <w:szCs w:val="16"/>
          <w:lang w:eastAsia="zh-CN"/>
        </w:rPr>
      </w:pPr>
    </w:p>
    <w:p w14:paraId="347572D3">
      <w:pPr>
        <w:keepNext w:val="0"/>
        <w:keepLines w:val="0"/>
        <w:pageBreakBefore w:val="0"/>
        <w:widowControl/>
        <w:shd w:val="clear" w:color="auto" w:fill="FFFFFF"/>
        <w:kinsoku w:val="0"/>
        <w:wordWrap/>
        <w:overflowPunct/>
        <w:topLinePunct w:val="0"/>
        <w:autoSpaceDE w:val="0"/>
        <w:autoSpaceDN w:val="0"/>
        <w:bidi w:val="0"/>
        <w:adjustRightInd w:val="0"/>
        <w:snapToGrid w:val="0"/>
        <w:spacing w:line="570" w:lineRule="exact"/>
        <w:ind w:firstLine="371"/>
        <w:jc w:val="center"/>
        <w:textAlignment w:val="baseline"/>
        <w:rPr>
          <w:rFonts w:ascii="黑体" w:hAnsi="黑体" w:eastAsia="黑体" w:cs="宋体"/>
          <w:b/>
          <w:color w:val="333333"/>
          <w:sz w:val="32"/>
          <w:szCs w:val="32"/>
          <w:lang w:eastAsia="zh-CN"/>
        </w:rPr>
      </w:pPr>
    </w:p>
    <w:p w14:paraId="4B172585">
      <w:pPr>
        <w:keepNext w:val="0"/>
        <w:keepLines w:val="0"/>
        <w:pageBreakBefore w:val="0"/>
        <w:widowControl/>
        <w:shd w:val="clear" w:color="auto" w:fill="FFFFFF"/>
        <w:kinsoku w:val="0"/>
        <w:wordWrap/>
        <w:overflowPunct/>
        <w:topLinePunct w:val="0"/>
        <w:autoSpaceDE w:val="0"/>
        <w:autoSpaceDN w:val="0"/>
        <w:bidi w:val="0"/>
        <w:adjustRightInd w:val="0"/>
        <w:snapToGrid w:val="0"/>
        <w:spacing w:line="570" w:lineRule="exact"/>
        <w:ind w:firstLine="369"/>
        <w:jc w:val="center"/>
        <w:textAlignment w:val="baseline"/>
        <w:rPr>
          <w:rFonts w:ascii="黑体" w:hAnsi="黑体" w:eastAsia="黑体" w:cs="宋体"/>
          <w:b/>
          <w:color w:val="333333"/>
          <w:sz w:val="32"/>
          <w:szCs w:val="32"/>
          <w:lang w:eastAsia="zh-CN"/>
        </w:rPr>
      </w:pPr>
      <w:r>
        <w:rPr>
          <w:rFonts w:hint="eastAsia" w:ascii="黑体" w:hAnsi="黑体" w:eastAsia="黑体" w:cs="宋体"/>
          <w:b/>
          <w:color w:val="333333"/>
          <w:sz w:val="44"/>
          <w:szCs w:val="44"/>
          <w:lang w:eastAsia="zh-CN"/>
        </w:rPr>
        <w:t>第一章</w:t>
      </w:r>
    </w:p>
    <w:p w14:paraId="7DB4B509">
      <w:pPr>
        <w:keepNext w:val="0"/>
        <w:keepLines w:val="0"/>
        <w:pageBreakBefore w:val="0"/>
        <w:widowControl/>
        <w:shd w:val="clear" w:color="auto" w:fill="FFFFFF"/>
        <w:kinsoku w:val="0"/>
        <w:wordWrap/>
        <w:overflowPunct/>
        <w:topLinePunct w:val="0"/>
        <w:autoSpaceDE w:val="0"/>
        <w:autoSpaceDN w:val="0"/>
        <w:bidi w:val="0"/>
        <w:adjustRightInd w:val="0"/>
        <w:snapToGrid w:val="0"/>
        <w:spacing w:line="570" w:lineRule="exact"/>
        <w:ind w:firstLine="369"/>
        <w:jc w:val="center"/>
        <w:textAlignment w:val="baseline"/>
        <w:rPr>
          <w:rFonts w:ascii="黑体" w:hAnsi="黑体" w:eastAsia="黑体" w:cs="宋体"/>
          <w:b/>
          <w:color w:val="333333"/>
          <w:sz w:val="32"/>
          <w:szCs w:val="32"/>
          <w:lang w:eastAsia="zh-CN"/>
        </w:rPr>
      </w:pPr>
      <w:r>
        <w:rPr>
          <w:rFonts w:hint="eastAsia" w:ascii="黑体" w:hAnsi="黑体" w:eastAsia="黑体" w:cs="宋体"/>
          <w:b/>
          <w:color w:val="333333"/>
          <w:sz w:val="44"/>
          <w:szCs w:val="44"/>
          <w:lang w:eastAsia="zh-CN"/>
        </w:rPr>
        <w:t>四川宏达股份有限公司</w:t>
      </w:r>
      <w:r>
        <w:rPr>
          <w:rFonts w:hint="eastAsia" w:ascii="黑体" w:hAnsi="黑体" w:eastAsia="黑体" w:cs="宋体"/>
          <w:b/>
          <w:color w:val="333333"/>
          <w:sz w:val="32"/>
          <w:szCs w:val="32"/>
          <w:lang w:eastAsia="zh-CN"/>
        </w:rPr>
        <w:t xml:space="preserve">    </w:t>
      </w:r>
    </w:p>
    <w:p w14:paraId="24D50491">
      <w:pPr>
        <w:keepNext w:val="0"/>
        <w:keepLines w:val="0"/>
        <w:pageBreakBefore w:val="0"/>
        <w:widowControl/>
        <w:kinsoku w:val="0"/>
        <w:wordWrap/>
        <w:overflowPunct/>
        <w:topLinePunct w:val="0"/>
        <w:autoSpaceDE w:val="0"/>
        <w:autoSpaceDN w:val="0"/>
        <w:bidi w:val="0"/>
        <w:adjustRightInd w:val="0"/>
        <w:snapToGrid w:val="0"/>
        <w:spacing w:line="570" w:lineRule="exact"/>
        <w:jc w:val="center"/>
        <w:textAlignment w:val="baseline"/>
        <w:rPr>
          <w:rFonts w:ascii="黑体" w:hAnsi="黑体" w:eastAsia="黑体" w:cs="宋体"/>
          <w:b/>
          <w:color w:val="auto"/>
          <w:sz w:val="32"/>
          <w:szCs w:val="32"/>
          <w:lang w:eastAsia="zh-CN"/>
        </w:rPr>
      </w:pPr>
      <w:r>
        <w:rPr>
          <w:rFonts w:hint="eastAsia" w:ascii="黑体" w:hAnsi="黑体" w:eastAsia="黑体" w:cs="宋体"/>
          <w:b/>
          <w:bCs/>
          <w:color w:val="auto"/>
          <w:sz w:val="32"/>
          <w:szCs w:val="32"/>
          <w:lang w:eastAsia="zh-CN"/>
        </w:rPr>
        <w:t>什邡磷化工动力厂氢氧化钙</w:t>
      </w:r>
      <w:r>
        <w:rPr>
          <w:rFonts w:hint="eastAsia" w:ascii="黑体" w:hAnsi="黑体" w:eastAsia="黑体" w:cs="宋体"/>
          <w:b/>
          <w:color w:val="333333"/>
          <w:sz w:val="32"/>
          <w:szCs w:val="32"/>
          <w:lang w:eastAsia="zh-CN"/>
        </w:rPr>
        <w:t>采购比选文件</w:t>
      </w:r>
      <w:r>
        <w:rPr>
          <w:rFonts w:hint="eastAsia" w:ascii="黑体" w:hAnsi="黑体" w:eastAsia="黑体" w:cs="宋体"/>
          <w:b/>
          <w:color w:val="auto"/>
          <w:sz w:val="32"/>
          <w:szCs w:val="32"/>
          <w:lang w:eastAsia="zh-CN"/>
        </w:rPr>
        <w:t xml:space="preserve">                     </w:t>
      </w:r>
    </w:p>
    <w:p w14:paraId="754BCF15">
      <w:pPr>
        <w:pStyle w:val="2"/>
        <w:keepNext w:val="0"/>
        <w:keepLines w:val="0"/>
        <w:pageBreakBefore w:val="0"/>
        <w:widowControl/>
        <w:kinsoku w:val="0"/>
        <w:wordWrap/>
        <w:overflowPunct/>
        <w:topLinePunct w:val="0"/>
        <w:autoSpaceDE w:val="0"/>
        <w:autoSpaceDN w:val="0"/>
        <w:bidi w:val="0"/>
        <w:adjustRightInd w:val="0"/>
        <w:snapToGrid w:val="0"/>
        <w:spacing w:line="570" w:lineRule="exact"/>
        <w:jc w:val="center"/>
        <w:textAlignment w:val="baseline"/>
        <w:rPr>
          <w:rFonts w:hint="default" w:ascii="Times New Roman" w:hAnsi="Times New Roman" w:eastAsia="黑体" w:cs="Times New Roman"/>
          <w:sz w:val="28"/>
          <w:szCs w:val="28"/>
          <w:lang w:val="en-US" w:eastAsia="zh-CN"/>
        </w:rPr>
      </w:pPr>
      <w:r>
        <w:rPr>
          <w:rFonts w:hint="default" w:ascii="Times New Roman" w:hAnsi="Times New Roman" w:eastAsia="黑体" w:cs="Times New Roman"/>
          <w:b/>
          <w:color w:val="auto"/>
          <w:sz w:val="28"/>
          <w:szCs w:val="28"/>
          <w:lang w:eastAsia="zh-CN"/>
        </w:rPr>
        <w:t>编号：</w:t>
      </w:r>
      <w:r>
        <w:rPr>
          <w:rFonts w:hint="default" w:ascii="Times New Roman" w:hAnsi="Times New Roman" w:eastAsia="黑体" w:cs="Times New Roman"/>
          <w:sz w:val="28"/>
          <w:szCs w:val="28"/>
          <w:lang w:eastAsia="zh-CN"/>
        </w:rPr>
        <w:t>SFLHG-GKBX-2026-HW</w:t>
      </w:r>
      <w:r>
        <w:rPr>
          <w:rFonts w:hint="eastAsia" w:ascii="Times New Roman" w:hAnsi="Times New Roman" w:eastAsia="黑体" w:cs="Times New Roman"/>
          <w:sz w:val="28"/>
          <w:szCs w:val="28"/>
          <w:lang w:val="en-US" w:eastAsia="zh-CN"/>
        </w:rPr>
        <w:t>124</w:t>
      </w:r>
    </w:p>
    <w:p w14:paraId="2EA50DDB">
      <w:pPr>
        <w:keepNext w:val="0"/>
        <w:keepLines w:val="0"/>
        <w:pageBreakBefore w:val="0"/>
        <w:widowControl/>
        <w:kinsoku w:val="0"/>
        <w:wordWrap/>
        <w:overflowPunct/>
        <w:topLinePunct w:val="0"/>
        <w:bidi w:val="0"/>
        <w:adjustRightInd w:val="0"/>
        <w:snapToGrid w:val="0"/>
        <w:spacing w:line="500" w:lineRule="exact"/>
        <w:textAlignment w:val="baseline"/>
        <w:rPr>
          <w:lang w:eastAsia="zh-CN"/>
        </w:rPr>
      </w:pPr>
    </w:p>
    <w:p w14:paraId="74A19251">
      <w:pPr>
        <w:keepNext w:val="0"/>
        <w:keepLines w:val="0"/>
        <w:pageBreakBefore w:val="0"/>
        <w:widowControl/>
        <w:kinsoku w:val="0"/>
        <w:wordWrap/>
        <w:overflowPunct/>
        <w:topLinePunct w:val="0"/>
        <w:bidi w:val="0"/>
        <w:adjustRightInd w:val="0"/>
        <w:snapToGrid w:val="0"/>
        <w:spacing w:line="500" w:lineRule="exact"/>
        <w:textAlignment w:val="baseline"/>
        <w:rPr>
          <w:rFonts w:ascii="黑体" w:hAnsi="黑体" w:eastAsia="黑体" w:cs="Segoe UI"/>
          <w:sz w:val="28"/>
          <w:szCs w:val="28"/>
        </w:rPr>
      </w:pPr>
      <w:r>
        <w:rPr>
          <w:rFonts w:hint="eastAsia" w:ascii="黑体" w:hAnsi="黑体" w:eastAsia="黑体" w:cs="Times New Roman"/>
          <w:b/>
          <w:sz w:val="28"/>
          <w:szCs w:val="28"/>
          <w:lang w:eastAsia="zh-CN"/>
        </w:rPr>
        <w:t>各供应商：</w:t>
      </w:r>
    </w:p>
    <w:p w14:paraId="565A0F55">
      <w:pPr>
        <w:pStyle w:val="8"/>
        <w:keepNext w:val="0"/>
        <w:keepLines w:val="0"/>
        <w:pageBreakBefore w:val="0"/>
        <w:widowControl/>
        <w:kinsoku w:val="0"/>
        <w:wordWrap/>
        <w:overflowPunct/>
        <w:topLinePunct w:val="0"/>
        <w:bidi w:val="0"/>
        <w:adjustRightInd w:val="0"/>
        <w:snapToGrid w:val="0"/>
        <w:spacing w:before="0" w:beforeAutospacing="0" w:after="0" w:afterAutospacing="0" w:line="500" w:lineRule="exact"/>
        <w:ind w:firstLine="700" w:firstLineChars="250"/>
        <w:jc w:val="both"/>
        <w:textAlignment w:val="baseline"/>
        <w:rPr>
          <w:rFonts w:ascii="黑体" w:hAnsi="黑体" w:eastAsia="黑体" w:cs="Segoe UI"/>
          <w:sz w:val="28"/>
          <w:szCs w:val="28"/>
        </w:rPr>
      </w:pPr>
      <w:r>
        <w:rPr>
          <w:rFonts w:hint="eastAsia" w:ascii="黑体" w:hAnsi="黑体" w:eastAsia="黑体"/>
          <w:sz w:val="28"/>
          <w:szCs w:val="28"/>
        </w:rPr>
        <w:t>因生产需要,我公司需采购氢氧化钙（粉状），</w:t>
      </w:r>
      <w:r>
        <w:rPr>
          <w:rFonts w:hint="eastAsia" w:ascii="黑体" w:hAnsi="黑体" w:eastAsia="黑体" w:cs="Segoe UI"/>
          <w:sz w:val="28"/>
          <w:szCs w:val="28"/>
        </w:rPr>
        <w:t>本着“公开、公平、公正”的原则，现对</w:t>
      </w:r>
      <w:r>
        <w:rPr>
          <w:rFonts w:hint="eastAsia" w:ascii="黑体" w:hAnsi="黑体" w:eastAsia="黑体"/>
          <w:sz w:val="28"/>
          <w:szCs w:val="28"/>
        </w:rPr>
        <w:t>氢氧化钙</w:t>
      </w:r>
      <w:r>
        <w:rPr>
          <w:rFonts w:hint="eastAsia" w:ascii="黑体" w:hAnsi="黑体" w:eastAsia="黑体" w:cs="Segoe UI"/>
          <w:sz w:val="28"/>
          <w:szCs w:val="28"/>
        </w:rPr>
        <w:t>进行公开比选采购。欢迎贵公司前来投标（</w:t>
      </w:r>
      <w:r>
        <w:rPr>
          <w:rFonts w:hint="eastAsia" w:ascii="黑体" w:hAnsi="黑体" w:eastAsia="黑体" w:cs="Segoe UI"/>
          <w:b/>
          <w:sz w:val="28"/>
          <w:szCs w:val="28"/>
        </w:rPr>
        <w:t>投标报价时，请仔细参考附件质量指标及结算办法并充分测算，我方在进行公开比选时原则上不进行第二次议价</w:t>
      </w:r>
      <w:r>
        <w:rPr>
          <w:rFonts w:hint="eastAsia" w:ascii="黑体" w:hAnsi="黑体" w:eastAsia="黑体" w:cs="Segoe UI"/>
          <w:sz w:val="28"/>
          <w:szCs w:val="28"/>
        </w:rPr>
        <w:t>），并于2026年</w:t>
      </w:r>
      <w:r>
        <w:rPr>
          <w:rFonts w:hint="eastAsia" w:ascii="黑体" w:hAnsi="黑体" w:eastAsia="黑体" w:cs="Segoe UI"/>
          <w:sz w:val="28"/>
          <w:szCs w:val="28"/>
          <w:lang w:val="en-US" w:eastAsia="zh-CN"/>
        </w:rPr>
        <w:t>9</w:t>
      </w:r>
      <w:r>
        <w:rPr>
          <w:rFonts w:hint="eastAsia" w:ascii="黑体" w:hAnsi="黑体" w:eastAsia="黑体" w:cs="Segoe UI"/>
          <w:sz w:val="28"/>
          <w:szCs w:val="28"/>
        </w:rPr>
        <w:t>月</w:t>
      </w:r>
      <w:r>
        <w:rPr>
          <w:rFonts w:hint="eastAsia" w:ascii="黑体" w:hAnsi="黑体" w:eastAsia="黑体" w:cs="Segoe UI"/>
          <w:sz w:val="28"/>
          <w:szCs w:val="28"/>
          <w:lang w:val="en-US" w:eastAsia="zh-CN"/>
        </w:rPr>
        <w:t>21</w:t>
      </w:r>
      <w:r>
        <w:rPr>
          <w:rFonts w:hint="eastAsia" w:ascii="黑体" w:hAnsi="黑体" w:eastAsia="黑体" w:cs="Segoe UI"/>
          <w:sz w:val="28"/>
          <w:szCs w:val="28"/>
        </w:rPr>
        <w:t>日1</w:t>
      </w:r>
      <w:r>
        <w:rPr>
          <w:rFonts w:hint="eastAsia" w:ascii="黑体" w:hAnsi="黑体" w:eastAsia="黑体" w:cs="Segoe UI"/>
          <w:sz w:val="28"/>
          <w:szCs w:val="28"/>
          <w:lang w:val="en-US" w:eastAsia="zh-CN"/>
        </w:rPr>
        <w:t>0</w:t>
      </w:r>
      <w:r>
        <w:rPr>
          <w:rFonts w:hint="eastAsia" w:ascii="黑体" w:hAnsi="黑体" w:eastAsia="黑体" w:cs="Segoe UI"/>
          <w:sz w:val="28"/>
          <w:szCs w:val="28"/>
        </w:rPr>
        <w:t>时0</w:t>
      </w:r>
      <w:r>
        <w:rPr>
          <w:rFonts w:hint="eastAsia" w:ascii="黑体" w:hAnsi="黑体" w:eastAsia="黑体" w:cs="Segoe UI"/>
          <w:sz w:val="28"/>
          <w:szCs w:val="28"/>
          <w:lang w:val="en-US" w:eastAsia="zh-CN"/>
        </w:rPr>
        <w:t>0</w:t>
      </w:r>
      <w:r>
        <w:rPr>
          <w:rFonts w:hint="eastAsia" w:ascii="黑体" w:hAnsi="黑体" w:eastAsia="黑体" w:cs="Segoe UI"/>
          <w:sz w:val="28"/>
          <w:szCs w:val="28"/>
        </w:rPr>
        <w:t>分前将报价单（</w:t>
      </w:r>
      <w:r>
        <w:rPr>
          <w:rFonts w:hint="eastAsia" w:ascii="黑体" w:hAnsi="黑体" w:eastAsia="黑体" w:cs="黑体"/>
          <w:sz w:val="28"/>
          <w:szCs w:val="28"/>
        </w:rPr>
        <w:t>文件名:宏达股份磷化工动力厂氢氧化钙报价文件—XXXXXX公司，</w:t>
      </w:r>
      <w:r>
        <w:rPr>
          <w:rFonts w:hint="eastAsia" w:ascii="黑体" w:hAnsi="黑体" w:eastAsia="黑体" w:cs="Segoe UI"/>
          <w:sz w:val="28"/>
          <w:szCs w:val="28"/>
        </w:rPr>
        <w:t>需加盖公章）上传到四川宏达股份有限公司集采中心招投标平台(http://jc.sichuanhongda.com/）。</w:t>
      </w:r>
    </w:p>
    <w:p w14:paraId="70AF982E">
      <w:pPr>
        <w:keepNext w:val="0"/>
        <w:keepLines w:val="0"/>
        <w:pageBreakBefore w:val="0"/>
        <w:widowControl/>
        <w:kinsoku w:val="0"/>
        <w:wordWrap/>
        <w:overflowPunct/>
        <w:topLinePunct w:val="0"/>
        <w:bidi w:val="0"/>
        <w:adjustRightInd w:val="0"/>
        <w:snapToGrid w:val="0"/>
        <w:spacing w:line="500" w:lineRule="exact"/>
        <w:ind w:firstLine="420" w:firstLineChars="150"/>
        <w:textAlignment w:val="baseline"/>
        <w:outlineLvl w:val="0"/>
        <w:rPr>
          <w:rFonts w:hint="eastAsia" w:ascii="黑体" w:hAnsi="黑体" w:eastAsia="黑体" w:cs="黑体"/>
          <w:kern w:val="2"/>
          <w:sz w:val="28"/>
          <w:szCs w:val="28"/>
          <w:lang w:eastAsia="zh-CN"/>
        </w:rPr>
      </w:pPr>
      <w:r>
        <w:rPr>
          <w:rFonts w:hint="eastAsia" w:ascii="黑体" w:hAnsi="黑体" w:eastAsia="黑体" w:cs="黑体"/>
          <w:kern w:val="2"/>
          <w:sz w:val="28"/>
          <w:szCs w:val="28"/>
          <w:lang w:eastAsia="zh-CN"/>
        </w:rPr>
        <w:t>本项目要求如下：</w:t>
      </w:r>
    </w:p>
    <w:p w14:paraId="5B544B64">
      <w:pPr>
        <w:keepNext w:val="0"/>
        <w:keepLines w:val="0"/>
        <w:pageBreakBefore w:val="0"/>
        <w:widowControl/>
        <w:kinsoku/>
        <w:wordWrap/>
        <w:overflowPunct/>
        <w:topLinePunct w:val="0"/>
        <w:autoSpaceDE w:val="0"/>
        <w:autoSpaceDN w:val="0"/>
        <w:bidi w:val="0"/>
        <w:adjustRightInd w:val="0"/>
        <w:snapToGrid w:val="0"/>
        <w:spacing w:line="500" w:lineRule="exact"/>
        <w:ind w:firstLine="560" w:firstLineChars="200"/>
        <w:textAlignment w:val="baseline"/>
        <w:rPr>
          <w:rFonts w:hint="eastAsia" w:ascii="黑体" w:hAnsi="黑体" w:eastAsia="黑体" w:cs="黑体"/>
          <w:sz w:val="28"/>
          <w:szCs w:val="28"/>
          <w:lang w:eastAsia="zh-CN"/>
        </w:rPr>
      </w:pPr>
      <w:r>
        <w:rPr>
          <w:rFonts w:hint="eastAsia" w:ascii="黑体" w:hAnsi="黑体" w:eastAsia="黑体" w:cs="黑体"/>
          <w:b w:val="0"/>
          <w:bCs w:val="0"/>
          <w:kern w:val="2"/>
          <w:sz w:val="28"/>
          <w:szCs w:val="28"/>
          <w:lang w:eastAsia="zh-CN"/>
        </w:rPr>
        <w:t>1.检测依据及质量要求：按HG/T4120-2009标准检测。其中</w:t>
      </w:r>
      <w:r>
        <w:rPr>
          <w:rFonts w:hint="eastAsia" w:ascii="黑体" w:hAnsi="黑体" w:eastAsia="黑体" w:cs="黑体"/>
          <w:b w:val="0"/>
          <w:bCs w:val="0"/>
          <w:sz w:val="28"/>
          <w:szCs w:val="28"/>
          <w:lang w:eastAsia="zh-CN"/>
        </w:rPr>
        <w:t xml:space="preserve"> Ca(OH)₂≥90.0%、重金属（以Pb计）≤0.002%；细度：120目过筛率≥96.0%、20目过筛率100%。以生石灰(严禁以电石渣为原料)为原料，经充分消化制的乳白色氢氧化钙粉末，无异味，制成灰乳（现场测试）时不能呈现蓝色或其它颜色，不能发热，无明显碳渣、泥沙等异物，否则使用单位予以拒收。（具体质量指标及结算办法见合同附件Q/HD 3.018-2026 V版）</w:t>
      </w:r>
      <w:r>
        <w:rPr>
          <w:rFonts w:hint="eastAsia" w:ascii="黑体" w:hAnsi="黑体" w:eastAsia="黑体" w:cs="黑体"/>
          <w:b/>
          <w:bCs/>
          <w:sz w:val="28"/>
          <w:szCs w:val="28"/>
          <w:lang w:eastAsia="zh-CN"/>
        </w:rPr>
        <w:t>。</w:t>
      </w:r>
    </w:p>
    <w:p w14:paraId="5747D2CD">
      <w:pPr>
        <w:keepNext w:val="0"/>
        <w:keepLines w:val="0"/>
        <w:pageBreakBefore w:val="0"/>
        <w:widowControl/>
        <w:kinsoku w:val="0"/>
        <w:wordWrap/>
        <w:overflowPunct/>
        <w:topLinePunct w:val="0"/>
        <w:autoSpaceDE/>
        <w:autoSpaceDN/>
        <w:bidi w:val="0"/>
        <w:adjustRightInd w:val="0"/>
        <w:snapToGrid w:val="0"/>
        <w:spacing w:line="500" w:lineRule="exact"/>
        <w:ind w:firstLine="560" w:firstLineChars="200"/>
        <w:textAlignment w:val="baseline"/>
        <w:rPr>
          <w:rFonts w:hint="eastAsia" w:ascii="黑体" w:hAnsi="黑体" w:eastAsia="黑体" w:cs="黑体"/>
          <w:kern w:val="2"/>
          <w:sz w:val="28"/>
          <w:szCs w:val="28"/>
          <w:lang w:eastAsia="zh-CN"/>
        </w:rPr>
      </w:pPr>
      <w:r>
        <w:rPr>
          <w:rFonts w:hint="eastAsia" w:ascii="黑体" w:hAnsi="黑体" w:eastAsia="黑体" w:cs="黑体"/>
          <w:sz w:val="28"/>
          <w:szCs w:val="28"/>
          <w:lang w:eastAsia="zh-CN"/>
        </w:rPr>
        <w:t>2.供货数量:</w:t>
      </w:r>
      <w:r>
        <w:rPr>
          <w:rFonts w:hint="eastAsia" w:ascii="黑体" w:hAnsi="黑体" w:eastAsia="黑体" w:cs="黑体"/>
          <w:sz w:val="28"/>
          <w:szCs w:val="28"/>
          <w:lang w:val="en-US" w:eastAsia="zh-CN"/>
        </w:rPr>
        <w:t>800</w:t>
      </w:r>
      <w:r>
        <w:rPr>
          <w:rFonts w:hint="eastAsia" w:ascii="黑体" w:hAnsi="黑体" w:eastAsia="黑体" w:cs="黑体"/>
          <w:sz w:val="28"/>
          <w:szCs w:val="28"/>
          <w:lang w:eastAsia="zh-CN"/>
        </w:rPr>
        <w:t>吨（以合同期内买方实际需求数量为准）。</w:t>
      </w:r>
    </w:p>
    <w:p w14:paraId="65BDE355">
      <w:pPr>
        <w:pStyle w:val="8"/>
        <w:keepNext w:val="0"/>
        <w:keepLines w:val="0"/>
        <w:pageBreakBefore w:val="0"/>
        <w:widowControl/>
        <w:kinsoku w:val="0"/>
        <w:wordWrap/>
        <w:overflowPunct/>
        <w:topLinePunct w:val="0"/>
        <w:bidi w:val="0"/>
        <w:adjustRightInd w:val="0"/>
        <w:snapToGrid w:val="0"/>
        <w:spacing w:before="0" w:beforeAutospacing="0" w:after="0" w:afterAutospacing="0" w:line="500" w:lineRule="exact"/>
        <w:ind w:firstLine="560" w:firstLineChars="200"/>
        <w:textAlignment w:val="baseline"/>
        <w:rPr>
          <w:rFonts w:hint="eastAsia" w:ascii="黑体" w:hAnsi="黑体" w:eastAsia="黑体" w:cs="黑体"/>
          <w:sz w:val="28"/>
          <w:szCs w:val="28"/>
        </w:rPr>
      </w:pPr>
      <w:r>
        <w:rPr>
          <w:rFonts w:hint="eastAsia" w:ascii="黑体" w:hAnsi="黑体" w:eastAsia="黑体" w:cs="黑体"/>
          <w:sz w:val="28"/>
          <w:szCs w:val="28"/>
        </w:rPr>
        <w:t>3</w:t>
      </w:r>
      <w:r>
        <w:rPr>
          <w:rFonts w:hint="eastAsia" w:ascii="黑体" w:hAnsi="黑体" w:eastAsia="黑体" w:cs="黑体"/>
          <w:sz w:val="28"/>
          <w:szCs w:val="28"/>
          <w:lang w:eastAsia="zh-CN"/>
        </w:rPr>
        <w:t>.</w:t>
      </w:r>
      <w:r>
        <w:rPr>
          <w:rFonts w:hint="eastAsia" w:ascii="黑体" w:hAnsi="黑体" w:eastAsia="黑体" w:cs="黑体"/>
          <w:sz w:val="28"/>
          <w:szCs w:val="28"/>
        </w:rPr>
        <w:t>供货期：2026年</w:t>
      </w:r>
      <w:r>
        <w:rPr>
          <w:rFonts w:hint="eastAsia" w:ascii="黑体" w:hAnsi="黑体" w:eastAsia="黑体" w:cs="黑体"/>
          <w:sz w:val="28"/>
          <w:szCs w:val="28"/>
          <w:lang w:val="en-US" w:eastAsia="zh-CN"/>
        </w:rPr>
        <w:t>10</w:t>
      </w:r>
      <w:r>
        <w:rPr>
          <w:rFonts w:hint="eastAsia" w:ascii="黑体" w:hAnsi="黑体" w:eastAsia="黑体" w:cs="黑体"/>
          <w:sz w:val="28"/>
          <w:szCs w:val="28"/>
        </w:rPr>
        <w:t>月</w:t>
      </w:r>
      <w:r>
        <w:rPr>
          <w:rFonts w:hint="eastAsia" w:ascii="黑体" w:hAnsi="黑体" w:eastAsia="黑体" w:cs="黑体"/>
          <w:sz w:val="28"/>
          <w:szCs w:val="28"/>
          <w:lang w:val="en-US" w:eastAsia="zh-CN"/>
        </w:rPr>
        <w:t>1</w:t>
      </w:r>
      <w:r>
        <w:rPr>
          <w:rFonts w:hint="eastAsia" w:ascii="黑体" w:hAnsi="黑体" w:eastAsia="黑体" w:cs="黑体"/>
          <w:sz w:val="28"/>
          <w:szCs w:val="28"/>
        </w:rPr>
        <w:t>日至202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12</w:t>
      </w:r>
      <w:r>
        <w:rPr>
          <w:rFonts w:hint="eastAsia" w:ascii="黑体" w:hAnsi="黑体" w:eastAsia="黑体" w:cs="黑体"/>
          <w:sz w:val="28"/>
          <w:szCs w:val="28"/>
        </w:rPr>
        <w:t>月3</w:t>
      </w:r>
      <w:r>
        <w:rPr>
          <w:rFonts w:hint="eastAsia" w:ascii="黑体" w:hAnsi="黑体" w:eastAsia="黑体" w:cs="黑体"/>
          <w:sz w:val="28"/>
          <w:szCs w:val="28"/>
          <w:lang w:val="en-US" w:eastAsia="zh-CN"/>
        </w:rPr>
        <w:t>1</w:t>
      </w:r>
      <w:r>
        <w:rPr>
          <w:rFonts w:hint="eastAsia" w:ascii="黑体" w:hAnsi="黑体" w:eastAsia="黑体" w:cs="黑体"/>
          <w:sz w:val="28"/>
          <w:szCs w:val="28"/>
        </w:rPr>
        <w:t>日,根据买方需求送货到厂。</w:t>
      </w:r>
    </w:p>
    <w:p w14:paraId="1C0C747C">
      <w:pPr>
        <w:pStyle w:val="8"/>
        <w:keepNext w:val="0"/>
        <w:keepLines w:val="0"/>
        <w:pageBreakBefore w:val="0"/>
        <w:widowControl/>
        <w:kinsoku w:val="0"/>
        <w:wordWrap/>
        <w:overflowPunct/>
        <w:topLinePunct w:val="0"/>
        <w:bidi w:val="0"/>
        <w:adjustRightInd w:val="0"/>
        <w:snapToGrid w:val="0"/>
        <w:spacing w:before="0" w:beforeAutospacing="0" w:after="0" w:afterAutospacing="0" w:line="500" w:lineRule="exact"/>
        <w:ind w:firstLine="560" w:firstLineChars="200"/>
        <w:textAlignment w:val="baseline"/>
        <w:rPr>
          <w:rFonts w:hint="eastAsia" w:ascii="黑体" w:hAnsi="黑体" w:eastAsia="黑体" w:cs="黑体"/>
          <w:sz w:val="28"/>
          <w:szCs w:val="28"/>
        </w:rPr>
      </w:pPr>
      <w:r>
        <w:rPr>
          <w:rFonts w:hint="eastAsia" w:ascii="黑体" w:hAnsi="黑体" w:eastAsia="黑体" w:cs="黑体"/>
          <w:sz w:val="28"/>
          <w:szCs w:val="28"/>
        </w:rPr>
        <w:t>4</w:t>
      </w:r>
      <w:r>
        <w:rPr>
          <w:rFonts w:hint="eastAsia" w:ascii="黑体" w:hAnsi="黑体" w:eastAsia="黑体" w:cs="黑体"/>
          <w:sz w:val="28"/>
          <w:szCs w:val="28"/>
          <w:lang w:eastAsia="zh-CN"/>
        </w:rPr>
        <w:t>.</w:t>
      </w:r>
      <w:r>
        <w:rPr>
          <w:rFonts w:hint="eastAsia" w:ascii="黑体" w:hAnsi="黑体" w:eastAsia="黑体" w:cs="黑体"/>
          <w:sz w:val="28"/>
          <w:szCs w:val="28"/>
        </w:rPr>
        <w:t>交货地点：罐车运输至四川宏达股份有限公司什邡磷化工分公司动力厂污水处理站（四川省德阳市什邡市洛水镇），到招标方库房前所有费用、货损风险由中标方承担。</w:t>
      </w:r>
    </w:p>
    <w:p w14:paraId="72D4E3A4">
      <w:pPr>
        <w:keepNext w:val="0"/>
        <w:keepLines w:val="0"/>
        <w:pageBreakBefore w:val="0"/>
        <w:widowControl/>
        <w:kinsoku w:val="0"/>
        <w:wordWrap/>
        <w:overflowPunct/>
        <w:topLinePunct w:val="0"/>
        <w:autoSpaceDE/>
        <w:autoSpaceDN/>
        <w:bidi w:val="0"/>
        <w:adjustRightInd w:val="0"/>
        <w:snapToGrid w:val="0"/>
        <w:spacing w:line="500" w:lineRule="exact"/>
        <w:ind w:firstLine="560" w:firstLineChars="200"/>
        <w:textAlignment w:val="baseline"/>
        <w:rPr>
          <w:rFonts w:hint="eastAsia" w:ascii="黑体" w:hAnsi="黑体" w:eastAsia="黑体" w:cs="黑体"/>
          <w:sz w:val="28"/>
          <w:szCs w:val="28"/>
          <w:lang w:eastAsia="zh-CN"/>
        </w:rPr>
      </w:pPr>
      <w:r>
        <w:rPr>
          <w:rFonts w:hint="eastAsia" w:ascii="黑体" w:hAnsi="黑体" w:eastAsia="黑体" w:cs="黑体"/>
          <w:sz w:val="28"/>
          <w:szCs w:val="28"/>
          <w:lang w:eastAsia="zh-CN"/>
        </w:rPr>
        <w:t>5.发票：一票制，中标人开具全额增值税专用发票（税率13%）。</w:t>
      </w:r>
    </w:p>
    <w:p w14:paraId="14D681AC">
      <w:pPr>
        <w:keepNext w:val="0"/>
        <w:keepLines w:val="0"/>
        <w:pageBreakBefore w:val="0"/>
        <w:widowControl/>
        <w:kinsoku w:val="0"/>
        <w:wordWrap/>
        <w:overflowPunct/>
        <w:topLinePunct w:val="0"/>
        <w:autoSpaceDE/>
        <w:autoSpaceDN/>
        <w:bidi w:val="0"/>
        <w:adjustRightInd w:val="0"/>
        <w:snapToGrid w:val="0"/>
        <w:spacing w:line="500" w:lineRule="exact"/>
        <w:ind w:firstLine="560" w:firstLineChars="200"/>
        <w:textAlignment w:val="baseline"/>
        <w:rPr>
          <w:rFonts w:hint="eastAsia" w:ascii="黑体" w:hAnsi="黑体" w:eastAsia="黑体" w:cs="黑体"/>
          <w:sz w:val="28"/>
          <w:szCs w:val="28"/>
          <w:lang w:eastAsia="zh-CN"/>
        </w:rPr>
      </w:pPr>
      <w:r>
        <w:rPr>
          <w:rFonts w:hint="eastAsia" w:ascii="黑体" w:hAnsi="黑体" w:eastAsia="黑体" w:cs="黑体"/>
          <w:sz w:val="28"/>
          <w:szCs w:val="28"/>
          <w:lang w:eastAsia="zh-CN"/>
        </w:rPr>
        <w:t>6.付款方式：先货后款。需方收到货验收合格，卖方票据齐备后一周内支付货款。</w:t>
      </w:r>
    </w:p>
    <w:p w14:paraId="53768C1F">
      <w:pPr>
        <w:keepNext w:val="0"/>
        <w:keepLines w:val="0"/>
        <w:pageBreakBefore w:val="0"/>
        <w:widowControl/>
        <w:kinsoku w:val="0"/>
        <w:wordWrap/>
        <w:overflowPunct/>
        <w:topLinePunct w:val="0"/>
        <w:autoSpaceDE/>
        <w:autoSpaceDN/>
        <w:bidi w:val="0"/>
        <w:adjustRightInd w:val="0"/>
        <w:snapToGrid w:val="0"/>
        <w:spacing w:line="500" w:lineRule="exact"/>
        <w:ind w:firstLine="560" w:firstLineChars="200"/>
        <w:textAlignment w:val="baseline"/>
        <w:rPr>
          <w:rFonts w:hint="eastAsia" w:ascii="黑体" w:hAnsi="黑体" w:eastAsia="黑体" w:cs="黑体"/>
          <w:sz w:val="28"/>
          <w:szCs w:val="28"/>
          <w:lang w:eastAsia="zh-CN"/>
        </w:rPr>
      </w:pPr>
      <w:r>
        <w:rPr>
          <w:rFonts w:hint="eastAsia" w:ascii="黑体" w:hAnsi="黑体" w:eastAsia="黑体" w:cs="黑体"/>
          <w:sz w:val="28"/>
          <w:szCs w:val="28"/>
          <w:lang w:eastAsia="zh-CN"/>
        </w:rPr>
        <w:t>7.资质要求：具有有效的营业执照、开户许可证等。</w:t>
      </w:r>
    </w:p>
    <w:p w14:paraId="00D9DC1C">
      <w:pPr>
        <w:keepNext w:val="0"/>
        <w:keepLines w:val="0"/>
        <w:pageBreakBefore w:val="0"/>
        <w:widowControl/>
        <w:kinsoku w:val="0"/>
        <w:wordWrap/>
        <w:overflowPunct/>
        <w:topLinePunct w:val="0"/>
        <w:autoSpaceDE/>
        <w:autoSpaceDN/>
        <w:bidi w:val="0"/>
        <w:adjustRightInd w:val="0"/>
        <w:snapToGrid w:val="0"/>
        <w:spacing w:line="500" w:lineRule="exact"/>
        <w:ind w:firstLine="560" w:firstLineChars="200"/>
        <w:textAlignment w:val="baseline"/>
        <w:rPr>
          <w:rFonts w:hint="eastAsia" w:ascii="黑体" w:hAnsi="黑体" w:eastAsia="黑体" w:cs="黑体"/>
          <w:sz w:val="28"/>
          <w:szCs w:val="28"/>
          <w:lang w:eastAsia="zh-CN"/>
        </w:rPr>
      </w:pPr>
      <w:r>
        <w:rPr>
          <w:rFonts w:hint="eastAsia" w:ascii="黑体" w:hAnsi="黑体" w:eastAsia="黑体" w:cs="黑体"/>
          <w:sz w:val="28"/>
          <w:szCs w:val="28"/>
          <w:lang w:eastAsia="zh-CN"/>
        </w:rPr>
        <w:t>8.</w:t>
      </w:r>
      <w:r>
        <w:rPr>
          <w:rFonts w:hint="eastAsia" w:ascii="黑体" w:hAnsi="黑体" w:eastAsia="黑体" w:cs="黑体"/>
          <w:kern w:val="2"/>
          <w:sz w:val="28"/>
          <w:szCs w:val="28"/>
          <w:lang w:eastAsia="zh-CN"/>
        </w:rPr>
        <w:t xml:space="preserve">比选文件的获取方式为：自 2026年 </w:t>
      </w:r>
      <w:r>
        <w:rPr>
          <w:rFonts w:hint="eastAsia" w:ascii="黑体" w:hAnsi="黑体" w:eastAsia="黑体" w:cs="黑体"/>
          <w:kern w:val="2"/>
          <w:sz w:val="28"/>
          <w:szCs w:val="28"/>
          <w:lang w:val="en-US" w:eastAsia="zh-CN"/>
        </w:rPr>
        <w:t>9</w:t>
      </w:r>
      <w:r>
        <w:rPr>
          <w:rFonts w:hint="eastAsia" w:ascii="黑体" w:hAnsi="黑体" w:eastAsia="黑体" w:cs="黑体"/>
          <w:kern w:val="2"/>
          <w:sz w:val="28"/>
          <w:szCs w:val="28"/>
          <w:lang w:eastAsia="zh-CN"/>
        </w:rPr>
        <w:t xml:space="preserve">月 </w:t>
      </w:r>
      <w:r>
        <w:rPr>
          <w:rFonts w:hint="eastAsia" w:ascii="黑体" w:hAnsi="黑体" w:eastAsia="黑体" w:cs="黑体"/>
          <w:kern w:val="2"/>
          <w:sz w:val="28"/>
          <w:szCs w:val="28"/>
          <w:lang w:val="en-US" w:eastAsia="zh-CN"/>
        </w:rPr>
        <w:t>14</w:t>
      </w:r>
      <w:r>
        <w:rPr>
          <w:rFonts w:hint="eastAsia" w:ascii="黑体" w:hAnsi="黑体" w:eastAsia="黑体" w:cs="黑体"/>
          <w:kern w:val="2"/>
          <w:sz w:val="28"/>
          <w:szCs w:val="28"/>
          <w:lang w:eastAsia="zh-CN"/>
        </w:rPr>
        <w:t xml:space="preserve">日 </w:t>
      </w:r>
      <w:r>
        <w:rPr>
          <w:rFonts w:hint="eastAsia" w:ascii="黑体" w:hAnsi="黑体" w:eastAsia="黑体" w:cs="黑体"/>
          <w:kern w:val="2"/>
          <w:sz w:val="28"/>
          <w:szCs w:val="28"/>
          <w:lang w:val="en-US" w:eastAsia="zh-CN"/>
        </w:rPr>
        <w:t>00</w:t>
      </w:r>
      <w:r>
        <w:rPr>
          <w:rFonts w:hint="eastAsia" w:ascii="黑体" w:hAnsi="黑体" w:eastAsia="黑体" w:cs="黑体"/>
          <w:kern w:val="2"/>
          <w:sz w:val="28"/>
          <w:szCs w:val="28"/>
          <w:lang w:eastAsia="zh-CN"/>
        </w:rPr>
        <w:t>时</w:t>
      </w:r>
      <w:r>
        <w:rPr>
          <w:rFonts w:hint="eastAsia" w:ascii="黑体" w:hAnsi="黑体" w:eastAsia="黑体" w:cs="黑体"/>
          <w:kern w:val="2"/>
          <w:sz w:val="28"/>
          <w:szCs w:val="28"/>
          <w:lang w:val="en-US" w:eastAsia="zh-CN"/>
        </w:rPr>
        <w:t>00</w:t>
      </w:r>
      <w:r>
        <w:rPr>
          <w:rFonts w:hint="eastAsia" w:ascii="黑体" w:hAnsi="黑体" w:eastAsia="黑体" w:cs="黑体"/>
          <w:kern w:val="2"/>
          <w:sz w:val="28"/>
          <w:szCs w:val="28"/>
          <w:lang w:eastAsia="zh-CN"/>
        </w:rPr>
        <w:t>分至 2026年</w:t>
      </w:r>
      <w:r>
        <w:rPr>
          <w:rFonts w:hint="eastAsia" w:ascii="黑体" w:hAnsi="黑体" w:eastAsia="黑体" w:cs="黑体"/>
          <w:kern w:val="2"/>
          <w:sz w:val="28"/>
          <w:szCs w:val="28"/>
          <w:lang w:val="en-US" w:eastAsia="zh-CN"/>
        </w:rPr>
        <w:t>9</w:t>
      </w:r>
      <w:r>
        <w:rPr>
          <w:rFonts w:hint="eastAsia" w:ascii="黑体" w:hAnsi="黑体" w:eastAsia="黑体" w:cs="黑体"/>
          <w:kern w:val="2"/>
          <w:sz w:val="28"/>
          <w:szCs w:val="28"/>
          <w:lang w:eastAsia="zh-CN"/>
        </w:rPr>
        <w:t>月</w:t>
      </w:r>
      <w:r>
        <w:rPr>
          <w:rFonts w:hint="eastAsia" w:ascii="黑体" w:hAnsi="黑体" w:eastAsia="黑体" w:cs="黑体"/>
          <w:kern w:val="2"/>
          <w:sz w:val="28"/>
          <w:szCs w:val="28"/>
          <w:lang w:val="en-US" w:eastAsia="zh-CN"/>
        </w:rPr>
        <w:t>21</w:t>
      </w:r>
      <w:r>
        <w:rPr>
          <w:rFonts w:hint="eastAsia" w:ascii="黑体" w:hAnsi="黑体" w:eastAsia="黑体" w:cs="黑体"/>
          <w:kern w:val="2"/>
          <w:sz w:val="28"/>
          <w:szCs w:val="28"/>
          <w:lang w:eastAsia="zh-CN"/>
        </w:rPr>
        <w:t>日1</w:t>
      </w:r>
      <w:r>
        <w:rPr>
          <w:rFonts w:hint="eastAsia" w:ascii="黑体" w:hAnsi="黑体" w:eastAsia="黑体" w:cs="黑体"/>
          <w:kern w:val="2"/>
          <w:sz w:val="28"/>
          <w:szCs w:val="28"/>
          <w:lang w:val="en-US" w:eastAsia="zh-CN"/>
        </w:rPr>
        <w:t>0</w:t>
      </w:r>
      <w:r>
        <w:rPr>
          <w:rFonts w:hint="eastAsia" w:ascii="黑体" w:hAnsi="黑体" w:eastAsia="黑体" w:cs="黑体"/>
          <w:kern w:val="2"/>
          <w:sz w:val="28"/>
          <w:szCs w:val="28"/>
          <w:lang w:eastAsia="zh-CN"/>
        </w:rPr>
        <w:t>时</w:t>
      </w:r>
      <w:r>
        <w:rPr>
          <w:rFonts w:hint="eastAsia" w:ascii="黑体" w:hAnsi="黑体" w:eastAsia="黑体" w:cs="黑体"/>
          <w:kern w:val="2"/>
          <w:sz w:val="28"/>
          <w:szCs w:val="28"/>
          <w:lang w:val="en-US" w:eastAsia="zh-CN"/>
        </w:rPr>
        <w:t>00</w:t>
      </w:r>
      <w:r>
        <w:rPr>
          <w:rFonts w:hint="eastAsia" w:ascii="黑体" w:hAnsi="黑体" w:eastAsia="黑体" w:cs="黑体"/>
          <w:kern w:val="2"/>
          <w:sz w:val="28"/>
          <w:szCs w:val="28"/>
          <w:lang w:eastAsia="zh-CN"/>
        </w:rPr>
        <w:t xml:space="preserve">分通过四川宏达股份有限公司集采中心招投标平台(以下简称“ 宏达股份集采平台”）（http://jc.sichuanhongda.com/）进行注册并登录后参与投标并下载比选文件。 </w:t>
      </w:r>
    </w:p>
    <w:p w14:paraId="48A7873A">
      <w:pPr>
        <w:keepNext w:val="0"/>
        <w:keepLines w:val="0"/>
        <w:pageBreakBefore w:val="0"/>
        <w:widowControl/>
        <w:kinsoku w:val="0"/>
        <w:wordWrap/>
        <w:overflowPunct/>
        <w:topLinePunct w:val="0"/>
        <w:bidi w:val="0"/>
        <w:adjustRightInd w:val="0"/>
        <w:snapToGrid w:val="0"/>
        <w:spacing w:line="500" w:lineRule="exact"/>
        <w:ind w:firstLine="560" w:firstLineChars="200"/>
        <w:textAlignment w:val="baseline"/>
        <w:rPr>
          <w:rFonts w:hint="eastAsia" w:ascii="黑体" w:hAnsi="黑体" w:eastAsia="黑体" w:cs="黑体"/>
          <w:sz w:val="28"/>
          <w:szCs w:val="28"/>
          <w:lang w:eastAsia="zh-CN"/>
        </w:rPr>
      </w:pPr>
      <w:r>
        <w:rPr>
          <w:rFonts w:hint="eastAsia" w:ascii="黑体" w:hAnsi="黑体" w:eastAsia="黑体" w:cs="黑体"/>
          <w:sz w:val="28"/>
          <w:szCs w:val="28"/>
          <w:lang w:eastAsia="zh-CN"/>
        </w:rPr>
        <w:t>9.响应性文件的递交：</w:t>
      </w:r>
    </w:p>
    <w:p w14:paraId="1CEA4601">
      <w:pPr>
        <w:keepNext w:val="0"/>
        <w:keepLines w:val="0"/>
        <w:pageBreakBefore w:val="0"/>
        <w:widowControl/>
        <w:kinsoku w:val="0"/>
        <w:wordWrap/>
        <w:overflowPunct/>
        <w:topLinePunct w:val="0"/>
        <w:autoSpaceDE w:val="0"/>
        <w:autoSpaceDN w:val="0"/>
        <w:bidi w:val="0"/>
        <w:adjustRightInd w:val="0"/>
        <w:snapToGrid w:val="0"/>
        <w:spacing w:line="500" w:lineRule="exact"/>
        <w:ind w:firstLine="840" w:firstLineChars="300"/>
        <w:textAlignment w:val="baseline"/>
        <w:rPr>
          <w:rFonts w:hint="eastAsia" w:ascii="黑体" w:hAnsi="黑体" w:eastAsia="黑体" w:cs="黑体"/>
          <w:sz w:val="28"/>
          <w:szCs w:val="28"/>
          <w:lang w:eastAsia="zh-CN"/>
        </w:rPr>
      </w:pPr>
      <w:r>
        <w:rPr>
          <w:rFonts w:hint="eastAsia" w:ascii="黑体" w:hAnsi="黑体" w:eastAsia="黑体" w:cs="黑体"/>
          <w:sz w:val="28"/>
          <w:szCs w:val="28"/>
          <w:lang w:val="en-US" w:eastAsia="zh-CN"/>
        </w:rPr>
        <w:t xml:space="preserve">9.1 </w:t>
      </w:r>
      <w:r>
        <w:rPr>
          <w:rFonts w:hint="eastAsia" w:ascii="黑体" w:hAnsi="黑体" w:eastAsia="黑体" w:cs="黑体"/>
          <w:sz w:val="28"/>
          <w:szCs w:val="28"/>
          <w:lang w:eastAsia="zh-CN"/>
        </w:rPr>
        <w:t>截止时间：2026年</w:t>
      </w:r>
      <w:r>
        <w:rPr>
          <w:rFonts w:hint="eastAsia" w:ascii="黑体" w:hAnsi="黑体" w:eastAsia="黑体" w:cs="黑体"/>
          <w:sz w:val="28"/>
          <w:szCs w:val="28"/>
          <w:lang w:val="en-US" w:eastAsia="zh-CN"/>
        </w:rPr>
        <w:t>9</w:t>
      </w:r>
      <w:r>
        <w:rPr>
          <w:rFonts w:hint="eastAsia" w:ascii="黑体" w:hAnsi="黑体" w:eastAsia="黑体" w:cs="黑体"/>
          <w:sz w:val="28"/>
          <w:szCs w:val="28"/>
          <w:lang w:eastAsia="zh-CN"/>
        </w:rPr>
        <w:t>月</w:t>
      </w:r>
      <w:r>
        <w:rPr>
          <w:rFonts w:hint="eastAsia" w:ascii="黑体" w:hAnsi="黑体" w:eastAsia="黑体" w:cs="黑体"/>
          <w:sz w:val="28"/>
          <w:szCs w:val="28"/>
          <w:lang w:val="en-US" w:eastAsia="zh-CN"/>
        </w:rPr>
        <w:t>21</w:t>
      </w:r>
      <w:r>
        <w:rPr>
          <w:rFonts w:hint="eastAsia" w:ascii="黑体" w:hAnsi="黑体" w:eastAsia="黑体" w:cs="黑体"/>
          <w:sz w:val="28"/>
          <w:szCs w:val="28"/>
          <w:lang w:eastAsia="zh-CN"/>
        </w:rPr>
        <w:t>日1</w:t>
      </w:r>
      <w:r>
        <w:rPr>
          <w:rFonts w:hint="eastAsia" w:ascii="黑体" w:hAnsi="黑体" w:eastAsia="黑体" w:cs="黑体"/>
          <w:sz w:val="28"/>
          <w:szCs w:val="28"/>
          <w:lang w:val="en-US" w:eastAsia="zh-CN"/>
        </w:rPr>
        <w:t>0</w:t>
      </w:r>
      <w:r>
        <w:rPr>
          <w:rFonts w:hint="eastAsia" w:ascii="黑体" w:hAnsi="黑体" w:eastAsia="黑体" w:cs="黑体"/>
          <w:sz w:val="28"/>
          <w:szCs w:val="28"/>
          <w:lang w:eastAsia="zh-CN"/>
        </w:rPr>
        <w:t>时</w:t>
      </w:r>
      <w:r>
        <w:rPr>
          <w:rFonts w:hint="eastAsia" w:ascii="黑体" w:hAnsi="黑体" w:eastAsia="黑体" w:cs="黑体"/>
          <w:sz w:val="28"/>
          <w:szCs w:val="28"/>
          <w:lang w:val="en-US" w:eastAsia="zh-CN"/>
        </w:rPr>
        <w:t>0</w:t>
      </w:r>
      <w:r>
        <w:rPr>
          <w:rFonts w:hint="eastAsia" w:ascii="黑体" w:hAnsi="黑体" w:eastAsia="黑体" w:cs="黑体"/>
          <w:sz w:val="28"/>
          <w:szCs w:val="28"/>
          <w:lang w:eastAsia="zh-CN"/>
        </w:rPr>
        <w:t>0分。比选申请人按本比选文件第三章响应性文件格式制作报价文件，比选申请人需将响应性文件打印盖章后，以电子文件方式（PDF、扫描文件等）上传至</w:t>
      </w:r>
      <w:r>
        <w:rPr>
          <w:rFonts w:hint="eastAsia" w:ascii="黑体" w:hAnsi="黑体" w:eastAsia="黑体" w:cs="黑体"/>
          <w:kern w:val="2"/>
          <w:sz w:val="28"/>
          <w:szCs w:val="28"/>
          <w:lang w:eastAsia="zh-CN"/>
        </w:rPr>
        <w:t>宏达股份集采平台</w:t>
      </w:r>
      <w:r>
        <w:rPr>
          <w:rFonts w:hint="eastAsia" w:ascii="黑体" w:hAnsi="黑体" w:eastAsia="黑体" w:cs="黑体"/>
          <w:sz w:val="28"/>
          <w:szCs w:val="28"/>
          <w:lang w:eastAsia="zh-CN"/>
        </w:rPr>
        <w:t>。</w:t>
      </w:r>
    </w:p>
    <w:p w14:paraId="609480BC">
      <w:pPr>
        <w:keepNext w:val="0"/>
        <w:keepLines w:val="0"/>
        <w:pageBreakBefore w:val="0"/>
        <w:widowControl/>
        <w:kinsoku w:val="0"/>
        <w:wordWrap/>
        <w:overflowPunct/>
        <w:topLinePunct w:val="0"/>
        <w:bidi w:val="0"/>
        <w:adjustRightInd w:val="0"/>
        <w:snapToGrid w:val="0"/>
        <w:spacing w:line="500" w:lineRule="exact"/>
        <w:ind w:firstLine="840" w:firstLineChars="300"/>
        <w:textAlignment w:val="baseline"/>
        <w:rPr>
          <w:rFonts w:hint="eastAsia" w:ascii="黑体" w:hAnsi="黑体" w:eastAsia="黑体" w:cs="黑体"/>
          <w:sz w:val="28"/>
          <w:szCs w:val="28"/>
          <w:lang w:eastAsia="zh-CN"/>
        </w:rPr>
      </w:pPr>
      <w:r>
        <w:rPr>
          <w:rFonts w:hint="eastAsia" w:ascii="黑体" w:hAnsi="黑体" w:eastAsia="黑体" w:cs="黑体"/>
          <w:sz w:val="28"/>
          <w:szCs w:val="28"/>
          <w:lang w:val="en-US" w:eastAsia="zh-CN"/>
        </w:rPr>
        <w:t xml:space="preserve">9.2 </w:t>
      </w:r>
      <w:r>
        <w:rPr>
          <w:rFonts w:hint="eastAsia" w:ascii="黑体" w:hAnsi="黑体" w:eastAsia="黑体" w:cs="黑体"/>
          <w:sz w:val="28"/>
          <w:szCs w:val="28"/>
          <w:lang w:eastAsia="zh-CN"/>
        </w:rPr>
        <w:t>响应性文件的要求</w:t>
      </w:r>
      <w:bookmarkStart w:id="0" w:name="OLE_LINK3"/>
      <w:bookmarkStart w:id="1" w:name="OLE_LINK4"/>
      <w:r>
        <w:rPr>
          <w:rFonts w:hint="eastAsia" w:ascii="黑体" w:hAnsi="黑体" w:eastAsia="黑体" w:cs="黑体"/>
          <w:sz w:val="28"/>
          <w:szCs w:val="28"/>
          <w:lang w:eastAsia="zh-CN"/>
        </w:rPr>
        <w:t>：营业执照（三证合一）</w:t>
      </w:r>
      <w:bookmarkEnd w:id="0"/>
      <w:bookmarkEnd w:id="1"/>
      <w:r>
        <w:rPr>
          <w:rFonts w:hint="eastAsia" w:ascii="黑体" w:hAnsi="黑体" w:eastAsia="黑体" w:cs="黑体"/>
          <w:sz w:val="28"/>
          <w:szCs w:val="28"/>
          <w:lang w:eastAsia="zh-CN"/>
        </w:rPr>
        <w:t xml:space="preserve">等资质（加盖公章）。  </w:t>
      </w:r>
    </w:p>
    <w:p w14:paraId="6B65B03C">
      <w:pPr>
        <w:keepNext w:val="0"/>
        <w:keepLines w:val="0"/>
        <w:pageBreakBefore w:val="0"/>
        <w:widowControl/>
        <w:kinsoku w:val="0"/>
        <w:wordWrap/>
        <w:overflowPunct/>
        <w:topLinePunct w:val="0"/>
        <w:bidi w:val="0"/>
        <w:adjustRightInd w:val="0"/>
        <w:snapToGrid w:val="0"/>
        <w:spacing w:line="500" w:lineRule="exact"/>
        <w:ind w:firstLine="420" w:firstLineChars="150"/>
        <w:textAlignment w:val="baseline"/>
        <w:rPr>
          <w:rFonts w:hint="eastAsia" w:ascii="黑体" w:hAnsi="黑体" w:eastAsia="黑体" w:cs="黑体"/>
          <w:sz w:val="28"/>
          <w:szCs w:val="28"/>
          <w:lang w:eastAsia="zh-CN"/>
        </w:rPr>
      </w:pPr>
      <w:r>
        <w:rPr>
          <w:rFonts w:hint="eastAsia" w:ascii="黑体" w:hAnsi="黑体" w:eastAsia="黑体" w:cs="黑体"/>
          <w:kern w:val="2"/>
          <w:sz w:val="28"/>
          <w:szCs w:val="28"/>
          <w:lang w:eastAsia="zh-CN"/>
        </w:rPr>
        <w:t>10</w:t>
      </w:r>
      <w:r>
        <w:rPr>
          <w:rFonts w:hint="eastAsia" w:ascii="黑体" w:hAnsi="黑体" w:eastAsia="黑体" w:cs="黑体"/>
          <w:kern w:val="2"/>
          <w:sz w:val="28"/>
          <w:szCs w:val="28"/>
          <w:lang w:val="en-US" w:eastAsia="zh-CN"/>
        </w:rPr>
        <w:t>.</w:t>
      </w:r>
      <w:r>
        <w:rPr>
          <w:rFonts w:hint="eastAsia" w:ascii="黑体" w:hAnsi="黑体" w:eastAsia="黑体" w:cs="黑体"/>
          <w:sz w:val="28"/>
          <w:szCs w:val="28"/>
          <w:lang w:eastAsia="zh-CN"/>
        </w:rPr>
        <w:t>比选时不保证最低价中选，但充分注意合理的最低报价。</w:t>
      </w:r>
    </w:p>
    <w:p w14:paraId="4669938C">
      <w:pPr>
        <w:keepNext w:val="0"/>
        <w:keepLines w:val="0"/>
        <w:pageBreakBefore w:val="0"/>
        <w:widowControl/>
        <w:kinsoku w:val="0"/>
        <w:wordWrap/>
        <w:overflowPunct/>
        <w:topLinePunct w:val="0"/>
        <w:autoSpaceDE w:val="0"/>
        <w:autoSpaceDN w:val="0"/>
        <w:bidi w:val="0"/>
        <w:adjustRightInd w:val="0"/>
        <w:snapToGrid w:val="0"/>
        <w:spacing w:line="500" w:lineRule="exact"/>
        <w:ind w:firstLine="420" w:firstLineChars="150"/>
        <w:textAlignment w:val="baseline"/>
        <w:rPr>
          <w:rFonts w:hint="eastAsia" w:ascii="黑体" w:hAnsi="黑体" w:eastAsia="黑体" w:cs="黑体"/>
          <w:sz w:val="28"/>
          <w:szCs w:val="28"/>
          <w:lang w:eastAsia="zh-CN"/>
        </w:rPr>
      </w:pPr>
      <w:r>
        <w:rPr>
          <w:rFonts w:hint="eastAsia" w:ascii="黑体" w:hAnsi="黑体" w:eastAsia="黑体" w:cs="黑体"/>
          <w:sz w:val="28"/>
          <w:szCs w:val="28"/>
          <w:lang w:eastAsia="zh-CN"/>
        </w:rPr>
        <w:t>11</w:t>
      </w:r>
      <w:r>
        <w:rPr>
          <w:rFonts w:hint="eastAsia" w:ascii="黑体" w:hAnsi="黑体" w:eastAsia="黑体" w:cs="黑体"/>
          <w:sz w:val="28"/>
          <w:szCs w:val="28"/>
          <w:lang w:val="en-US" w:eastAsia="zh-CN"/>
        </w:rPr>
        <w:t>.</w:t>
      </w:r>
      <w:r>
        <w:rPr>
          <w:rFonts w:hint="eastAsia" w:ascii="黑体" w:hAnsi="黑体" w:eastAsia="黑体" w:cs="黑体"/>
          <w:sz w:val="28"/>
          <w:szCs w:val="28"/>
          <w:lang w:eastAsia="zh-CN"/>
        </w:rPr>
        <w:t>交送报价文件前，供应商方可自愿前来我公司进行实地考查或咨询。</w:t>
      </w:r>
    </w:p>
    <w:p w14:paraId="05B71C0C">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黑体" w:hAnsi="黑体" w:eastAsia="黑体" w:cs="黑体"/>
          <w:sz w:val="28"/>
          <w:szCs w:val="28"/>
          <w:lang w:eastAsia="zh-CN"/>
        </w:rPr>
      </w:pPr>
    </w:p>
    <w:p w14:paraId="042E9665">
      <w:pPr>
        <w:keepNext w:val="0"/>
        <w:keepLines w:val="0"/>
        <w:pageBreakBefore w:val="0"/>
        <w:widowControl/>
        <w:kinsoku w:val="0"/>
        <w:wordWrap/>
        <w:overflowPunct/>
        <w:topLinePunct w:val="0"/>
        <w:autoSpaceDE w:val="0"/>
        <w:autoSpaceDN w:val="0"/>
        <w:bidi w:val="0"/>
        <w:adjustRightInd w:val="0"/>
        <w:snapToGrid w:val="0"/>
        <w:spacing w:line="500" w:lineRule="exact"/>
        <w:ind w:firstLine="840" w:firstLineChars="300"/>
        <w:textAlignment w:val="baseline"/>
        <w:rPr>
          <w:rFonts w:hint="default" w:ascii="黑体" w:hAnsi="黑体" w:eastAsia="黑体" w:cs="黑体"/>
          <w:sz w:val="28"/>
          <w:szCs w:val="28"/>
          <w:lang w:val="en-US" w:eastAsia="zh-CN"/>
        </w:rPr>
      </w:pPr>
      <w:r>
        <w:rPr>
          <w:rFonts w:hint="eastAsia" w:ascii="黑体" w:hAnsi="黑体" w:eastAsia="黑体" w:cs="黑体"/>
          <w:sz w:val="28"/>
          <w:szCs w:val="28"/>
          <w:lang w:eastAsia="zh-CN"/>
        </w:rPr>
        <w:t>联系人：</w:t>
      </w:r>
      <w:r>
        <w:rPr>
          <w:rFonts w:hint="eastAsia" w:ascii="黑体" w:hAnsi="黑体" w:eastAsia="黑体" w:cs="黑体"/>
          <w:sz w:val="28"/>
          <w:szCs w:val="28"/>
          <w:lang w:val="en-US" w:eastAsia="zh-CN"/>
        </w:rPr>
        <w:t>陶女士</w:t>
      </w:r>
      <w:r>
        <w:rPr>
          <w:rFonts w:hint="eastAsia" w:ascii="黑体" w:hAnsi="黑体" w:eastAsia="黑体" w:cs="黑体"/>
          <w:sz w:val="28"/>
          <w:szCs w:val="28"/>
          <w:lang w:eastAsia="zh-CN"/>
        </w:rPr>
        <w:t xml:space="preserve">   135</w:t>
      </w:r>
      <w:r>
        <w:rPr>
          <w:rFonts w:hint="eastAsia" w:ascii="黑体" w:hAnsi="黑体" w:eastAsia="黑体" w:cs="黑体"/>
          <w:sz w:val="28"/>
          <w:szCs w:val="28"/>
          <w:lang w:val="en-US" w:eastAsia="zh-CN"/>
        </w:rPr>
        <w:t>40370586</w:t>
      </w:r>
    </w:p>
    <w:p w14:paraId="257D10B7">
      <w:pPr>
        <w:keepNext w:val="0"/>
        <w:keepLines w:val="0"/>
        <w:pageBreakBefore w:val="0"/>
        <w:widowControl/>
        <w:kinsoku w:val="0"/>
        <w:wordWrap/>
        <w:overflowPunct/>
        <w:topLinePunct w:val="0"/>
        <w:bidi w:val="0"/>
        <w:adjustRightInd w:val="0"/>
        <w:snapToGrid w:val="0"/>
        <w:spacing w:line="500" w:lineRule="exact"/>
        <w:ind w:firstLine="840" w:firstLineChars="300"/>
        <w:textAlignment w:val="baseline"/>
        <w:rPr>
          <w:rFonts w:hint="eastAsia" w:ascii="黑体" w:hAnsi="黑体" w:eastAsia="黑体" w:cs="黑体"/>
          <w:sz w:val="28"/>
          <w:szCs w:val="28"/>
          <w:lang w:eastAsia="zh-CN"/>
        </w:rPr>
      </w:pPr>
      <w:r>
        <w:rPr>
          <w:rFonts w:hint="eastAsia" w:ascii="黑体" w:hAnsi="黑体" w:eastAsia="黑体" w:cs="黑体"/>
          <w:sz w:val="28"/>
          <w:szCs w:val="28"/>
          <w:lang w:eastAsia="zh-CN"/>
        </w:rPr>
        <w:t xml:space="preserve">地 址：四川省德阳市什邡市洛水镇         </w:t>
      </w:r>
    </w:p>
    <w:p w14:paraId="2A185BBC">
      <w:pPr>
        <w:keepNext w:val="0"/>
        <w:keepLines w:val="0"/>
        <w:pageBreakBefore w:val="0"/>
        <w:widowControl/>
        <w:kinsoku w:val="0"/>
        <w:wordWrap/>
        <w:overflowPunct/>
        <w:topLinePunct w:val="0"/>
        <w:bidi w:val="0"/>
        <w:adjustRightInd w:val="0"/>
        <w:snapToGrid w:val="0"/>
        <w:spacing w:line="500" w:lineRule="exact"/>
        <w:ind w:firstLine="840" w:firstLineChars="300"/>
        <w:textAlignment w:val="baseline"/>
        <w:rPr>
          <w:rFonts w:hint="eastAsia" w:ascii="黑体" w:hAnsi="黑体" w:eastAsia="黑体" w:cs="黑体"/>
          <w:sz w:val="28"/>
          <w:szCs w:val="28"/>
          <w:lang w:eastAsia="zh-CN"/>
        </w:rPr>
      </w:pPr>
      <w:r>
        <w:rPr>
          <w:rFonts w:hint="eastAsia" w:ascii="黑体" w:hAnsi="黑体" w:eastAsia="黑体" w:cs="黑体"/>
          <w:sz w:val="28"/>
          <w:szCs w:val="28"/>
          <w:lang w:eastAsia="zh-CN"/>
        </w:rPr>
        <w:t xml:space="preserve">邮 编：618401         </w:t>
      </w:r>
    </w:p>
    <w:p w14:paraId="17F39964">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sz w:val="28"/>
          <w:szCs w:val="28"/>
          <w:lang w:eastAsia="zh-CN"/>
        </w:rPr>
      </w:pPr>
    </w:p>
    <w:p w14:paraId="6BB99C48">
      <w:pPr>
        <w:keepNext w:val="0"/>
        <w:keepLines w:val="0"/>
        <w:pageBreakBefore w:val="0"/>
        <w:widowControl/>
        <w:kinsoku w:val="0"/>
        <w:wordWrap/>
        <w:overflowPunct/>
        <w:topLinePunct w:val="0"/>
        <w:bidi w:val="0"/>
        <w:adjustRightInd w:val="0"/>
        <w:snapToGrid w:val="0"/>
        <w:spacing w:line="500" w:lineRule="exact"/>
        <w:ind w:firstLine="6020" w:firstLineChars="2150"/>
        <w:textAlignment w:val="baseline"/>
        <w:rPr>
          <w:rFonts w:hint="eastAsia" w:ascii="黑体" w:hAnsi="黑体" w:eastAsia="黑体" w:cs="黑体"/>
          <w:sz w:val="28"/>
          <w:szCs w:val="28"/>
          <w:lang w:eastAsia="zh-CN"/>
        </w:rPr>
      </w:pPr>
      <w:r>
        <w:rPr>
          <w:rFonts w:hint="eastAsia" w:ascii="黑体" w:hAnsi="黑体" w:eastAsia="黑体" w:cs="黑体"/>
          <w:sz w:val="28"/>
          <w:szCs w:val="28"/>
          <w:lang w:eastAsia="zh-CN"/>
        </w:rPr>
        <w:t>四川宏达股份有限公司</w:t>
      </w:r>
    </w:p>
    <w:p w14:paraId="20A98E2A">
      <w:pPr>
        <w:keepNext w:val="0"/>
        <w:keepLines w:val="0"/>
        <w:pageBreakBefore w:val="0"/>
        <w:widowControl/>
        <w:kinsoku w:val="0"/>
        <w:wordWrap/>
        <w:overflowPunct/>
        <w:topLinePunct w:val="0"/>
        <w:bidi w:val="0"/>
        <w:adjustRightInd w:val="0"/>
        <w:snapToGrid w:val="0"/>
        <w:spacing w:line="500" w:lineRule="exact"/>
        <w:ind w:firstLine="6720" w:firstLineChars="2400"/>
        <w:textAlignment w:val="baseline"/>
        <w:rPr>
          <w:rFonts w:hint="eastAsia" w:ascii="黑体" w:hAnsi="黑体" w:eastAsia="黑体" w:cs="黑体"/>
          <w:sz w:val="28"/>
          <w:szCs w:val="28"/>
          <w:lang w:eastAsia="zh-CN"/>
        </w:rPr>
      </w:pPr>
      <w:r>
        <w:rPr>
          <w:rFonts w:hint="eastAsia" w:ascii="黑体" w:hAnsi="黑体" w:eastAsia="黑体" w:cs="黑体"/>
          <w:sz w:val="28"/>
          <w:szCs w:val="28"/>
          <w:lang w:eastAsia="zh-CN"/>
        </w:rPr>
        <w:t>2026年</w:t>
      </w:r>
      <w:r>
        <w:rPr>
          <w:rFonts w:hint="eastAsia" w:ascii="黑体" w:hAnsi="黑体" w:eastAsia="黑体" w:cs="黑体"/>
          <w:sz w:val="28"/>
          <w:szCs w:val="28"/>
          <w:lang w:val="en-US" w:eastAsia="zh-CN"/>
        </w:rPr>
        <w:t>9</w:t>
      </w:r>
      <w:r>
        <w:rPr>
          <w:rFonts w:hint="eastAsia" w:ascii="黑体" w:hAnsi="黑体" w:eastAsia="黑体" w:cs="黑体"/>
          <w:sz w:val="28"/>
          <w:szCs w:val="28"/>
          <w:lang w:eastAsia="zh-CN"/>
        </w:rPr>
        <w:t>月</w:t>
      </w:r>
      <w:r>
        <w:rPr>
          <w:rFonts w:hint="eastAsia" w:ascii="黑体" w:hAnsi="黑体" w:eastAsia="黑体" w:cs="黑体"/>
          <w:sz w:val="28"/>
          <w:szCs w:val="28"/>
          <w:lang w:val="en-US" w:eastAsia="zh-CN"/>
        </w:rPr>
        <w:t>14</w:t>
      </w:r>
      <w:r>
        <w:rPr>
          <w:rFonts w:hint="eastAsia" w:ascii="黑体" w:hAnsi="黑体" w:eastAsia="黑体" w:cs="黑体"/>
          <w:sz w:val="28"/>
          <w:szCs w:val="28"/>
          <w:lang w:eastAsia="zh-CN"/>
        </w:rPr>
        <w:t>日</w:t>
      </w:r>
    </w:p>
    <w:p w14:paraId="09D0A0B9">
      <w:pPr>
        <w:keepNext w:val="0"/>
        <w:keepLines w:val="0"/>
        <w:pageBreakBefore w:val="0"/>
        <w:widowControl/>
        <w:kinsoku w:val="0"/>
        <w:wordWrap/>
        <w:overflowPunct/>
        <w:topLinePunct w:val="0"/>
        <w:bidi w:val="0"/>
        <w:adjustRightInd w:val="0"/>
        <w:snapToGrid w:val="0"/>
        <w:spacing w:line="500" w:lineRule="exact"/>
        <w:ind w:firstLine="6720" w:firstLineChars="2400"/>
        <w:textAlignment w:val="baseline"/>
        <w:rPr>
          <w:rFonts w:hint="eastAsia" w:ascii="黑体" w:hAnsi="黑体" w:eastAsia="黑体" w:cs="黑体"/>
          <w:sz w:val="28"/>
          <w:szCs w:val="28"/>
          <w:lang w:eastAsia="zh-CN"/>
        </w:rPr>
      </w:pPr>
    </w:p>
    <w:p w14:paraId="2F24F64F">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79DB2A62">
      <w:pPr>
        <w:pStyle w:val="2"/>
        <w:keepNext w:val="0"/>
        <w:keepLines w:val="0"/>
        <w:pageBreakBefore w:val="0"/>
        <w:widowControl/>
        <w:kinsoku w:val="0"/>
        <w:wordWrap/>
        <w:overflowPunct/>
        <w:topLinePunct w:val="0"/>
        <w:bidi w:val="0"/>
        <w:adjustRightInd w:val="0"/>
        <w:snapToGrid w:val="0"/>
        <w:spacing w:before="1" w:line="570" w:lineRule="exact"/>
        <w:jc w:val="center"/>
        <w:textAlignment w:val="baseline"/>
        <w:rPr>
          <w:rFonts w:hint="eastAsia" w:ascii="黑体" w:hAnsi="黑体" w:eastAsia="黑体" w:cs="黑体"/>
          <w:kern w:val="1"/>
          <w:sz w:val="28"/>
          <w:szCs w:val="28"/>
          <w:lang w:eastAsia="zh-CN"/>
        </w:rPr>
      </w:pPr>
      <w:r>
        <w:rPr>
          <w:rFonts w:hint="eastAsia" w:ascii="黑体" w:hAnsi="黑体" w:eastAsia="黑体"/>
          <w:position w:val="-1"/>
          <w:sz w:val="52"/>
          <w:szCs w:val="52"/>
          <w:lang w:eastAsia="zh-CN"/>
        </w:rPr>
        <w:t>第 二 章</w:t>
      </w:r>
    </w:p>
    <w:p w14:paraId="763693E9">
      <w:pPr>
        <w:keepNext w:val="0"/>
        <w:keepLines w:val="0"/>
        <w:pageBreakBefore w:val="0"/>
        <w:widowControl/>
        <w:kinsoku w:val="0"/>
        <w:wordWrap/>
        <w:overflowPunct/>
        <w:topLinePunct w:val="0"/>
        <w:bidi w:val="0"/>
        <w:adjustRightInd w:val="0"/>
        <w:snapToGrid w:val="0"/>
        <w:spacing w:line="570" w:lineRule="exact"/>
        <w:ind w:firstLine="3490"/>
        <w:textAlignment w:val="baseline"/>
        <w:rPr>
          <w:rFonts w:hint="eastAsia" w:ascii="黑体" w:hAnsi="黑体" w:eastAsia="黑体" w:cs="黑体"/>
          <w:kern w:val="1"/>
          <w:sz w:val="36"/>
          <w:szCs w:val="36"/>
          <w:lang w:eastAsia="zh-CN"/>
        </w:rPr>
      </w:pPr>
    </w:p>
    <w:p w14:paraId="0934198D">
      <w:pPr>
        <w:keepNext w:val="0"/>
        <w:keepLines w:val="0"/>
        <w:pageBreakBefore w:val="0"/>
        <w:widowControl/>
        <w:kinsoku w:val="0"/>
        <w:wordWrap/>
        <w:overflowPunct/>
        <w:topLinePunct w:val="0"/>
        <w:bidi w:val="0"/>
        <w:adjustRightInd w:val="0"/>
        <w:snapToGrid w:val="0"/>
        <w:spacing w:line="570" w:lineRule="exact"/>
        <w:jc w:val="center"/>
        <w:textAlignment w:val="baseline"/>
        <w:rPr>
          <w:rFonts w:hint="eastAsia" w:ascii="黑体" w:hAnsi="黑体" w:eastAsia="黑体" w:cs="黑体"/>
          <w:kern w:val="1"/>
          <w:sz w:val="36"/>
          <w:szCs w:val="36"/>
          <w:lang w:eastAsia="zh-CN"/>
        </w:rPr>
      </w:pPr>
      <w:r>
        <w:rPr>
          <w:rFonts w:hint="eastAsia" w:ascii="黑体" w:hAnsi="黑体" w:eastAsia="黑体" w:cs="黑体"/>
          <w:kern w:val="1"/>
          <w:sz w:val="36"/>
          <w:szCs w:val="36"/>
          <w:lang w:eastAsia="zh-CN"/>
        </w:rPr>
        <w:t>购 销 合 同</w:t>
      </w:r>
    </w:p>
    <w:p w14:paraId="0F9862BD">
      <w:pPr>
        <w:keepNext w:val="0"/>
        <w:keepLines w:val="0"/>
        <w:pageBreakBefore w:val="0"/>
        <w:widowControl/>
        <w:kinsoku w:val="0"/>
        <w:wordWrap/>
        <w:overflowPunct/>
        <w:topLinePunct w:val="0"/>
        <w:bidi w:val="0"/>
        <w:adjustRightInd w:val="0"/>
        <w:snapToGrid w:val="0"/>
        <w:spacing w:line="570" w:lineRule="exact"/>
        <w:textAlignment w:val="baseline"/>
        <w:rPr>
          <w:rFonts w:hint="eastAsia" w:ascii="黑体" w:hAnsi="黑体" w:eastAsia="黑体" w:cs="黑体"/>
          <w:kern w:val="1"/>
          <w:sz w:val="28"/>
          <w:szCs w:val="28"/>
          <w:lang w:eastAsia="zh-CN"/>
        </w:rPr>
      </w:pPr>
    </w:p>
    <w:p w14:paraId="035F86D3">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u w:val="single"/>
          <w:lang w:eastAsia="zh-CN"/>
        </w:rPr>
      </w:pPr>
      <w:r>
        <w:rPr>
          <w:rFonts w:hint="eastAsia" w:ascii="黑体" w:hAnsi="黑体" w:eastAsia="黑体" w:cs="黑体"/>
          <w:kern w:val="1"/>
          <w:sz w:val="28"/>
          <w:szCs w:val="28"/>
          <w:lang w:eastAsia="zh-CN"/>
        </w:rPr>
        <w:t>买方：四川宏达股份有限公司                  合同编号：YL-2026-</w:t>
      </w:r>
    </w:p>
    <w:p w14:paraId="4F958E11">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卖方：</w:t>
      </w:r>
    </w:p>
    <w:p w14:paraId="36633440">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u w:val="single"/>
          <w:lang w:eastAsia="zh-CN"/>
        </w:rPr>
      </w:pPr>
      <w:r>
        <w:rPr>
          <w:rFonts w:hint="eastAsia" w:ascii="黑体" w:hAnsi="黑体" w:eastAsia="黑体" w:cs="黑体"/>
          <w:kern w:val="1"/>
          <w:sz w:val="24"/>
          <w:szCs w:val="24"/>
          <w:lang w:eastAsia="zh-CN"/>
        </w:rPr>
        <w:t xml:space="preserve">   </w:t>
      </w:r>
      <w:r>
        <w:rPr>
          <w:rFonts w:hint="eastAsia" w:ascii="黑体" w:hAnsi="黑体" w:eastAsia="黑体" w:cs="黑体"/>
          <w:kern w:val="1"/>
          <w:sz w:val="28"/>
          <w:szCs w:val="28"/>
          <w:lang w:eastAsia="zh-CN"/>
        </w:rPr>
        <w:t xml:space="preserve"> 根据《中华人民共和国民法典》及有关法律法规的规定，本着平等互利、诚实守信的原则，经买卖双方协商一致，就买方向卖方高速拉丝填充母料事宜达成本合同，具体内容如下：</w:t>
      </w:r>
    </w:p>
    <w:p w14:paraId="04B74BC7">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4"/>
          <w:szCs w:val="24"/>
          <w:lang w:eastAsia="zh-CN"/>
        </w:rPr>
      </w:pPr>
      <w:r>
        <w:rPr>
          <w:rFonts w:hint="eastAsia" w:ascii="黑体" w:hAnsi="黑体" w:eastAsia="黑体" w:cs="黑体"/>
          <w:b/>
          <w:bCs/>
          <w:kern w:val="1"/>
          <w:sz w:val="24"/>
          <w:szCs w:val="24"/>
          <w:lang w:eastAsia="zh-CN"/>
        </w:rPr>
        <w:t>第一条 标的物基本信息：</w:t>
      </w:r>
    </w:p>
    <w:tbl>
      <w:tblPr>
        <w:tblStyle w:val="9"/>
        <w:tblW w:w="9935" w:type="dxa"/>
        <w:jc w:val="center"/>
        <w:tblLayout w:type="fixed"/>
        <w:tblCellMar>
          <w:top w:w="0" w:type="dxa"/>
          <w:left w:w="108" w:type="dxa"/>
          <w:bottom w:w="0" w:type="dxa"/>
          <w:right w:w="108" w:type="dxa"/>
        </w:tblCellMar>
      </w:tblPr>
      <w:tblGrid>
        <w:gridCol w:w="831"/>
        <w:gridCol w:w="1938"/>
        <w:gridCol w:w="600"/>
        <w:gridCol w:w="992"/>
        <w:gridCol w:w="1360"/>
        <w:gridCol w:w="809"/>
        <w:gridCol w:w="979"/>
        <w:gridCol w:w="1249"/>
        <w:gridCol w:w="1177"/>
      </w:tblGrid>
      <w:tr w14:paraId="28D82B0C">
        <w:tblPrEx>
          <w:tblCellMar>
            <w:top w:w="0" w:type="dxa"/>
            <w:left w:w="108" w:type="dxa"/>
            <w:bottom w:w="0" w:type="dxa"/>
            <w:right w:w="108" w:type="dxa"/>
          </w:tblCellMar>
        </w:tblPrEx>
        <w:trPr>
          <w:trHeight w:val="730" w:hRule="atLeast"/>
          <w:jc w:val="center"/>
        </w:trPr>
        <w:tc>
          <w:tcPr>
            <w:tcW w:w="831" w:type="dxa"/>
            <w:tcBorders>
              <w:top w:val="single" w:color="000000" w:sz="4" w:space="0"/>
              <w:left w:val="single" w:color="000000" w:sz="4" w:space="0"/>
              <w:bottom w:val="single" w:color="000000" w:sz="4" w:space="0"/>
              <w:right w:val="single" w:color="000000" w:sz="4" w:space="0"/>
            </w:tcBorders>
            <w:noWrap w:val="0"/>
            <w:vAlign w:val="center"/>
          </w:tcPr>
          <w:p w14:paraId="70FB6BC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r>
              <w:rPr>
                <w:rFonts w:hint="eastAsia" w:ascii="黑体" w:hAnsi="黑体" w:eastAsia="黑体" w:cs="黑体"/>
                <w:kern w:val="1"/>
                <w:sz w:val="24"/>
                <w:szCs w:val="24"/>
              </w:rPr>
              <w:t>名称</w:t>
            </w:r>
          </w:p>
        </w:tc>
        <w:tc>
          <w:tcPr>
            <w:tcW w:w="1938" w:type="dxa"/>
            <w:tcBorders>
              <w:top w:val="single" w:color="000000" w:sz="4" w:space="0"/>
              <w:left w:val="single" w:color="000000" w:sz="4" w:space="0"/>
              <w:bottom w:val="single" w:color="000000" w:sz="4" w:space="0"/>
              <w:right w:val="single" w:color="000000" w:sz="4" w:space="0"/>
            </w:tcBorders>
            <w:noWrap w:val="0"/>
            <w:vAlign w:val="center"/>
          </w:tcPr>
          <w:p w14:paraId="3FAB413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r>
              <w:rPr>
                <w:rFonts w:hint="eastAsia" w:ascii="黑体" w:hAnsi="黑体" w:eastAsia="黑体" w:cs="黑体"/>
                <w:kern w:val="1"/>
                <w:sz w:val="24"/>
                <w:szCs w:val="24"/>
              </w:rPr>
              <w:t>品种规格</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44E1F6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r>
              <w:rPr>
                <w:rFonts w:hint="eastAsia" w:ascii="黑体" w:hAnsi="黑体" w:eastAsia="黑体" w:cs="黑体"/>
                <w:kern w:val="1"/>
                <w:sz w:val="24"/>
                <w:szCs w:val="24"/>
              </w:rPr>
              <w:t>产地</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1FD8581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lang w:eastAsia="zh-CN"/>
              </w:rPr>
            </w:pPr>
            <w:r>
              <w:rPr>
                <w:rFonts w:hint="eastAsia" w:ascii="黑体" w:hAnsi="黑体" w:eastAsia="黑体" w:cs="黑体"/>
                <w:kern w:val="1"/>
                <w:sz w:val="24"/>
                <w:szCs w:val="24"/>
              </w:rPr>
              <w:t>数量</w:t>
            </w:r>
          </w:p>
          <w:p w14:paraId="58CF6D8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r>
              <w:rPr>
                <w:rFonts w:hint="eastAsia" w:ascii="黑体" w:hAnsi="黑体" w:eastAsia="黑体" w:cs="黑体"/>
                <w:kern w:val="1"/>
                <w:sz w:val="24"/>
                <w:szCs w:val="24"/>
              </w:rPr>
              <w:t>（吨）</w:t>
            </w:r>
          </w:p>
        </w:tc>
        <w:tc>
          <w:tcPr>
            <w:tcW w:w="1360" w:type="dxa"/>
            <w:tcBorders>
              <w:top w:val="single" w:color="000000" w:sz="4" w:space="0"/>
              <w:left w:val="single" w:color="000000" w:sz="4" w:space="0"/>
              <w:bottom w:val="single" w:color="000000" w:sz="4" w:space="0"/>
              <w:right w:val="single" w:color="000000" w:sz="4" w:space="0"/>
            </w:tcBorders>
            <w:noWrap w:val="0"/>
            <w:vAlign w:val="center"/>
          </w:tcPr>
          <w:p w14:paraId="76CCEF10">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黑体" w:hAnsi="黑体" w:eastAsia="黑体" w:cs="黑体"/>
                <w:kern w:val="1"/>
                <w:sz w:val="24"/>
                <w:szCs w:val="24"/>
              </w:rPr>
            </w:pPr>
            <w:r>
              <w:rPr>
                <w:rFonts w:hint="eastAsia" w:ascii="黑体" w:hAnsi="黑体" w:eastAsia="黑体" w:cs="黑体"/>
                <w:kern w:val="1"/>
                <w:sz w:val="24"/>
                <w:szCs w:val="24"/>
              </w:rPr>
              <w:t>到厂单价</w:t>
            </w:r>
          </w:p>
          <w:p w14:paraId="6B77198F">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黑体" w:hAnsi="黑体" w:eastAsia="黑体" w:cs="黑体"/>
                <w:kern w:val="1"/>
                <w:sz w:val="24"/>
                <w:szCs w:val="24"/>
              </w:rPr>
            </w:pPr>
            <w:r>
              <w:rPr>
                <w:rFonts w:hint="eastAsia" w:ascii="黑体" w:hAnsi="黑体" w:eastAsia="黑体" w:cs="黑体"/>
                <w:kern w:val="1"/>
                <w:sz w:val="24"/>
                <w:szCs w:val="24"/>
              </w:rPr>
              <w:t>（元/吨）</w:t>
            </w: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6057B03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r>
              <w:rPr>
                <w:rFonts w:hint="eastAsia" w:ascii="黑体" w:hAnsi="黑体" w:eastAsia="黑体" w:cs="黑体"/>
                <w:bCs/>
                <w:kern w:val="1"/>
                <w:sz w:val="24"/>
                <w:szCs w:val="24"/>
              </w:rPr>
              <w:t>税率</w:t>
            </w:r>
          </w:p>
        </w:tc>
        <w:tc>
          <w:tcPr>
            <w:tcW w:w="979" w:type="dxa"/>
            <w:tcBorders>
              <w:top w:val="single" w:color="000000" w:sz="4" w:space="0"/>
              <w:left w:val="single" w:color="000000" w:sz="4" w:space="0"/>
              <w:bottom w:val="single" w:color="000000" w:sz="4" w:space="0"/>
              <w:right w:val="single" w:color="000000" w:sz="4" w:space="0"/>
            </w:tcBorders>
            <w:noWrap w:val="0"/>
            <w:vAlign w:val="center"/>
          </w:tcPr>
          <w:p w14:paraId="7C72551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r>
              <w:rPr>
                <w:rFonts w:hint="eastAsia" w:ascii="黑体" w:hAnsi="黑体" w:eastAsia="黑体" w:cs="黑体"/>
                <w:kern w:val="1"/>
                <w:sz w:val="24"/>
                <w:szCs w:val="24"/>
              </w:rPr>
              <w:t>税额</w:t>
            </w:r>
          </w:p>
          <w:p w14:paraId="2A588A9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r>
              <w:rPr>
                <w:rFonts w:hint="eastAsia" w:ascii="黑体" w:hAnsi="黑体" w:eastAsia="黑体" w:cs="黑体"/>
                <w:bCs/>
                <w:kern w:val="1"/>
                <w:sz w:val="24"/>
                <w:szCs w:val="24"/>
              </w:rPr>
              <w:t>（元）</w:t>
            </w:r>
          </w:p>
        </w:tc>
        <w:tc>
          <w:tcPr>
            <w:tcW w:w="1249" w:type="dxa"/>
            <w:tcBorders>
              <w:top w:val="single" w:color="000000" w:sz="4" w:space="0"/>
              <w:left w:val="single" w:color="000000" w:sz="4" w:space="0"/>
              <w:bottom w:val="single" w:color="000000" w:sz="4" w:space="0"/>
              <w:right w:val="single" w:color="000000" w:sz="4" w:space="0"/>
            </w:tcBorders>
            <w:noWrap w:val="0"/>
            <w:vAlign w:val="center"/>
          </w:tcPr>
          <w:p w14:paraId="12385F8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r>
              <w:rPr>
                <w:rFonts w:hint="eastAsia" w:ascii="黑体" w:hAnsi="黑体" w:eastAsia="黑体" w:cs="黑体"/>
                <w:bCs/>
                <w:kern w:val="1"/>
                <w:sz w:val="24"/>
                <w:szCs w:val="24"/>
              </w:rPr>
              <w:t>不含税金额（元）</w:t>
            </w:r>
          </w:p>
        </w:tc>
        <w:tc>
          <w:tcPr>
            <w:tcW w:w="1177" w:type="dxa"/>
            <w:tcBorders>
              <w:top w:val="single" w:color="000000" w:sz="4" w:space="0"/>
              <w:left w:val="single" w:color="000000" w:sz="4" w:space="0"/>
              <w:bottom w:val="single" w:color="000000" w:sz="4" w:space="0"/>
              <w:right w:val="single" w:color="000000" w:sz="4" w:space="0"/>
            </w:tcBorders>
            <w:noWrap w:val="0"/>
            <w:vAlign w:val="center"/>
          </w:tcPr>
          <w:p w14:paraId="3BFCF03F">
            <w:pPr>
              <w:keepNext w:val="0"/>
              <w:keepLines w:val="0"/>
              <w:pageBreakBefore w:val="0"/>
              <w:widowControl/>
              <w:shd w:val="clear" w:color="000000" w:fill="FFFFFF"/>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r>
              <w:rPr>
                <w:rFonts w:hint="eastAsia" w:ascii="黑体" w:hAnsi="黑体" w:eastAsia="黑体" w:cs="黑体"/>
                <w:kern w:val="1"/>
                <w:sz w:val="24"/>
                <w:szCs w:val="24"/>
              </w:rPr>
              <w:t>含税金额</w:t>
            </w:r>
          </w:p>
          <w:p w14:paraId="7F40F997">
            <w:pPr>
              <w:keepNext w:val="0"/>
              <w:keepLines w:val="0"/>
              <w:pageBreakBefore w:val="0"/>
              <w:widowControl/>
              <w:shd w:val="clear" w:color="000000" w:fill="FFFFFF"/>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r>
              <w:rPr>
                <w:rFonts w:hint="eastAsia" w:ascii="黑体" w:hAnsi="黑体" w:eastAsia="黑体" w:cs="黑体"/>
                <w:bCs/>
                <w:kern w:val="1"/>
                <w:sz w:val="24"/>
                <w:szCs w:val="24"/>
              </w:rPr>
              <w:t>（元）</w:t>
            </w:r>
          </w:p>
        </w:tc>
      </w:tr>
      <w:tr w14:paraId="00242595">
        <w:tblPrEx>
          <w:tblCellMar>
            <w:top w:w="0" w:type="dxa"/>
            <w:left w:w="108" w:type="dxa"/>
            <w:bottom w:w="0" w:type="dxa"/>
            <w:right w:w="108" w:type="dxa"/>
          </w:tblCellMar>
        </w:tblPrEx>
        <w:trPr>
          <w:trHeight w:val="878" w:hRule="atLeast"/>
          <w:jc w:val="center"/>
        </w:trPr>
        <w:tc>
          <w:tcPr>
            <w:tcW w:w="831" w:type="dxa"/>
            <w:tcBorders>
              <w:top w:val="single" w:color="000000" w:sz="4" w:space="0"/>
              <w:left w:val="single" w:color="000000" w:sz="4" w:space="0"/>
              <w:bottom w:val="single" w:color="000000" w:sz="4" w:space="0"/>
              <w:right w:val="single" w:color="000000" w:sz="4" w:space="0"/>
            </w:tcBorders>
            <w:noWrap w:val="0"/>
            <w:vAlign w:val="center"/>
          </w:tcPr>
          <w:p w14:paraId="73C248FA">
            <w:pPr>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黑体" w:hAnsi="黑体" w:eastAsia="黑体" w:cs="黑体"/>
                <w:kern w:val="1"/>
                <w:sz w:val="24"/>
                <w:szCs w:val="24"/>
                <w:lang w:eastAsia="zh-CN"/>
              </w:rPr>
            </w:pPr>
            <w:r>
              <w:rPr>
                <w:rFonts w:hint="eastAsia" w:ascii="黑体" w:hAnsi="黑体" w:eastAsia="黑体" w:cs="黑体"/>
                <w:kern w:val="1"/>
                <w:sz w:val="24"/>
                <w:szCs w:val="24"/>
                <w:lang w:eastAsia="zh-CN"/>
              </w:rPr>
              <w:t>氢氧化钙粉</w:t>
            </w:r>
          </w:p>
        </w:tc>
        <w:tc>
          <w:tcPr>
            <w:tcW w:w="1938" w:type="dxa"/>
            <w:tcBorders>
              <w:top w:val="single" w:color="000000" w:sz="4" w:space="0"/>
              <w:left w:val="single" w:color="000000" w:sz="4" w:space="0"/>
              <w:bottom w:val="single" w:color="000000" w:sz="4" w:space="0"/>
              <w:right w:val="single" w:color="000000" w:sz="4" w:space="0"/>
            </w:tcBorders>
            <w:noWrap w:val="0"/>
            <w:vAlign w:val="center"/>
          </w:tcPr>
          <w:p w14:paraId="2B742497">
            <w:pPr>
              <w:keepNext w:val="0"/>
              <w:keepLines w:val="0"/>
              <w:pageBreakBefore w:val="0"/>
              <w:widowControl/>
              <w:kinsoku w:val="0"/>
              <w:wordWrap/>
              <w:overflowPunct/>
              <w:topLinePunct w:val="0"/>
              <w:autoSpaceDE w:val="0"/>
              <w:autoSpaceDN w:val="0"/>
              <w:bidi w:val="0"/>
              <w:adjustRightInd w:val="0"/>
              <w:snapToGrid w:val="0"/>
              <w:spacing w:line="240" w:lineRule="auto"/>
              <w:ind w:left="240" w:hanging="240" w:hangingChars="100"/>
              <w:jc w:val="center"/>
              <w:textAlignment w:val="baseline"/>
              <w:rPr>
                <w:rFonts w:hint="default" w:ascii="黑体" w:hAnsi="黑体" w:eastAsia="黑体" w:cs="黑体"/>
                <w:kern w:val="1"/>
                <w:sz w:val="24"/>
                <w:szCs w:val="24"/>
                <w:lang w:val="en-US" w:eastAsia="zh-CN"/>
              </w:rPr>
            </w:pPr>
            <w:r>
              <w:rPr>
                <w:rFonts w:hint="default" w:ascii="黑体" w:hAnsi="黑体" w:eastAsia="黑体" w:cs="黑体"/>
                <w:kern w:val="1"/>
                <w:sz w:val="24"/>
                <w:szCs w:val="24"/>
                <w:lang w:val="en-US" w:eastAsia="zh-CN"/>
              </w:rPr>
              <w:t>Ca(OH)2≥90.0%           Q/HD 3·018—2026 V版</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6F7521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黑体" w:hAnsi="黑体" w:eastAsia="黑体" w:cs="黑体"/>
                <w:kern w:val="1"/>
                <w:sz w:val="24"/>
                <w:szCs w:val="24"/>
                <w:lang w:val="en-US" w:eastAsia="zh-CN"/>
              </w:rPr>
            </w:pP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4FCB030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黑体" w:hAnsi="黑体" w:eastAsia="黑体" w:cs="黑体"/>
                <w:kern w:val="1"/>
                <w:sz w:val="24"/>
                <w:szCs w:val="24"/>
                <w:lang w:val="en-US" w:eastAsia="zh-CN"/>
              </w:rPr>
            </w:pPr>
            <w:r>
              <w:rPr>
                <w:rFonts w:hint="eastAsia" w:ascii="黑体" w:hAnsi="黑体" w:eastAsia="黑体" w:cs="黑体"/>
                <w:kern w:val="1"/>
                <w:sz w:val="24"/>
                <w:szCs w:val="24"/>
                <w:lang w:val="en-US" w:eastAsia="zh-CN"/>
              </w:rPr>
              <w:t>800</w:t>
            </w:r>
          </w:p>
        </w:tc>
        <w:tc>
          <w:tcPr>
            <w:tcW w:w="1360" w:type="dxa"/>
            <w:tcBorders>
              <w:top w:val="single" w:color="000000" w:sz="4" w:space="0"/>
              <w:left w:val="single" w:color="000000" w:sz="4" w:space="0"/>
              <w:bottom w:val="single" w:color="000000" w:sz="4" w:space="0"/>
              <w:right w:val="single" w:color="000000" w:sz="4" w:space="0"/>
            </w:tcBorders>
            <w:noWrap w:val="0"/>
            <w:vAlign w:val="center"/>
          </w:tcPr>
          <w:p w14:paraId="0E4AC48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7EB4141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r>
              <w:rPr>
                <w:rFonts w:hint="eastAsia" w:ascii="黑体" w:hAnsi="黑体" w:eastAsia="黑体" w:cs="黑体"/>
                <w:kern w:val="1"/>
                <w:sz w:val="24"/>
                <w:szCs w:val="24"/>
              </w:rPr>
              <w:t>13%</w:t>
            </w:r>
          </w:p>
        </w:tc>
        <w:tc>
          <w:tcPr>
            <w:tcW w:w="979" w:type="dxa"/>
            <w:tcBorders>
              <w:top w:val="single" w:color="000000" w:sz="4" w:space="0"/>
              <w:left w:val="single" w:color="000000" w:sz="4" w:space="0"/>
              <w:bottom w:val="single" w:color="000000" w:sz="4" w:space="0"/>
              <w:right w:val="single" w:color="000000" w:sz="4" w:space="0"/>
            </w:tcBorders>
            <w:noWrap w:val="0"/>
            <w:vAlign w:val="center"/>
          </w:tcPr>
          <w:p w14:paraId="5C0A006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p>
        </w:tc>
        <w:tc>
          <w:tcPr>
            <w:tcW w:w="1249" w:type="dxa"/>
            <w:tcBorders>
              <w:top w:val="single" w:color="000000" w:sz="4" w:space="0"/>
              <w:left w:val="single" w:color="000000" w:sz="4" w:space="0"/>
              <w:bottom w:val="single" w:color="000000" w:sz="4" w:space="0"/>
              <w:right w:val="single" w:color="000000" w:sz="4" w:space="0"/>
            </w:tcBorders>
            <w:noWrap w:val="0"/>
            <w:vAlign w:val="center"/>
          </w:tcPr>
          <w:p w14:paraId="01E117A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p>
        </w:tc>
        <w:tc>
          <w:tcPr>
            <w:tcW w:w="1177" w:type="dxa"/>
            <w:tcBorders>
              <w:top w:val="single" w:color="000000" w:sz="4" w:space="0"/>
              <w:left w:val="single" w:color="000000" w:sz="4" w:space="0"/>
              <w:bottom w:val="single" w:color="000000" w:sz="4" w:space="0"/>
              <w:right w:val="single" w:color="000000" w:sz="4" w:space="0"/>
            </w:tcBorders>
            <w:noWrap w:val="0"/>
            <w:vAlign w:val="center"/>
          </w:tcPr>
          <w:p w14:paraId="0D66698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p>
        </w:tc>
      </w:tr>
      <w:tr w14:paraId="5A8F8636">
        <w:tblPrEx>
          <w:tblCellMar>
            <w:top w:w="0" w:type="dxa"/>
            <w:left w:w="108" w:type="dxa"/>
            <w:bottom w:w="0" w:type="dxa"/>
            <w:right w:w="108" w:type="dxa"/>
          </w:tblCellMar>
        </w:tblPrEx>
        <w:trPr>
          <w:trHeight w:val="1212" w:hRule="atLeast"/>
          <w:jc w:val="center"/>
        </w:trPr>
        <w:tc>
          <w:tcPr>
            <w:tcW w:w="9935" w:type="dxa"/>
            <w:gridSpan w:val="9"/>
            <w:tcBorders>
              <w:top w:val="single" w:color="000000" w:sz="4" w:space="0"/>
              <w:left w:val="single" w:color="000000" w:sz="4" w:space="0"/>
              <w:bottom w:val="single" w:color="000000" w:sz="4" w:space="0"/>
              <w:right w:val="single" w:color="000000" w:sz="4" w:space="0"/>
            </w:tcBorders>
            <w:noWrap w:val="0"/>
            <w:vAlign w:val="center"/>
          </w:tcPr>
          <w:p w14:paraId="1F7ED138">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黑体" w:hAnsi="黑体" w:eastAsia="黑体" w:cs="黑体"/>
                <w:kern w:val="1"/>
                <w:sz w:val="24"/>
                <w:szCs w:val="24"/>
                <w:lang w:eastAsia="zh-CN"/>
              </w:rPr>
            </w:pPr>
            <w:r>
              <w:rPr>
                <w:rFonts w:hint="eastAsia" w:ascii="黑体" w:hAnsi="黑体" w:eastAsia="黑体" w:cs="黑体"/>
                <w:kern w:val="1"/>
                <w:sz w:val="24"/>
                <w:szCs w:val="24"/>
                <w:lang w:eastAsia="zh-CN"/>
              </w:rPr>
              <w:t>含税总金额（大写）：</w:t>
            </w:r>
            <w:r>
              <w:rPr>
                <w:rFonts w:hint="eastAsia" w:ascii="黑体" w:hAnsi="黑体" w:eastAsia="黑体" w:cs="黑体"/>
                <w:kern w:val="1"/>
                <w:sz w:val="24"/>
                <w:szCs w:val="24"/>
                <w:u w:val="single"/>
                <w:lang w:val="en-US" w:eastAsia="zh-CN"/>
              </w:rPr>
              <w:t xml:space="preserve">                  </w:t>
            </w:r>
            <w:r>
              <w:rPr>
                <w:rFonts w:hint="eastAsia" w:ascii="黑体" w:hAnsi="黑体" w:eastAsia="黑体" w:cs="黑体"/>
                <w:kern w:val="1"/>
                <w:sz w:val="24"/>
                <w:szCs w:val="24"/>
                <w:lang w:eastAsia="zh-CN"/>
              </w:rPr>
              <w:t>元整。</w:t>
            </w:r>
          </w:p>
          <w:p w14:paraId="69A053AE">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黑体" w:hAnsi="黑体" w:eastAsia="黑体" w:cs="黑体"/>
                <w:kern w:val="1"/>
                <w:sz w:val="24"/>
                <w:szCs w:val="24"/>
                <w:lang w:eastAsia="zh-CN"/>
              </w:rPr>
            </w:pPr>
            <w:r>
              <w:rPr>
                <w:rFonts w:hint="eastAsia" w:ascii="黑体" w:hAnsi="黑体" w:eastAsia="黑体" w:cs="黑体"/>
                <w:kern w:val="1"/>
                <w:sz w:val="24"/>
                <w:szCs w:val="24"/>
                <w:lang w:eastAsia="zh-CN"/>
              </w:rPr>
              <w:t>该价款为一次性包干总价，系卖方履行本合同项下的所有内容而能获得的全部价款，包括但不限于货款、运杂费、装车费、税金等，除此之外，不做任何调整，如有遗漏，均视为卖方的自愿让利行为。</w:t>
            </w:r>
          </w:p>
        </w:tc>
      </w:tr>
    </w:tbl>
    <w:p w14:paraId="062E9CF4">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8"/>
          <w:szCs w:val="28"/>
          <w:lang w:eastAsia="zh-CN"/>
        </w:rPr>
      </w:pPr>
      <w:r>
        <w:rPr>
          <w:rFonts w:hint="eastAsia" w:ascii="黑体" w:hAnsi="黑体" w:eastAsia="黑体" w:cs="黑体"/>
          <w:b/>
          <w:bCs/>
          <w:kern w:val="1"/>
          <w:sz w:val="28"/>
          <w:szCs w:val="28"/>
          <w:lang w:eastAsia="zh-CN"/>
        </w:rPr>
        <w:t>第二条 质量标准及要求：</w:t>
      </w:r>
    </w:p>
    <w:p w14:paraId="0BD41EAA">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color w:val="auto"/>
          <w:kern w:val="1"/>
          <w:sz w:val="28"/>
          <w:szCs w:val="28"/>
          <w:lang w:eastAsia="zh-CN"/>
        </w:rPr>
      </w:pPr>
      <w:r>
        <w:rPr>
          <w:rFonts w:hint="eastAsia" w:ascii="黑体" w:hAnsi="黑体" w:eastAsia="黑体" w:cs="黑体"/>
          <w:kern w:val="1"/>
          <w:sz w:val="28"/>
          <w:szCs w:val="28"/>
          <w:lang w:eastAsia="zh-CN"/>
        </w:rPr>
        <w:t>1.卖方随车提供对应批次的检测报告单。</w:t>
      </w:r>
    </w:p>
    <w:p w14:paraId="34291FB0">
      <w:pPr>
        <w:keepNext w:val="0"/>
        <w:keepLines w:val="0"/>
        <w:pageBreakBefore w:val="0"/>
        <w:widowControl/>
        <w:kinsoku w:val="0"/>
        <w:wordWrap/>
        <w:overflowPunct/>
        <w:topLinePunct w:val="0"/>
        <w:bidi w:val="0"/>
        <w:adjustRightInd w:val="0"/>
        <w:snapToGrid w:val="0"/>
        <w:spacing w:line="500" w:lineRule="exact"/>
        <w:textAlignment w:val="baseline"/>
        <w:rPr>
          <w:rFonts w:hint="default" w:ascii="黑体" w:hAnsi="黑体" w:eastAsia="黑体" w:cs="黑体"/>
          <w:color w:val="auto"/>
          <w:kern w:val="1"/>
          <w:sz w:val="28"/>
          <w:szCs w:val="28"/>
          <w:lang w:val="en-US" w:eastAsia="zh-CN"/>
        </w:rPr>
      </w:pPr>
      <w:r>
        <w:rPr>
          <w:rFonts w:hint="eastAsia" w:ascii="黑体" w:hAnsi="黑体" w:eastAsia="黑体" w:cs="黑体"/>
          <w:color w:val="auto"/>
          <w:kern w:val="1"/>
          <w:sz w:val="28"/>
          <w:szCs w:val="28"/>
          <w:lang w:val="en-US" w:eastAsia="zh-CN"/>
        </w:rPr>
        <w:t>2.其他：应同时符合买方现行有效的《主要原材料内控质量标准及结算办法》（以下简称“《结算办法》”，详见合同附件）中相关条款的规定。</w:t>
      </w:r>
    </w:p>
    <w:p w14:paraId="503D40AD">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8"/>
          <w:szCs w:val="28"/>
          <w:lang w:eastAsia="zh-CN"/>
        </w:rPr>
      </w:pPr>
      <w:r>
        <w:rPr>
          <w:rFonts w:hint="eastAsia" w:ascii="黑体" w:hAnsi="黑体" w:eastAsia="黑体" w:cs="黑体"/>
          <w:b/>
          <w:bCs/>
          <w:kern w:val="1"/>
          <w:sz w:val="28"/>
          <w:szCs w:val="28"/>
          <w:lang w:eastAsia="zh-CN"/>
        </w:rPr>
        <w:t>第三条 交货地点及方式：</w:t>
      </w:r>
    </w:p>
    <w:p w14:paraId="524F5AE2">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1.交货地点：</w:t>
      </w:r>
      <w:r>
        <w:rPr>
          <w:rFonts w:hint="eastAsia" w:ascii="黑体" w:hAnsi="黑体" w:eastAsia="黑体" w:cs="黑体"/>
          <w:sz w:val="28"/>
          <w:szCs w:val="28"/>
          <w:lang w:eastAsia="zh-CN"/>
        </w:rPr>
        <w:t>买</w:t>
      </w:r>
      <w:r>
        <w:rPr>
          <w:rFonts w:hint="eastAsia" w:ascii="黑体" w:hAnsi="黑体" w:eastAsia="黑体" w:cs="黑体"/>
          <w:sz w:val="28"/>
          <w:szCs w:val="28"/>
          <w:lang w:val="en-US" w:eastAsia="zh-CN"/>
        </w:rPr>
        <w:t>方</w:t>
      </w:r>
      <w:r>
        <w:rPr>
          <w:rFonts w:hint="eastAsia" w:ascii="黑体" w:hAnsi="黑体" w:eastAsia="黑体" w:cs="黑体"/>
          <w:sz w:val="28"/>
          <w:szCs w:val="28"/>
          <w:lang w:eastAsia="zh-CN"/>
        </w:rPr>
        <w:t>（四川省什邡市</w:t>
      </w:r>
      <w:r>
        <w:rPr>
          <w:rFonts w:hint="eastAsia" w:ascii="黑体" w:hAnsi="黑体" w:eastAsia="黑体" w:cs="黑体"/>
          <w:sz w:val="28"/>
          <w:szCs w:val="28"/>
          <w:lang w:val="en-US" w:eastAsia="zh-CN"/>
        </w:rPr>
        <w:t>洛水镇</w:t>
      </w:r>
      <w:r>
        <w:rPr>
          <w:rFonts w:hint="eastAsia" w:ascii="黑体" w:hAnsi="黑体" w:eastAsia="黑体" w:cs="黑体"/>
          <w:sz w:val="28"/>
          <w:szCs w:val="28"/>
          <w:lang w:eastAsia="zh-CN"/>
        </w:rPr>
        <w:t>）</w:t>
      </w:r>
      <w:r>
        <w:rPr>
          <w:rFonts w:hint="eastAsia" w:ascii="黑体" w:hAnsi="黑体" w:eastAsia="黑体" w:cs="黑体"/>
          <w:kern w:val="1"/>
          <w:sz w:val="28"/>
          <w:szCs w:val="28"/>
          <w:lang w:eastAsia="zh-CN"/>
        </w:rPr>
        <w:t>。</w:t>
      </w:r>
    </w:p>
    <w:p w14:paraId="54BCACBB">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2.交货方式：卖方送货到交货地点。</w:t>
      </w:r>
    </w:p>
    <w:p w14:paraId="41C7C51C">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3.</w:t>
      </w:r>
      <w:r>
        <w:rPr>
          <w:rFonts w:hint="eastAsia" w:ascii="黑体" w:hAnsi="黑体" w:eastAsia="黑体" w:cs="黑体"/>
          <w:bCs/>
          <w:kern w:val="1"/>
          <w:sz w:val="28"/>
          <w:szCs w:val="28"/>
          <w:lang w:eastAsia="zh-CN"/>
        </w:rPr>
        <w:t>交货时间：2026年    月   日至2026年  月   日，根据买方需求和通知的时间均衡送货到厂。</w:t>
      </w:r>
    </w:p>
    <w:p w14:paraId="4CBCC225">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8"/>
          <w:szCs w:val="28"/>
          <w:lang w:eastAsia="zh-CN"/>
        </w:rPr>
      </w:pPr>
      <w:r>
        <w:rPr>
          <w:rFonts w:hint="eastAsia" w:ascii="黑体" w:hAnsi="黑体" w:eastAsia="黑体" w:cs="黑体"/>
          <w:b/>
          <w:bCs/>
          <w:kern w:val="1"/>
          <w:sz w:val="28"/>
          <w:szCs w:val="28"/>
          <w:lang w:eastAsia="zh-CN"/>
        </w:rPr>
        <w:t>第四条 运输方式、包装要求、运费承担：</w:t>
      </w:r>
    </w:p>
    <w:p w14:paraId="7B93D546">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1.运输方式：汽车运输。</w:t>
      </w:r>
    </w:p>
    <w:p w14:paraId="3DB3B73F">
      <w:pPr>
        <w:keepNext w:val="0"/>
        <w:keepLines w:val="0"/>
        <w:pageBreakBefore w:val="0"/>
        <w:widowControl/>
        <w:kinsoku w:val="0"/>
        <w:wordWrap/>
        <w:overflowPunct/>
        <w:topLinePunct w:val="0"/>
        <w:bidi w:val="0"/>
        <w:adjustRightInd w:val="0"/>
        <w:snapToGrid w:val="0"/>
        <w:spacing w:line="500" w:lineRule="exact"/>
        <w:textAlignment w:val="baseline"/>
        <w:rPr>
          <w:rFonts w:hint="default" w:ascii="黑体" w:hAnsi="黑体" w:eastAsia="黑体" w:cs="黑体"/>
          <w:kern w:val="1"/>
          <w:sz w:val="28"/>
          <w:szCs w:val="28"/>
          <w:lang w:val="en-US" w:eastAsia="zh-CN"/>
        </w:rPr>
      </w:pPr>
      <w:r>
        <w:rPr>
          <w:rFonts w:hint="eastAsia" w:ascii="黑体" w:hAnsi="黑体" w:eastAsia="黑体" w:cs="黑体"/>
          <w:kern w:val="1"/>
          <w:sz w:val="28"/>
          <w:szCs w:val="28"/>
          <w:lang w:eastAsia="zh-CN"/>
        </w:rPr>
        <w:t>2.包装要求：</w:t>
      </w:r>
      <w:r>
        <w:rPr>
          <w:rFonts w:hint="eastAsia" w:ascii="黑体" w:hAnsi="黑体" w:eastAsia="黑体" w:cs="黑体"/>
          <w:kern w:val="1"/>
          <w:sz w:val="28"/>
          <w:szCs w:val="28"/>
          <w:lang w:val="en-US" w:eastAsia="zh-CN"/>
        </w:rPr>
        <w:t>/</w:t>
      </w:r>
    </w:p>
    <w:p w14:paraId="72E5D5C3">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3.风险及运费承担：标的物运输过程中的一切货损风险和交付买方之前的运费、保险费、装卸费、杂费等相关费用均由卖方承担。</w:t>
      </w:r>
    </w:p>
    <w:p w14:paraId="39F74282">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8"/>
          <w:szCs w:val="28"/>
          <w:lang w:eastAsia="zh-CN"/>
        </w:rPr>
      </w:pPr>
      <w:r>
        <w:rPr>
          <w:rFonts w:hint="eastAsia" w:ascii="黑体" w:hAnsi="黑体" w:eastAsia="黑体" w:cs="黑体"/>
          <w:b/>
          <w:bCs/>
          <w:kern w:val="1"/>
          <w:sz w:val="28"/>
          <w:szCs w:val="28"/>
          <w:lang w:eastAsia="zh-CN"/>
        </w:rPr>
        <w:t>第五条 标的物验收：</w:t>
      </w:r>
    </w:p>
    <w:p w14:paraId="54AFC7BC">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Cs/>
          <w:color w:val="auto"/>
          <w:sz w:val="28"/>
          <w:szCs w:val="28"/>
          <w:lang w:eastAsia="zh-CN"/>
        </w:rPr>
      </w:pPr>
      <w:r>
        <w:rPr>
          <w:rFonts w:hint="eastAsia" w:ascii="黑体" w:hAnsi="黑体" w:eastAsia="黑体" w:cs="黑体"/>
          <w:color w:val="auto"/>
          <w:kern w:val="1"/>
          <w:sz w:val="28"/>
          <w:szCs w:val="28"/>
          <w:lang w:eastAsia="zh-CN"/>
        </w:rPr>
        <w:t>1.标的物数量验收以买方地磅计量为准。</w:t>
      </w:r>
    </w:p>
    <w:p w14:paraId="5B3BFD60">
      <w:pPr>
        <w:keepNext w:val="0"/>
        <w:keepLines w:val="0"/>
        <w:pageBreakBefore w:val="0"/>
        <w:widowControl/>
        <w:kinsoku w:val="0"/>
        <w:wordWrap/>
        <w:overflowPunct/>
        <w:topLinePunct w:val="0"/>
        <w:bidi w:val="0"/>
        <w:adjustRightInd w:val="0"/>
        <w:snapToGrid w:val="0"/>
        <w:spacing w:line="500" w:lineRule="exact"/>
        <w:textAlignment w:val="baseline"/>
        <w:rPr>
          <w:rFonts w:hint="default" w:ascii="黑体" w:hAnsi="黑体" w:eastAsia="黑体" w:cs="黑体"/>
          <w:color w:val="auto"/>
          <w:kern w:val="1"/>
          <w:sz w:val="28"/>
          <w:szCs w:val="28"/>
          <w:highlight w:val="none"/>
          <w:lang w:val="en-US" w:eastAsia="zh-CN"/>
        </w:rPr>
      </w:pPr>
      <w:r>
        <w:rPr>
          <w:rFonts w:hint="eastAsia" w:ascii="黑体" w:hAnsi="黑体" w:eastAsia="黑体" w:cs="黑体"/>
          <w:color w:val="auto"/>
          <w:kern w:val="1"/>
          <w:sz w:val="28"/>
          <w:szCs w:val="28"/>
          <w:lang w:eastAsia="zh-CN"/>
        </w:rPr>
        <w:t>2.标的物质量验收以买方</w:t>
      </w:r>
      <w:r>
        <w:rPr>
          <w:rFonts w:hint="eastAsia" w:ascii="黑体" w:hAnsi="黑体" w:eastAsia="黑体" w:cs="黑体"/>
          <w:color w:val="auto"/>
          <w:kern w:val="1"/>
          <w:sz w:val="28"/>
          <w:szCs w:val="28"/>
          <w:lang w:val="en-US" w:eastAsia="zh-CN"/>
        </w:rPr>
        <w:t>检验报告为准。在收货时由买方负责取样，卖方负责监督，如有异议，买卖双方在现场提</w:t>
      </w:r>
      <w:r>
        <w:rPr>
          <w:rFonts w:hint="eastAsia" w:ascii="黑体" w:hAnsi="黑体" w:eastAsia="黑体" w:cs="黑体"/>
          <w:color w:val="auto"/>
          <w:kern w:val="1"/>
          <w:sz w:val="28"/>
          <w:szCs w:val="28"/>
          <w:highlight w:val="none"/>
          <w:lang w:val="en-US" w:eastAsia="zh-CN"/>
        </w:rPr>
        <w:t>出;样品由买卖双方；样品由买卖双方业务代表共同签字认可（如卖方未派人监督取样、制样，则视为卖方认可买方所取样品）。检验报告结果由买方口头/书面通知卖方或由卖方自行前往买方查阅检验报告。）</w:t>
      </w:r>
    </w:p>
    <w:p w14:paraId="67828B19">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color w:val="auto"/>
          <w:kern w:val="1"/>
          <w:sz w:val="28"/>
          <w:szCs w:val="28"/>
          <w:lang w:eastAsia="zh-CN"/>
        </w:rPr>
      </w:pPr>
      <w:r>
        <w:rPr>
          <w:rFonts w:hint="eastAsia" w:ascii="黑体" w:hAnsi="黑体" w:eastAsia="黑体" w:cs="黑体"/>
          <w:color w:val="auto"/>
          <w:kern w:val="1"/>
          <w:sz w:val="28"/>
          <w:szCs w:val="28"/>
          <w:lang w:eastAsia="zh-CN"/>
        </w:rPr>
        <w:t>3.卖方异议处置：如卖方对买方出具的检验报告有异议，卖方应于检验报告出具后15个自然日内提出书面异议，异议处置的流和要求按买方现行有效的规章制度执行。在签署本合同前买方确认已将该制度告知卖方，卖方确认已知晓并承诺遵守其全部内容方逾期未提出异议的，视为卖方认同买方的检测结果。</w:t>
      </w:r>
    </w:p>
    <w:p w14:paraId="32083527">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8"/>
          <w:szCs w:val="28"/>
          <w:lang w:eastAsia="zh-CN"/>
        </w:rPr>
      </w:pPr>
      <w:r>
        <w:rPr>
          <w:rFonts w:hint="eastAsia" w:ascii="黑体" w:hAnsi="黑体" w:eastAsia="黑体" w:cs="黑体"/>
          <w:b/>
          <w:bCs/>
          <w:kern w:val="1"/>
          <w:sz w:val="28"/>
          <w:szCs w:val="28"/>
          <w:lang w:eastAsia="zh-CN"/>
        </w:rPr>
        <w:t>第六条 结算依据及标准：</w:t>
      </w:r>
    </w:p>
    <w:p w14:paraId="57DD300A">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color w:val="auto"/>
          <w:sz w:val="28"/>
          <w:szCs w:val="28"/>
          <w:lang w:eastAsia="zh-CN"/>
        </w:rPr>
      </w:pPr>
      <w:r>
        <w:rPr>
          <w:rFonts w:hint="eastAsia" w:ascii="黑体" w:hAnsi="黑体" w:eastAsia="黑体" w:cs="黑体"/>
          <w:color w:val="auto"/>
          <w:sz w:val="28"/>
          <w:szCs w:val="28"/>
          <w:lang w:eastAsia="zh-CN"/>
        </w:rPr>
        <w:t>1.以买方的验收报告和实收数量为结算依据。</w:t>
      </w:r>
    </w:p>
    <w:p w14:paraId="337A33F0">
      <w:pPr>
        <w:keepNext w:val="0"/>
        <w:keepLines w:val="0"/>
        <w:pageBreakBefore w:val="0"/>
        <w:widowControl/>
        <w:kinsoku w:val="0"/>
        <w:wordWrap/>
        <w:overflowPunct/>
        <w:topLinePunct w:val="0"/>
        <w:bidi w:val="0"/>
        <w:adjustRightInd w:val="0"/>
        <w:snapToGrid w:val="0"/>
        <w:spacing w:line="500" w:lineRule="exact"/>
        <w:textAlignment w:val="baseline"/>
        <w:rPr>
          <w:rFonts w:hint="default" w:ascii="黑体" w:hAnsi="黑体" w:eastAsia="黑体" w:cs="黑体"/>
          <w:color w:val="auto"/>
          <w:sz w:val="28"/>
          <w:szCs w:val="28"/>
          <w:lang w:val="en-US" w:eastAsia="zh-CN"/>
        </w:rPr>
      </w:pPr>
      <w:r>
        <w:rPr>
          <w:rFonts w:hint="eastAsia" w:ascii="黑体" w:hAnsi="黑体" w:eastAsia="黑体" w:cs="黑体"/>
          <w:color w:val="auto"/>
          <w:sz w:val="28"/>
          <w:szCs w:val="28"/>
          <w:lang w:eastAsia="zh-CN"/>
        </w:rPr>
        <w:t>2.卖方所供标的物按买方现行有效的《结算办法》进行结算。《结算办法》中质量指标在财务结算时数据保留三位小数，三位小数点后四舍五入，卖方在签署本合同前已知晓《结算办法》的全部</w:t>
      </w:r>
      <w:r>
        <w:rPr>
          <w:rFonts w:hint="eastAsia" w:ascii="黑体" w:hAnsi="黑体" w:eastAsia="黑体" w:cs="黑体"/>
          <w:color w:val="auto"/>
          <w:sz w:val="28"/>
          <w:szCs w:val="28"/>
          <w:lang w:val="en-US" w:eastAsia="zh-CN"/>
        </w:rPr>
        <w:t>内容。</w:t>
      </w:r>
    </w:p>
    <w:p w14:paraId="338BE1FF">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8"/>
          <w:szCs w:val="28"/>
          <w:lang w:eastAsia="zh-CN"/>
        </w:rPr>
      </w:pPr>
      <w:r>
        <w:rPr>
          <w:rFonts w:hint="eastAsia" w:ascii="黑体" w:hAnsi="黑体" w:eastAsia="黑体" w:cs="黑体"/>
          <w:b/>
          <w:bCs/>
          <w:kern w:val="1"/>
          <w:sz w:val="28"/>
          <w:szCs w:val="28"/>
          <w:lang w:eastAsia="zh-CN"/>
        </w:rPr>
        <w:t>第七条 付款方式及发票：</w:t>
      </w:r>
    </w:p>
    <w:p w14:paraId="4021C3BF">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1、付款方式：先货后款，银行现汇支付。</w:t>
      </w:r>
    </w:p>
    <w:p w14:paraId="5B8B3C24">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2、发票：一票制，卖方应向买方出具合法有效的符合买方要求的全额增值税专用发票（税率13%）。</w:t>
      </w:r>
    </w:p>
    <w:p w14:paraId="2612B77D">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8"/>
          <w:szCs w:val="28"/>
          <w:lang w:eastAsia="zh-CN"/>
        </w:rPr>
      </w:pPr>
      <w:r>
        <w:rPr>
          <w:rFonts w:hint="eastAsia" w:ascii="黑体" w:hAnsi="黑体" w:eastAsia="黑体" w:cs="黑体"/>
          <w:b/>
          <w:bCs/>
          <w:kern w:val="1"/>
          <w:sz w:val="28"/>
          <w:szCs w:val="28"/>
          <w:lang w:eastAsia="zh-CN"/>
        </w:rPr>
        <w:t>第八条违约责任：</w:t>
      </w:r>
    </w:p>
    <w:p w14:paraId="0DF48841">
      <w:pPr>
        <w:keepNext w:val="0"/>
        <w:keepLines w:val="0"/>
        <w:pageBreakBefore w:val="0"/>
        <w:widowControl/>
        <w:numPr>
          <w:ilvl w:val="0"/>
          <w:numId w:val="1"/>
        </w:numPr>
        <w:kinsoku w:val="0"/>
        <w:wordWrap/>
        <w:overflowPunct/>
        <w:topLinePunct w:val="0"/>
        <w:bidi w:val="0"/>
        <w:adjustRightInd w:val="0"/>
        <w:snapToGrid w:val="0"/>
        <w:spacing w:line="500" w:lineRule="exact"/>
        <w:textAlignment w:val="baseline"/>
        <w:rPr>
          <w:rFonts w:hint="eastAsia" w:ascii="黑体" w:hAnsi="黑体" w:eastAsia="黑体" w:cs="黑体"/>
          <w:sz w:val="28"/>
          <w:szCs w:val="28"/>
          <w:lang w:eastAsia="zh-CN"/>
        </w:rPr>
      </w:pPr>
      <w:r>
        <w:rPr>
          <w:rFonts w:hint="eastAsia" w:ascii="黑体" w:hAnsi="黑体" w:eastAsia="黑体" w:cs="黑体"/>
          <w:sz w:val="28"/>
          <w:szCs w:val="28"/>
          <w:lang w:eastAsia="zh-CN"/>
        </w:rPr>
        <w:t>卖方应具备合法的经营资质，并向买方主动提供相应证件。如因弄虚作假造成的一切法律责任和经济纠纷由卖方承担。</w:t>
      </w:r>
    </w:p>
    <w:p w14:paraId="683A58A7">
      <w:pPr>
        <w:keepNext w:val="0"/>
        <w:keepLines w:val="0"/>
        <w:pageBreakBefore w:val="0"/>
        <w:widowControl/>
        <w:numPr>
          <w:ilvl w:val="0"/>
          <w:numId w:val="1"/>
        </w:numPr>
        <w:kinsoku w:val="0"/>
        <w:wordWrap/>
        <w:overflowPunct/>
        <w:topLinePunct w:val="0"/>
        <w:bidi w:val="0"/>
        <w:adjustRightInd w:val="0"/>
        <w:snapToGrid w:val="0"/>
        <w:spacing w:line="500" w:lineRule="exact"/>
        <w:textAlignment w:val="baseline"/>
        <w:rPr>
          <w:rFonts w:hint="eastAsia" w:ascii="黑体" w:hAnsi="黑体" w:eastAsia="黑体" w:cs="黑体"/>
          <w:sz w:val="28"/>
          <w:szCs w:val="28"/>
          <w:lang w:eastAsia="zh-CN"/>
        </w:rPr>
      </w:pPr>
      <w:r>
        <w:rPr>
          <w:rFonts w:hint="eastAsia" w:ascii="黑体" w:hAnsi="黑体" w:eastAsia="黑体" w:cs="黑体"/>
          <w:sz w:val="28"/>
          <w:szCs w:val="28"/>
          <w:lang w:eastAsia="zh-CN"/>
        </w:rPr>
        <w:t>卖方必须保证所供标的物整车均匀，质量一致，如卖方弄虚作假导致所供标的物质量参差不齐，买方有权按该车所载标的物的最低品位进行结算。卖方因此给买方造成的损失，由卖方承担相应的经济责任与法律责任。</w:t>
      </w:r>
    </w:p>
    <w:p w14:paraId="28F81B1B">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sz w:val="28"/>
          <w:szCs w:val="28"/>
          <w:lang w:eastAsia="zh-CN"/>
        </w:rPr>
      </w:pPr>
      <w:r>
        <w:rPr>
          <w:rFonts w:hint="eastAsia" w:ascii="黑体" w:hAnsi="黑体" w:eastAsia="黑体" w:cs="黑体"/>
          <w:sz w:val="28"/>
          <w:szCs w:val="28"/>
          <w:lang w:val="en-US" w:eastAsia="zh-CN"/>
        </w:rPr>
        <w:t>3.</w:t>
      </w:r>
      <w:r>
        <w:rPr>
          <w:rFonts w:hint="eastAsia" w:ascii="黑体" w:hAnsi="黑体" w:eastAsia="黑体" w:cs="黑体"/>
          <w:sz w:val="28"/>
          <w:szCs w:val="28"/>
          <w:lang w:eastAsia="zh-CN"/>
        </w:rPr>
        <w:t>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3日内提交记载不可抗力的详细情况及无法履行本协议的证明文件。市场价格波动、运力不足不得作为免责事由，双方另有约定的除外。</w:t>
      </w:r>
    </w:p>
    <w:p w14:paraId="3A9D8C37">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8"/>
          <w:szCs w:val="28"/>
          <w:lang w:eastAsia="zh-CN"/>
        </w:rPr>
      </w:pPr>
      <w:r>
        <w:rPr>
          <w:rFonts w:hint="eastAsia" w:ascii="黑体" w:hAnsi="黑体" w:eastAsia="黑体" w:cs="黑体"/>
          <w:b/>
          <w:bCs/>
          <w:kern w:val="1"/>
          <w:sz w:val="28"/>
          <w:szCs w:val="28"/>
          <w:lang w:eastAsia="zh-CN"/>
        </w:rPr>
        <w:t>第九条</w:t>
      </w:r>
      <w:r>
        <w:rPr>
          <w:rFonts w:hint="eastAsia" w:ascii="黑体" w:hAnsi="黑体" w:eastAsia="黑体" w:cs="黑体"/>
          <w:b/>
          <w:bCs/>
          <w:kern w:val="1"/>
          <w:sz w:val="28"/>
          <w:szCs w:val="28"/>
          <w:lang w:val="en-US" w:eastAsia="zh-CN"/>
        </w:rPr>
        <w:t xml:space="preserve"> </w:t>
      </w:r>
      <w:r>
        <w:rPr>
          <w:rFonts w:hint="eastAsia" w:ascii="黑体" w:hAnsi="黑体" w:eastAsia="黑体" w:cs="黑体"/>
          <w:b/>
          <w:bCs/>
          <w:kern w:val="1"/>
          <w:sz w:val="28"/>
          <w:szCs w:val="28"/>
          <w:lang w:eastAsia="zh-CN"/>
        </w:rPr>
        <w:t>争议解决方式：</w:t>
      </w:r>
    </w:p>
    <w:p w14:paraId="414417A0">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因履行本合同而产生争议或纠纷，买卖双方应尽量协商解决，协商不成的，应向买方住所地有管辖权的人民法院提起诉讼。</w:t>
      </w:r>
    </w:p>
    <w:p w14:paraId="4FBC54FD">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8"/>
          <w:szCs w:val="28"/>
          <w:lang w:eastAsia="zh-CN"/>
        </w:rPr>
      </w:pPr>
      <w:r>
        <w:rPr>
          <w:rFonts w:hint="eastAsia" w:ascii="黑体" w:hAnsi="黑体" w:eastAsia="黑体" w:cs="黑体"/>
          <w:b/>
          <w:bCs/>
          <w:kern w:val="1"/>
          <w:sz w:val="28"/>
          <w:szCs w:val="28"/>
          <w:lang w:eastAsia="zh-CN"/>
        </w:rPr>
        <w:t>第十条  通知与送达：</w:t>
      </w:r>
    </w:p>
    <w:p w14:paraId="42C87A17">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双方以本合同载明的通讯联络方式作为通知的依据，双方员工通过未载明的微信账号发送通知的，应出具证明劳动关系的相应材料。双方通讯方式变更的，应提前三天书面通知对方，否则按原通讯方式送达仍视为有效送达。</w:t>
      </w:r>
    </w:p>
    <w:p w14:paraId="689DE09F">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8"/>
          <w:szCs w:val="28"/>
          <w:lang w:eastAsia="zh-CN"/>
        </w:rPr>
      </w:pPr>
      <w:r>
        <w:rPr>
          <w:rFonts w:hint="eastAsia" w:ascii="黑体" w:hAnsi="黑体" w:eastAsia="黑体" w:cs="黑体"/>
          <w:b/>
          <w:bCs/>
          <w:kern w:val="1"/>
          <w:sz w:val="28"/>
          <w:szCs w:val="28"/>
          <w:lang w:eastAsia="zh-CN"/>
        </w:rPr>
        <w:t>第十一条 合同有效期限：</w:t>
      </w:r>
    </w:p>
    <w:p w14:paraId="77733294">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rPr>
        <w:t>本合同有效期自202</w:t>
      </w:r>
      <w:r>
        <w:rPr>
          <w:rFonts w:hint="eastAsia" w:ascii="黑体" w:hAnsi="黑体" w:eastAsia="黑体" w:cs="黑体"/>
          <w:kern w:val="1"/>
          <w:sz w:val="28"/>
          <w:szCs w:val="28"/>
          <w:lang w:eastAsia="zh-CN"/>
        </w:rPr>
        <w:t>6</w:t>
      </w:r>
      <w:r>
        <w:rPr>
          <w:rFonts w:hint="eastAsia" w:ascii="黑体" w:hAnsi="黑体" w:eastAsia="黑体" w:cs="黑体"/>
          <w:kern w:val="1"/>
          <w:sz w:val="28"/>
          <w:szCs w:val="28"/>
        </w:rPr>
        <w:t xml:space="preserve">年 </w:t>
      </w:r>
      <w:r>
        <w:rPr>
          <w:rFonts w:hint="eastAsia" w:ascii="黑体" w:hAnsi="黑体" w:eastAsia="黑体" w:cs="黑体"/>
          <w:kern w:val="1"/>
          <w:sz w:val="28"/>
          <w:szCs w:val="28"/>
          <w:lang w:eastAsia="zh-CN"/>
        </w:rPr>
        <w:t xml:space="preserve">  </w:t>
      </w:r>
      <w:r>
        <w:rPr>
          <w:rFonts w:hint="eastAsia" w:ascii="黑体" w:hAnsi="黑体" w:eastAsia="黑体" w:cs="黑体"/>
          <w:kern w:val="1"/>
          <w:sz w:val="28"/>
          <w:szCs w:val="28"/>
        </w:rPr>
        <w:t>月    日起至202</w:t>
      </w:r>
      <w:r>
        <w:rPr>
          <w:rFonts w:hint="eastAsia" w:ascii="黑体" w:hAnsi="黑体" w:eastAsia="黑体" w:cs="黑体"/>
          <w:kern w:val="1"/>
          <w:sz w:val="28"/>
          <w:szCs w:val="28"/>
          <w:lang w:eastAsia="zh-CN"/>
        </w:rPr>
        <w:t>6</w:t>
      </w:r>
      <w:r>
        <w:rPr>
          <w:rFonts w:hint="eastAsia" w:ascii="黑体" w:hAnsi="黑体" w:eastAsia="黑体" w:cs="黑体"/>
          <w:kern w:val="1"/>
          <w:sz w:val="28"/>
          <w:szCs w:val="28"/>
        </w:rPr>
        <w:t>年   月     日止。合同约定数量完成或合同有效期限届满本合同自动终止，若双方有意向继续合作的，由双方协商一致另行签订书面合同</w:t>
      </w:r>
      <w:r>
        <w:rPr>
          <w:rFonts w:hint="eastAsia" w:ascii="黑体" w:hAnsi="黑体" w:eastAsia="黑体" w:cs="黑体"/>
          <w:kern w:val="1"/>
          <w:sz w:val="28"/>
          <w:szCs w:val="28"/>
          <w:lang w:eastAsia="zh-CN"/>
        </w:rPr>
        <w:t>。</w:t>
      </w:r>
    </w:p>
    <w:p w14:paraId="4010CDEC">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8"/>
          <w:szCs w:val="28"/>
          <w:lang w:eastAsia="zh-CN"/>
        </w:rPr>
      </w:pPr>
      <w:r>
        <w:rPr>
          <w:rFonts w:hint="eastAsia" w:ascii="黑体" w:hAnsi="黑体" w:eastAsia="黑体" w:cs="黑体"/>
          <w:b/>
          <w:bCs/>
          <w:kern w:val="1"/>
          <w:sz w:val="28"/>
          <w:szCs w:val="28"/>
          <w:lang w:eastAsia="zh-CN"/>
        </w:rPr>
        <w:t>第十二条 合同生效及份数;</w:t>
      </w:r>
    </w:p>
    <w:p w14:paraId="684A5E9D">
      <w:pPr>
        <w:pStyle w:val="2"/>
        <w:keepNext w:val="0"/>
        <w:keepLines w:val="0"/>
        <w:pageBreakBefore w:val="0"/>
        <w:widowControl/>
        <w:kinsoku w:val="0"/>
        <w:wordWrap/>
        <w:overflowPunct/>
        <w:topLinePunct w:val="0"/>
        <w:bidi w:val="0"/>
        <w:adjustRightInd w:val="0"/>
        <w:snapToGrid w:val="0"/>
        <w:spacing w:before="186" w:line="500" w:lineRule="exact"/>
        <w:ind w:left="76"/>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本合同自买卖双方加盖公章/合同专用章后生效。本合同一式肆份，买卖双方各执贰份，具有同等法律效力。</w:t>
      </w:r>
    </w:p>
    <w:p w14:paraId="162326F0">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8"/>
          <w:szCs w:val="28"/>
          <w:lang w:eastAsia="zh-CN"/>
        </w:rPr>
      </w:pPr>
      <w:r>
        <w:rPr>
          <w:rFonts w:hint="eastAsia" w:ascii="黑体" w:hAnsi="黑体" w:eastAsia="黑体" w:cs="黑体"/>
          <w:b/>
          <w:bCs/>
          <w:kern w:val="1"/>
          <w:sz w:val="28"/>
          <w:szCs w:val="28"/>
          <w:lang w:eastAsia="zh-CN"/>
        </w:rPr>
        <w:t>第十三条 其它约定事项:</w:t>
      </w:r>
    </w:p>
    <w:p w14:paraId="6307BC5A">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1.本合同价格为不变价。</w:t>
      </w:r>
    </w:p>
    <w:p w14:paraId="318116CC">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2.买方的真实意思表示以买方用印公章/合同专用章后的合同为准。本合同项下加盖的其他买方印章及买方员工签字无效，对买方不具有约束力。若由此给卖方造成损失的，买方不承担任何责任。</w:t>
      </w:r>
    </w:p>
    <w:p w14:paraId="75C3E685">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3.在标的物交付给买方之前，所发生的安全、环保事故（包括但不限于人身伤害、财产损失、环保污染事故等），由卖方承担全部责任及损失。若因此给买方或第三方造成经济损失，由卖方全额赔偿。</w:t>
      </w:r>
    </w:p>
    <w:p w14:paraId="6CCFEB37">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4.卖方车辆进出买方厂区时应遵守买方交通安全管理、内部环境和职业健康等现行有效的相关规定，并接受买方厂区管理人员指挥。卖方确认在签署本合同前已知晓其全部内容。</w:t>
      </w:r>
    </w:p>
    <w:p w14:paraId="37C6BEDA">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rPr>
      </w:pPr>
      <w:r>
        <w:rPr>
          <w:rFonts w:hint="eastAsia" w:ascii="黑体" w:hAnsi="黑体" w:eastAsia="黑体" w:cs="黑体"/>
          <w:kern w:val="1"/>
          <w:sz w:val="28"/>
          <w:szCs w:val="28"/>
          <w:lang w:eastAsia="zh-CN"/>
        </w:rPr>
        <w:t xml:space="preserve"> </w:t>
      </w:r>
      <w:r>
        <w:rPr>
          <w:rFonts w:hint="eastAsia" w:ascii="黑体" w:hAnsi="黑体" w:eastAsia="黑体" w:cs="黑体"/>
          <w:kern w:val="1"/>
          <w:sz w:val="28"/>
          <w:szCs w:val="28"/>
        </w:rPr>
        <w:t>(以下无正文）：</w:t>
      </w:r>
    </w:p>
    <w:tbl>
      <w:tblPr>
        <w:tblStyle w:val="9"/>
        <w:tblW w:w="9628" w:type="dxa"/>
        <w:tblInd w:w="-81" w:type="dxa"/>
        <w:tblLayout w:type="autofit"/>
        <w:tblCellMar>
          <w:top w:w="0" w:type="dxa"/>
          <w:left w:w="108" w:type="dxa"/>
          <w:bottom w:w="0" w:type="dxa"/>
          <w:right w:w="108" w:type="dxa"/>
        </w:tblCellMar>
      </w:tblPr>
      <w:tblGrid>
        <w:gridCol w:w="4876"/>
        <w:gridCol w:w="4752"/>
      </w:tblGrid>
      <w:tr w14:paraId="2B1FBCE0">
        <w:tblPrEx>
          <w:tblCellMar>
            <w:top w:w="0" w:type="dxa"/>
            <w:left w:w="108" w:type="dxa"/>
            <w:bottom w:w="0" w:type="dxa"/>
            <w:right w:w="108" w:type="dxa"/>
          </w:tblCellMar>
        </w:tblPrEx>
        <w:trPr>
          <w:trHeight w:val="575" w:hRule="atLeast"/>
        </w:trPr>
        <w:tc>
          <w:tcPr>
            <w:tcW w:w="4876" w:type="dxa"/>
            <w:tcBorders>
              <w:top w:val="single" w:color="000000" w:sz="4" w:space="0"/>
              <w:left w:val="single" w:color="000000" w:sz="4" w:space="0"/>
              <w:bottom w:val="single" w:color="000000" w:sz="4" w:space="0"/>
              <w:right w:val="single" w:color="000000" w:sz="4" w:space="0"/>
            </w:tcBorders>
            <w:noWrap w:val="0"/>
            <w:vAlign w:val="top"/>
          </w:tcPr>
          <w:p w14:paraId="0C71C947">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买方（盖章）：四川宏达股份有限公司</w:t>
            </w:r>
          </w:p>
        </w:tc>
        <w:tc>
          <w:tcPr>
            <w:tcW w:w="4752" w:type="dxa"/>
            <w:tcBorders>
              <w:top w:val="single" w:color="000000" w:sz="4" w:space="0"/>
              <w:left w:val="single" w:color="000000" w:sz="4" w:space="0"/>
              <w:bottom w:val="single" w:color="000000" w:sz="4" w:space="0"/>
              <w:right w:val="single" w:color="000000" w:sz="4" w:space="0"/>
            </w:tcBorders>
            <w:noWrap w:val="0"/>
            <w:vAlign w:val="top"/>
          </w:tcPr>
          <w:p w14:paraId="2C1A9190">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 xml:space="preserve">卖方（盖章）： </w:t>
            </w:r>
          </w:p>
        </w:tc>
      </w:tr>
      <w:tr w14:paraId="339316C0">
        <w:tblPrEx>
          <w:tblCellMar>
            <w:top w:w="0" w:type="dxa"/>
            <w:left w:w="108" w:type="dxa"/>
            <w:bottom w:w="0" w:type="dxa"/>
            <w:right w:w="108" w:type="dxa"/>
          </w:tblCellMar>
        </w:tblPrEx>
        <w:trPr>
          <w:trHeight w:val="774" w:hRule="atLeast"/>
        </w:trPr>
        <w:tc>
          <w:tcPr>
            <w:tcW w:w="4876" w:type="dxa"/>
            <w:tcBorders>
              <w:top w:val="single" w:color="000000" w:sz="4" w:space="0"/>
              <w:left w:val="single" w:color="000000" w:sz="4" w:space="0"/>
              <w:bottom w:val="single" w:color="000000" w:sz="4" w:space="0"/>
              <w:right w:val="single" w:color="000000" w:sz="4" w:space="0"/>
            </w:tcBorders>
            <w:noWrap w:val="0"/>
            <w:vAlign w:val="top"/>
          </w:tcPr>
          <w:p w14:paraId="64C21194">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业务代表（签字）：</w:t>
            </w:r>
          </w:p>
        </w:tc>
        <w:tc>
          <w:tcPr>
            <w:tcW w:w="4752" w:type="dxa"/>
            <w:tcBorders>
              <w:top w:val="single" w:color="000000" w:sz="4" w:space="0"/>
              <w:left w:val="single" w:color="000000" w:sz="4" w:space="0"/>
              <w:bottom w:val="single" w:color="000000" w:sz="4" w:space="0"/>
              <w:right w:val="single" w:color="000000" w:sz="4" w:space="0"/>
            </w:tcBorders>
            <w:noWrap w:val="0"/>
            <w:vAlign w:val="center"/>
          </w:tcPr>
          <w:p w14:paraId="18CC7AF7">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业务代表（签字）：</w:t>
            </w:r>
          </w:p>
        </w:tc>
      </w:tr>
      <w:tr w14:paraId="5F515E90">
        <w:tblPrEx>
          <w:tblCellMar>
            <w:top w:w="0" w:type="dxa"/>
            <w:left w:w="108" w:type="dxa"/>
            <w:bottom w:w="0" w:type="dxa"/>
            <w:right w:w="108" w:type="dxa"/>
          </w:tblCellMar>
        </w:tblPrEx>
        <w:trPr>
          <w:trHeight w:val="575" w:hRule="atLeast"/>
        </w:trPr>
        <w:tc>
          <w:tcPr>
            <w:tcW w:w="4876" w:type="dxa"/>
            <w:tcBorders>
              <w:top w:val="single" w:color="000000" w:sz="4" w:space="0"/>
              <w:left w:val="single" w:color="000000" w:sz="4" w:space="0"/>
              <w:bottom w:val="single" w:color="000000" w:sz="4" w:space="0"/>
              <w:right w:val="single" w:color="000000" w:sz="4" w:space="0"/>
            </w:tcBorders>
            <w:noWrap w:val="0"/>
            <w:vAlign w:val="center"/>
          </w:tcPr>
          <w:p w14:paraId="5FCBE913">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联系人及电话：</w:t>
            </w:r>
          </w:p>
        </w:tc>
        <w:tc>
          <w:tcPr>
            <w:tcW w:w="4752" w:type="dxa"/>
            <w:tcBorders>
              <w:top w:val="single" w:color="000000" w:sz="4" w:space="0"/>
              <w:left w:val="single" w:color="000000" w:sz="4" w:space="0"/>
              <w:bottom w:val="single" w:color="000000" w:sz="4" w:space="0"/>
              <w:right w:val="single" w:color="000000" w:sz="4" w:space="0"/>
            </w:tcBorders>
            <w:noWrap w:val="0"/>
            <w:vAlign w:val="center"/>
          </w:tcPr>
          <w:p w14:paraId="32FEA7EF">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联系人及电话：</w:t>
            </w:r>
          </w:p>
        </w:tc>
      </w:tr>
      <w:tr w14:paraId="1046114E">
        <w:tblPrEx>
          <w:tblCellMar>
            <w:top w:w="0" w:type="dxa"/>
            <w:left w:w="108" w:type="dxa"/>
            <w:bottom w:w="0" w:type="dxa"/>
            <w:right w:w="108" w:type="dxa"/>
          </w:tblCellMar>
        </w:tblPrEx>
        <w:trPr>
          <w:trHeight w:val="870" w:hRule="atLeast"/>
        </w:trPr>
        <w:tc>
          <w:tcPr>
            <w:tcW w:w="4876" w:type="dxa"/>
            <w:tcBorders>
              <w:top w:val="single" w:color="000000" w:sz="4" w:space="0"/>
              <w:left w:val="single" w:color="000000" w:sz="4" w:space="0"/>
              <w:bottom w:val="single" w:color="000000" w:sz="4" w:space="0"/>
              <w:right w:val="single" w:color="000000" w:sz="4" w:space="0"/>
            </w:tcBorders>
            <w:noWrap w:val="0"/>
            <w:vAlign w:val="center"/>
          </w:tcPr>
          <w:p w14:paraId="7455FAEB">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通讯地址：四川省什邡市师古镇九里埂村</w:t>
            </w:r>
          </w:p>
        </w:tc>
        <w:tc>
          <w:tcPr>
            <w:tcW w:w="4752" w:type="dxa"/>
            <w:tcBorders>
              <w:top w:val="single" w:color="000000" w:sz="4" w:space="0"/>
              <w:left w:val="single" w:color="000000" w:sz="4" w:space="0"/>
              <w:bottom w:val="single" w:color="000000" w:sz="4" w:space="0"/>
              <w:right w:val="single" w:color="000000" w:sz="4" w:space="0"/>
            </w:tcBorders>
            <w:noWrap w:val="0"/>
            <w:vAlign w:val="center"/>
          </w:tcPr>
          <w:p w14:paraId="0ABF2DB4">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 xml:space="preserve">通讯地址： </w:t>
            </w:r>
          </w:p>
        </w:tc>
      </w:tr>
      <w:tr w14:paraId="33C1650C">
        <w:tblPrEx>
          <w:tblCellMar>
            <w:top w:w="0" w:type="dxa"/>
            <w:left w:w="108" w:type="dxa"/>
            <w:bottom w:w="0" w:type="dxa"/>
            <w:right w:w="108" w:type="dxa"/>
          </w:tblCellMar>
        </w:tblPrEx>
        <w:trPr>
          <w:trHeight w:val="590" w:hRule="atLeast"/>
        </w:trPr>
        <w:tc>
          <w:tcPr>
            <w:tcW w:w="4876" w:type="dxa"/>
            <w:tcBorders>
              <w:top w:val="single" w:color="000000" w:sz="4" w:space="0"/>
              <w:left w:val="single" w:color="000000" w:sz="4" w:space="0"/>
              <w:bottom w:val="single" w:color="000000" w:sz="4" w:space="0"/>
              <w:right w:val="single" w:color="000000" w:sz="4" w:space="0"/>
            </w:tcBorders>
            <w:noWrap w:val="0"/>
            <w:vAlign w:val="center"/>
          </w:tcPr>
          <w:p w14:paraId="7B5A731E">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开户行：中国银行什邡支行</w:t>
            </w:r>
          </w:p>
        </w:tc>
        <w:tc>
          <w:tcPr>
            <w:tcW w:w="4752" w:type="dxa"/>
            <w:tcBorders>
              <w:top w:val="single" w:color="000000" w:sz="4" w:space="0"/>
              <w:left w:val="single" w:color="000000" w:sz="4" w:space="0"/>
              <w:bottom w:val="single" w:color="000000" w:sz="4" w:space="0"/>
              <w:right w:val="single" w:color="000000" w:sz="4" w:space="0"/>
            </w:tcBorders>
            <w:noWrap w:val="0"/>
            <w:vAlign w:val="center"/>
          </w:tcPr>
          <w:p w14:paraId="1CF4FD1F">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 xml:space="preserve">开户行： </w:t>
            </w:r>
          </w:p>
        </w:tc>
      </w:tr>
      <w:tr w14:paraId="69371340">
        <w:tblPrEx>
          <w:tblCellMar>
            <w:top w:w="0" w:type="dxa"/>
            <w:left w:w="108" w:type="dxa"/>
            <w:bottom w:w="0" w:type="dxa"/>
            <w:right w:w="108" w:type="dxa"/>
          </w:tblCellMar>
        </w:tblPrEx>
        <w:trPr>
          <w:trHeight w:val="498" w:hRule="atLeast"/>
        </w:trPr>
        <w:tc>
          <w:tcPr>
            <w:tcW w:w="4876" w:type="dxa"/>
            <w:tcBorders>
              <w:top w:val="single" w:color="000000" w:sz="4" w:space="0"/>
              <w:left w:val="single" w:color="000000" w:sz="4" w:space="0"/>
              <w:bottom w:val="single" w:color="000000" w:sz="4" w:space="0"/>
              <w:right w:val="single" w:color="000000" w:sz="4" w:space="0"/>
            </w:tcBorders>
            <w:noWrap w:val="0"/>
            <w:vAlign w:val="center"/>
          </w:tcPr>
          <w:p w14:paraId="10C422F5">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帐号：121203636202</w:t>
            </w:r>
          </w:p>
        </w:tc>
        <w:tc>
          <w:tcPr>
            <w:tcW w:w="4752" w:type="dxa"/>
            <w:tcBorders>
              <w:top w:val="single" w:color="000000" w:sz="4" w:space="0"/>
              <w:left w:val="single" w:color="000000" w:sz="4" w:space="0"/>
              <w:bottom w:val="single" w:color="000000" w:sz="4" w:space="0"/>
              <w:right w:val="single" w:color="000000" w:sz="4" w:space="0"/>
            </w:tcBorders>
            <w:noWrap w:val="0"/>
            <w:vAlign w:val="center"/>
          </w:tcPr>
          <w:p w14:paraId="299F28F0">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4"/>
                <w:szCs w:val="24"/>
              </w:rPr>
            </w:pPr>
            <w:r>
              <w:rPr>
                <w:rFonts w:hint="eastAsia" w:ascii="黑体" w:hAnsi="黑体" w:eastAsia="黑体" w:cs="黑体"/>
                <w:kern w:val="1"/>
                <w:sz w:val="24"/>
                <w:szCs w:val="24"/>
              </w:rPr>
              <w:t>帐号：</w:t>
            </w:r>
          </w:p>
        </w:tc>
      </w:tr>
      <w:tr w14:paraId="73FFFD2A">
        <w:tblPrEx>
          <w:tblCellMar>
            <w:top w:w="0" w:type="dxa"/>
            <w:left w:w="108" w:type="dxa"/>
            <w:bottom w:w="0" w:type="dxa"/>
            <w:right w:w="108" w:type="dxa"/>
          </w:tblCellMar>
        </w:tblPrEx>
        <w:trPr>
          <w:trHeight w:val="621" w:hRule="atLeast"/>
        </w:trPr>
        <w:tc>
          <w:tcPr>
            <w:tcW w:w="4876" w:type="dxa"/>
            <w:tcBorders>
              <w:top w:val="single" w:color="000000" w:sz="4" w:space="0"/>
              <w:left w:val="single" w:color="000000" w:sz="4" w:space="0"/>
              <w:bottom w:val="single" w:color="000000" w:sz="4" w:space="0"/>
              <w:right w:val="single" w:color="000000" w:sz="4" w:space="0"/>
            </w:tcBorders>
            <w:noWrap w:val="0"/>
            <w:vAlign w:val="center"/>
          </w:tcPr>
          <w:p w14:paraId="25D91BDB">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税号:91510600205363163Y</w:t>
            </w:r>
          </w:p>
        </w:tc>
        <w:tc>
          <w:tcPr>
            <w:tcW w:w="4752" w:type="dxa"/>
            <w:tcBorders>
              <w:top w:val="single" w:color="000000" w:sz="4" w:space="0"/>
              <w:left w:val="single" w:color="000000" w:sz="4" w:space="0"/>
              <w:bottom w:val="single" w:color="000000" w:sz="4" w:space="0"/>
              <w:right w:val="single" w:color="000000" w:sz="4" w:space="0"/>
            </w:tcBorders>
            <w:noWrap w:val="0"/>
            <w:vAlign w:val="center"/>
          </w:tcPr>
          <w:p w14:paraId="3B2A78BF">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4"/>
                <w:szCs w:val="24"/>
              </w:rPr>
            </w:pPr>
            <w:r>
              <w:rPr>
                <w:rFonts w:hint="eastAsia" w:ascii="黑体" w:hAnsi="黑体" w:eastAsia="黑体" w:cs="黑体"/>
                <w:kern w:val="1"/>
                <w:sz w:val="24"/>
                <w:szCs w:val="24"/>
              </w:rPr>
              <w:t>税号：</w:t>
            </w:r>
          </w:p>
        </w:tc>
      </w:tr>
      <w:tr w14:paraId="3767657A">
        <w:tblPrEx>
          <w:tblCellMar>
            <w:top w:w="0" w:type="dxa"/>
            <w:left w:w="108" w:type="dxa"/>
            <w:bottom w:w="0" w:type="dxa"/>
            <w:right w:w="108" w:type="dxa"/>
          </w:tblCellMar>
        </w:tblPrEx>
        <w:trPr>
          <w:trHeight w:val="636" w:hRule="atLeast"/>
        </w:trPr>
        <w:tc>
          <w:tcPr>
            <w:tcW w:w="4876" w:type="dxa"/>
            <w:tcBorders>
              <w:top w:val="single" w:color="000000" w:sz="4" w:space="0"/>
              <w:left w:val="single" w:color="000000" w:sz="4" w:space="0"/>
              <w:bottom w:val="single" w:color="000000" w:sz="4" w:space="0"/>
              <w:right w:val="single" w:color="000000" w:sz="4" w:space="0"/>
            </w:tcBorders>
            <w:noWrap w:val="0"/>
            <w:vAlign w:val="center"/>
          </w:tcPr>
          <w:p w14:paraId="3217AB87">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签订日期：2026年   月   日</w:t>
            </w:r>
          </w:p>
        </w:tc>
        <w:tc>
          <w:tcPr>
            <w:tcW w:w="4752" w:type="dxa"/>
            <w:tcBorders>
              <w:top w:val="single" w:color="000000" w:sz="4" w:space="0"/>
              <w:left w:val="single" w:color="000000" w:sz="4" w:space="0"/>
              <w:bottom w:val="single" w:color="000000" w:sz="4" w:space="0"/>
              <w:right w:val="single" w:color="000000" w:sz="4" w:space="0"/>
            </w:tcBorders>
            <w:noWrap w:val="0"/>
            <w:vAlign w:val="center"/>
          </w:tcPr>
          <w:p w14:paraId="764F3D02">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签订地点：什邡市洛水镇</w:t>
            </w:r>
          </w:p>
        </w:tc>
      </w:tr>
    </w:tbl>
    <w:p w14:paraId="1806BEA1">
      <w:pPr>
        <w:keepNext w:val="0"/>
        <w:keepLines w:val="0"/>
        <w:pageBreakBefore w:val="0"/>
        <w:widowControl/>
        <w:kinsoku w:val="0"/>
        <w:wordWrap/>
        <w:overflowPunct/>
        <w:topLinePunct w:val="0"/>
        <w:bidi w:val="0"/>
        <w:adjustRightInd w:val="0"/>
        <w:snapToGrid w:val="0"/>
        <w:spacing w:line="500" w:lineRule="exact"/>
        <w:ind w:firstLine="6720" w:firstLineChars="2400"/>
        <w:textAlignment w:val="baseline"/>
        <w:rPr>
          <w:rFonts w:hint="eastAsia" w:ascii="黑体" w:hAnsi="黑体" w:eastAsia="黑体" w:cs="黑体"/>
          <w:sz w:val="28"/>
          <w:szCs w:val="28"/>
          <w:lang w:eastAsia="zh-CN"/>
        </w:rPr>
      </w:pPr>
    </w:p>
    <w:p w14:paraId="78F44D72">
      <w:pPr>
        <w:keepNext w:val="0"/>
        <w:keepLines w:val="0"/>
        <w:pageBreakBefore w:val="0"/>
        <w:widowControl/>
        <w:kinsoku w:val="0"/>
        <w:wordWrap/>
        <w:overflowPunct/>
        <w:topLinePunct w:val="0"/>
        <w:bidi w:val="0"/>
        <w:adjustRightInd w:val="0"/>
        <w:snapToGrid w:val="0"/>
        <w:spacing w:line="500" w:lineRule="exact"/>
        <w:ind w:firstLine="6720" w:firstLineChars="2400"/>
        <w:textAlignment w:val="baseline"/>
        <w:rPr>
          <w:rFonts w:hint="eastAsia" w:ascii="黑体" w:hAnsi="黑体" w:eastAsia="黑体" w:cs="黑体"/>
          <w:sz w:val="28"/>
          <w:szCs w:val="28"/>
          <w:lang w:eastAsia="zh-CN"/>
        </w:rPr>
      </w:pPr>
    </w:p>
    <w:p w14:paraId="6579E925">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0C386A32">
      <w:pPr>
        <w:keepNext w:val="0"/>
        <w:keepLines w:val="0"/>
        <w:pageBreakBefore w:val="0"/>
        <w:kinsoku w:val="0"/>
        <w:wordWrap/>
        <w:overflowPunct/>
        <w:topLinePunct w:val="0"/>
        <w:bidi w:val="0"/>
        <w:adjustRightInd w:val="0"/>
        <w:snapToGrid w:val="0"/>
        <w:spacing w:line="240" w:lineRule="auto"/>
        <w:textAlignment w:val="baseline"/>
        <w:rPr>
          <w:rFonts w:hint="eastAsia" w:ascii="黑体" w:hAnsi="黑体" w:eastAsia="黑体" w:cs="黑体"/>
          <w:sz w:val="28"/>
          <w:szCs w:val="28"/>
          <w:lang w:eastAsia="zh-CN"/>
        </w:rPr>
      </w:pPr>
      <w:r>
        <w:rPr>
          <w:rFonts w:hint="eastAsia" w:ascii="黑体" w:hAnsi="黑体" w:eastAsia="黑体" w:cs="黑体"/>
          <w:sz w:val="28"/>
          <w:szCs w:val="28"/>
          <w:lang w:val="en-US" w:eastAsia="zh-CN"/>
        </w:rPr>
        <w:t>附件：</w:t>
      </w:r>
      <w:r>
        <w:rPr>
          <w:rFonts w:hint="eastAsia" w:ascii="黑体" w:hAnsi="黑体" w:eastAsia="黑体" w:cs="黑体"/>
          <w:sz w:val="28"/>
          <w:szCs w:val="28"/>
          <w:lang w:eastAsia="zh-CN"/>
        </w:rPr>
        <w:drawing>
          <wp:inline distT="0" distB="0" distL="114300" distR="114300">
            <wp:extent cx="5644515" cy="7985125"/>
            <wp:effectExtent l="0" t="0" r="6985" b="3175"/>
            <wp:docPr id="1" name="图片 1" descr="氢氧化钙内控质量标准及结算办法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氢氧化钙内控质量标准及结算办法_00"/>
                    <pic:cNvPicPr>
                      <a:picLocks noChangeAspect="1"/>
                    </pic:cNvPicPr>
                  </pic:nvPicPr>
                  <pic:blipFill>
                    <a:blip r:embed="rId8"/>
                    <a:stretch>
                      <a:fillRect/>
                    </a:stretch>
                  </pic:blipFill>
                  <pic:spPr>
                    <a:xfrm>
                      <a:off x="0" y="0"/>
                      <a:ext cx="5644515" cy="7985125"/>
                    </a:xfrm>
                    <a:prstGeom prst="rect">
                      <a:avLst/>
                    </a:prstGeom>
                  </pic:spPr>
                </pic:pic>
              </a:graphicData>
            </a:graphic>
          </wp:inline>
        </w:drawing>
      </w:r>
    </w:p>
    <w:p w14:paraId="388A93D1">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default" w:ascii="黑体" w:hAnsi="黑体" w:eastAsia="黑体" w:cs="黑体"/>
          <w:sz w:val="28"/>
          <w:szCs w:val="28"/>
          <w:lang w:val="en-US" w:eastAsia="zh-CN"/>
        </w:rPr>
      </w:pPr>
    </w:p>
    <w:p w14:paraId="7E7E854B">
      <w:pPr>
        <w:pStyle w:val="2"/>
        <w:spacing w:before="1" w:line="184" w:lineRule="auto"/>
        <w:rPr>
          <w:rFonts w:ascii="黑体" w:hAnsi="黑体" w:eastAsia="黑体"/>
          <w:position w:val="-1"/>
          <w:sz w:val="16"/>
          <w:szCs w:val="16"/>
          <w:lang w:eastAsia="zh-CN"/>
        </w:rPr>
      </w:pPr>
    </w:p>
    <w:p w14:paraId="18CD596E">
      <w:pPr>
        <w:spacing w:line="250" w:lineRule="auto"/>
        <w:rPr>
          <w:rFonts w:ascii="黑体" w:hAnsi="黑体" w:eastAsia="黑体"/>
          <w:lang w:eastAsia="zh-CN"/>
        </w:rPr>
      </w:pPr>
    </w:p>
    <w:p w14:paraId="7ED1BB90">
      <w:pPr>
        <w:spacing w:line="250" w:lineRule="auto"/>
        <w:rPr>
          <w:rFonts w:ascii="黑体" w:hAnsi="黑体" w:eastAsia="黑体"/>
          <w:lang w:eastAsia="zh-CN"/>
        </w:rPr>
      </w:pPr>
    </w:p>
    <w:p w14:paraId="380147D4">
      <w:pPr>
        <w:spacing w:line="250" w:lineRule="auto"/>
        <w:rPr>
          <w:rFonts w:ascii="黑体" w:hAnsi="黑体" w:eastAsia="黑体"/>
          <w:lang w:eastAsia="zh-CN"/>
        </w:rPr>
      </w:pPr>
    </w:p>
    <w:p w14:paraId="5675977C">
      <w:pPr>
        <w:spacing w:line="250" w:lineRule="auto"/>
        <w:rPr>
          <w:rFonts w:ascii="黑体" w:hAnsi="黑体" w:eastAsia="黑体"/>
          <w:lang w:eastAsia="zh-CN"/>
        </w:rPr>
      </w:pPr>
    </w:p>
    <w:p w14:paraId="76A05C82">
      <w:pPr>
        <w:spacing w:line="250" w:lineRule="auto"/>
        <w:rPr>
          <w:rFonts w:ascii="黑体" w:hAnsi="黑体" w:eastAsia="黑体"/>
          <w:lang w:eastAsia="zh-CN"/>
        </w:rPr>
      </w:pPr>
    </w:p>
    <w:p w14:paraId="4E86EABC">
      <w:pPr>
        <w:spacing w:line="250" w:lineRule="auto"/>
        <w:rPr>
          <w:rFonts w:ascii="黑体" w:hAnsi="黑体" w:eastAsia="黑体"/>
          <w:lang w:eastAsia="zh-CN"/>
        </w:rPr>
      </w:pPr>
    </w:p>
    <w:p w14:paraId="619AA45E">
      <w:pPr>
        <w:kinsoku/>
        <w:jc w:val="center"/>
        <w:rPr>
          <w:rFonts w:ascii="黑体" w:hAnsi="黑体" w:eastAsia="黑体"/>
          <w:color w:val="auto"/>
          <w:sz w:val="44"/>
          <w:szCs w:val="44"/>
          <w:lang w:eastAsia="zh-CN"/>
        </w:rPr>
      </w:pPr>
      <w:r>
        <w:rPr>
          <w:rFonts w:hint="eastAsia" w:ascii="黑体" w:hAnsi="黑体" w:eastAsia="黑体"/>
          <w:color w:val="auto"/>
          <w:sz w:val="44"/>
          <w:szCs w:val="44"/>
          <w:lang w:eastAsia="zh-CN"/>
        </w:rPr>
        <w:t>第三章</w:t>
      </w:r>
    </w:p>
    <w:p w14:paraId="4D3F817D">
      <w:pPr>
        <w:kinsoku/>
        <w:ind w:firstLine="640" w:firstLineChars="200"/>
        <w:jc w:val="center"/>
        <w:rPr>
          <w:rFonts w:ascii="黑体" w:hAnsi="黑体" w:eastAsia="黑体"/>
          <w:color w:val="auto"/>
          <w:sz w:val="32"/>
          <w:szCs w:val="32"/>
          <w:lang w:val="zh-CN" w:eastAsia="zh-CN"/>
        </w:rPr>
      </w:pPr>
    </w:p>
    <w:p w14:paraId="7C348572">
      <w:pPr>
        <w:tabs>
          <w:tab w:val="left" w:pos="2980"/>
          <w:tab w:val="left" w:pos="3828"/>
          <w:tab w:val="center" w:pos="4422"/>
        </w:tabs>
        <w:kinsoku/>
        <w:jc w:val="center"/>
        <w:textAlignment w:val="bottom"/>
        <w:rPr>
          <w:rFonts w:ascii="黑体" w:hAnsi="黑体" w:eastAsia="黑体" w:cs="宋体"/>
          <w:color w:val="auto"/>
          <w:sz w:val="44"/>
          <w:szCs w:val="44"/>
          <w:lang w:eastAsia="zh-CN"/>
        </w:rPr>
      </w:pPr>
      <w:r>
        <w:rPr>
          <w:rFonts w:hint="eastAsia" w:ascii="黑体" w:hAnsi="黑体" w:eastAsia="黑体" w:cs="宋体"/>
          <w:b/>
          <w:bCs/>
          <w:color w:val="auto"/>
          <w:sz w:val="32"/>
          <w:szCs w:val="32"/>
          <w:lang w:eastAsia="zh-CN"/>
        </w:rPr>
        <w:t>磷化工动力厂氢氧化钙采购</w:t>
      </w:r>
    </w:p>
    <w:p w14:paraId="11D2C995">
      <w:pPr>
        <w:kinsoku/>
        <w:jc w:val="center"/>
        <w:rPr>
          <w:rFonts w:ascii="黑体" w:hAnsi="黑体" w:eastAsia="黑体"/>
          <w:color w:val="auto"/>
          <w:sz w:val="32"/>
          <w:szCs w:val="32"/>
          <w:lang w:eastAsia="zh-CN"/>
        </w:rPr>
      </w:pPr>
    </w:p>
    <w:p w14:paraId="3D7F67FB">
      <w:pPr>
        <w:kinsoku/>
        <w:jc w:val="center"/>
        <w:rPr>
          <w:rFonts w:ascii="黑体" w:hAnsi="黑体" w:eastAsia="黑体"/>
          <w:b/>
          <w:color w:val="auto"/>
          <w:sz w:val="32"/>
          <w:szCs w:val="32"/>
          <w:lang w:eastAsia="zh-CN"/>
        </w:rPr>
      </w:pPr>
      <w:r>
        <w:rPr>
          <w:rFonts w:hint="eastAsia" w:ascii="黑体" w:hAnsi="黑体" w:eastAsia="黑体"/>
          <w:b/>
          <w:color w:val="auto"/>
          <w:sz w:val="32"/>
          <w:szCs w:val="32"/>
          <w:lang w:eastAsia="zh-CN"/>
        </w:rPr>
        <w:t>响应性文件</w:t>
      </w:r>
    </w:p>
    <w:p w14:paraId="2634B60F">
      <w:pPr>
        <w:kinsoku/>
        <w:spacing w:line="440" w:lineRule="exact"/>
        <w:ind w:firstLine="1440" w:firstLineChars="400"/>
        <w:rPr>
          <w:rFonts w:ascii="黑体" w:hAnsi="黑体" w:eastAsia="黑体"/>
          <w:color w:val="auto"/>
          <w:sz w:val="36"/>
          <w:szCs w:val="36"/>
          <w:lang w:eastAsia="zh-CN"/>
        </w:rPr>
      </w:pPr>
    </w:p>
    <w:p w14:paraId="54552952">
      <w:pPr>
        <w:kinsoku/>
        <w:spacing w:line="440" w:lineRule="exact"/>
        <w:ind w:firstLine="1440" w:firstLineChars="400"/>
        <w:rPr>
          <w:rFonts w:ascii="黑体" w:hAnsi="黑体" w:eastAsia="黑体"/>
          <w:color w:val="auto"/>
          <w:sz w:val="36"/>
          <w:szCs w:val="36"/>
          <w:lang w:eastAsia="zh-CN"/>
        </w:rPr>
      </w:pPr>
    </w:p>
    <w:p w14:paraId="1855BADC">
      <w:pPr>
        <w:kinsoku/>
        <w:spacing w:line="440" w:lineRule="exact"/>
        <w:ind w:firstLine="1440" w:firstLineChars="400"/>
        <w:rPr>
          <w:rFonts w:ascii="黑体" w:hAnsi="黑体" w:eastAsia="黑体"/>
          <w:color w:val="auto"/>
          <w:sz w:val="36"/>
          <w:szCs w:val="36"/>
          <w:lang w:eastAsia="zh-CN"/>
        </w:rPr>
      </w:pPr>
      <w:r>
        <w:rPr>
          <w:rFonts w:hint="eastAsia" w:ascii="黑体" w:hAnsi="黑体" w:eastAsia="黑体"/>
          <w:color w:val="auto"/>
          <w:sz w:val="36"/>
          <w:szCs w:val="36"/>
          <w:lang w:eastAsia="zh-CN"/>
        </w:rPr>
        <w:t>供应商名称：（盖单位章）</w:t>
      </w:r>
    </w:p>
    <w:p w14:paraId="728420A5">
      <w:pPr>
        <w:kinsoku/>
        <w:ind w:firstLine="720" w:firstLineChars="200"/>
        <w:rPr>
          <w:rFonts w:ascii="黑体" w:hAnsi="黑体" w:eastAsia="黑体"/>
          <w:color w:val="auto"/>
          <w:sz w:val="36"/>
          <w:szCs w:val="36"/>
          <w:lang w:eastAsia="zh-CN"/>
        </w:rPr>
      </w:pPr>
    </w:p>
    <w:p w14:paraId="39814D55">
      <w:pPr>
        <w:kinsoku/>
        <w:ind w:firstLine="1285" w:firstLineChars="400"/>
        <w:rPr>
          <w:rFonts w:ascii="黑体" w:hAnsi="黑体" w:eastAsia="黑体" w:cs="新宋体"/>
          <w:b/>
          <w:color w:val="auto"/>
          <w:sz w:val="32"/>
          <w:u w:val="single"/>
          <w:lang w:eastAsia="zh-CN"/>
        </w:rPr>
      </w:pPr>
    </w:p>
    <w:p w14:paraId="46685741">
      <w:pPr>
        <w:spacing w:line="360" w:lineRule="exact"/>
        <w:ind w:firstLine="1405" w:firstLineChars="500"/>
        <w:rPr>
          <w:rFonts w:ascii="黑体" w:hAnsi="黑体" w:eastAsia="黑体" w:cs="Times New Roman"/>
          <w:b/>
          <w:sz w:val="28"/>
          <w:szCs w:val="28"/>
          <w:lang w:eastAsia="zh-CN"/>
        </w:rPr>
      </w:pPr>
      <w:r>
        <w:rPr>
          <w:rFonts w:hint="eastAsia" w:ascii="黑体" w:hAnsi="黑体" w:eastAsia="黑体" w:cs="Times New Roman"/>
          <w:b/>
          <w:sz w:val="28"/>
          <w:szCs w:val="28"/>
          <w:lang w:eastAsia="zh-CN"/>
        </w:rPr>
        <w:t>一：企业营业执照</w:t>
      </w:r>
    </w:p>
    <w:p w14:paraId="3E0255A8">
      <w:pPr>
        <w:spacing w:line="360" w:lineRule="exact"/>
        <w:rPr>
          <w:rFonts w:ascii="黑体" w:hAnsi="黑体" w:eastAsia="黑体" w:cs="Times New Roman"/>
          <w:b/>
          <w:sz w:val="28"/>
          <w:szCs w:val="28"/>
          <w:lang w:eastAsia="zh-CN"/>
        </w:rPr>
      </w:pPr>
    </w:p>
    <w:p w14:paraId="628D55DE">
      <w:pPr>
        <w:spacing w:line="251" w:lineRule="auto"/>
        <w:rPr>
          <w:rFonts w:ascii="黑体" w:hAnsi="黑体" w:eastAsia="黑体" w:cs="黑体"/>
          <w:sz w:val="24"/>
          <w:szCs w:val="24"/>
          <w:lang w:eastAsia="zh-CN"/>
        </w:rPr>
      </w:pPr>
    </w:p>
    <w:p w14:paraId="5ADC2D9B">
      <w:pPr>
        <w:spacing w:line="251" w:lineRule="auto"/>
        <w:rPr>
          <w:rFonts w:ascii="黑体" w:hAnsi="黑体" w:eastAsia="黑体" w:cs="黑体"/>
          <w:sz w:val="24"/>
          <w:szCs w:val="24"/>
          <w:lang w:eastAsia="zh-CN"/>
        </w:rPr>
      </w:pPr>
    </w:p>
    <w:p w14:paraId="4B354D24">
      <w:pPr>
        <w:spacing w:line="360" w:lineRule="exact"/>
        <w:ind w:firstLine="1383" w:firstLineChars="492"/>
        <w:rPr>
          <w:rFonts w:ascii="黑体" w:hAnsi="黑体" w:eastAsia="黑体" w:cs="Times New Roman"/>
          <w:b/>
          <w:sz w:val="28"/>
          <w:szCs w:val="28"/>
          <w:lang w:eastAsia="zh-CN"/>
        </w:rPr>
      </w:pPr>
      <w:r>
        <w:rPr>
          <w:rFonts w:hint="eastAsia" w:ascii="黑体" w:hAnsi="黑体" w:eastAsia="黑体" w:cs="Times New Roman"/>
          <w:b/>
          <w:sz w:val="28"/>
          <w:szCs w:val="28"/>
          <w:lang w:eastAsia="zh-CN"/>
        </w:rPr>
        <w:t>二：经营许可证</w:t>
      </w:r>
    </w:p>
    <w:p w14:paraId="5B981ED9">
      <w:pPr>
        <w:spacing w:line="251" w:lineRule="auto"/>
        <w:rPr>
          <w:rFonts w:ascii="黑体" w:hAnsi="黑体" w:eastAsia="黑体"/>
          <w:lang w:eastAsia="zh-CN"/>
        </w:rPr>
      </w:pPr>
    </w:p>
    <w:p w14:paraId="7EA3DA89">
      <w:pPr>
        <w:pStyle w:val="8"/>
        <w:kinsoku/>
        <w:adjustRightInd/>
        <w:spacing w:before="0" w:beforeAutospacing="0" w:after="0" w:afterAutospacing="0" w:line="500" w:lineRule="exact"/>
        <w:textAlignment w:val="auto"/>
        <w:rPr>
          <w:rFonts w:ascii="黑体" w:hAnsi="黑体" w:eastAsia="黑体"/>
          <w:b/>
          <w:bCs/>
        </w:rPr>
      </w:pPr>
    </w:p>
    <w:p w14:paraId="665BFF52">
      <w:pPr>
        <w:pStyle w:val="8"/>
        <w:kinsoku/>
        <w:adjustRightInd/>
        <w:spacing w:before="0" w:beforeAutospacing="0" w:after="0" w:afterAutospacing="0" w:line="500" w:lineRule="exact"/>
        <w:textAlignment w:val="auto"/>
        <w:rPr>
          <w:rFonts w:ascii="黑体" w:hAnsi="黑体" w:eastAsia="黑体"/>
          <w:b/>
          <w:bCs/>
          <w:sz w:val="36"/>
          <w:szCs w:val="36"/>
        </w:rPr>
      </w:pPr>
    </w:p>
    <w:p w14:paraId="44CF147C">
      <w:pPr>
        <w:pStyle w:val="8"/>
        <w:kinsoku/>
        <w:adjustRightInd/>
        <w:spacing w:before="0" w:beforeAutospacing="0" w:after="0" w:afterAutospacing="0" w:line="500" w:lineRule="exact"/>
        <w:textAlignment w:val="auto"/>
        <w:rPr>
          <w:rFonts w:ascii="黑体" w:hAnsi="黑体" w:eastAsia="黑体"/>
          <w:b/>
          <w:bCs/>
          <w:sz w:val="36"/>
          <w:szCs w:val="36"/>
        </w:rPr>
      </w:pPr>
    </w:p>
    <w:p w14:paraId="14BE4554">
      <w:pPr>
        <w:pStyle w:val="8"/>
        <w:kinsoku/>
        <w:adjustRightInd/>
        <w:spacing w:before="0" w:beforeAutospacing="0" w:after="0" w:afterAutospacing="0" w:line="500" w:lineRule="exact"/>
        <w:textAlignment w:val="auto"/>
        <w:rPr>
          <w:rFonts w:ascii="黑体" w:hAnsi="黑体" w:eastAsia="黑体"/>
          <w:b/>
          <w:bCs/>
          <w:sz w:val="36"/>
          <w:szCs w:val="36"/>
        </w:rPr>
      </w:pPr>
    </w:p>
    <w:p w14:paraId="4C09A0D1">
      <w:pPr>
        <w:pStyle w:val="8"/>
        <w:kinsoku/>
        <w:adjustRightInd/>
        <w:spacing w:before="0" w:beforeAutospacing="0" w:after="0" w:afterAutospacing="0" w:line="500" w:lineRule="exact"/>
        <w:textAlignment w:val="auto"/>
        <w:rPr>
          <w:rFonts w:ascii="黑体" w:hAnsi="黑体" w:eastAsia="黑体"/>
          <w:b/>
          <w:bCs/>
          <w:sz w:val="36"/>
          <w:szCs w:val="36"/>
        </w:rPr>
      </w:pPr>
    </w:p>
    <w:p w14:paraId="63714459">
      <w:pPr>
        <w:pStyle w:val="8"/>
        <w:kinsoku/>
        <w:adjustRightInd/>
        <w:spacing w:before="0" w:beforeAutospacing="0" w:after="0" w:afterAutospacing="0" w:line="500" w:lineRule="exact"/>
        <w:textAlignment w:val="auto"/>
        <w:rPr>
          <w:rFonts w:ascii="黑体" w:hAnsi="黑体" w:eastAsia="黑体"/>
          <w:b/>
          <w:bCs/>
          <w:sz w:val="36"/>
          <w:szCs w:val="36"/>
        </w:rPr>
      </w:pPr>
    </w:p>
    <w:p w14:paraId="20C3150A">
      <w:pPr>
        <w:pStyle w:val="8"/>
        <w:kinsoku/>
        <w:adjustRightInd/>
        <w:spacing w:before="0" w:beforeAutospacing="0" w:after="0" w:afterAutospacing="0" w:line="500" w:lineRule="exact"/>
        <w:textAlignment w:val="auto"/>
        <w:rPr>
          <w:rFonts w:ascii="黑体" w:hAnsi="黑体" w:eastAsia="黑体"/>
          <w:b/>
          <w:bCs/>
          <w:sz w:val="36"/>
          <w:szCs w:val="36"/>
        </w:rPr>
      </w:pPr>
    </w:p>
    <w:p w14:paraId="6719CD86">
      <w:pPr>
        <w:pStyle w:val="8"/>
        <w:kinsoku/>
        <w:adjustRightInd/>
        <w:spacing w:before="0" w:beforeAutospacing="0" w:after="0" w:afterAutospacing="0" w:line="500" w:lineRule="exact"/>
        <w:textAlignment w:val="auto"/>
        <w:rPr>
          <w:rFonts w:ascii="黑体" w:hAnsi="黑体" w:eastAsia="黑体"/>
          <w:b/>
          <w:bCs/>
          <w:sz w:val="36"/>
          <w:szCs w:val="36"/>
        </w:rPr>
      </w:pPr>
    </w:p>
    <w:p w14:paraId="2F1B56DB">
      <w:pPr>
        <w:pStyle w:val="8"/>
        <w:kinsoku/>
        <w:adjustRightInd/>
        <w:spacing w:before="0" w:beforeAutospacing="0" w:after="0" w:afterAutospacing="0" w:line="500" w:lineRule="exact"/>
        <w:textAlignment w:val="auto"/>
        <w:rPr>
          <w:rFonts w:ascii="黑体" w:hAnsi="黑体" w:eastAsia="黑体"/>
          <w:b/>
          <w:bCs/>
          <w:sz w:val="36"/>
          <w:szCs w:val="36"/>
        </w:rPr>
      </w:pPr>
    </w:p>
    <w:p w14:paraId="5C9CC255">
      <w:pPr>
        <w:pStyle w:val="8"/>
        <w:kinsoku/>
        <w:adjustRightInd/>
        <w:spacing w:before="0" w:beforeAutospacing="0" w:after="0" w:afterAutospacing="0" w:line="500" w:lineRule="exact"/>
        <w:textAlignment w:val="auto"/>
        <w:rPr>
          <w:rFonts w:ascii="黑体" w:hAnsi="黑体" w:eastAsia="黑体"/>
          <w:b/>
          <w:bCs/>
          <w:sz w:val="36"/>
          <w:szCs w:val="36"/>
        </w:rPr>
      </w:pPr>
    </w:p>
    <w:p w14:paraId="20473190">
      <w:pPr>
        <w:pStyle w:val="8"/>
        <w:kinsoku/>
        <w:adjustRightInd/>
        <w:spacing w:before="0" w:beforeAutospacing="0" w:after="0" w:afterAutospacing="0" w:line="500" w:lineRule="exact"/>
        <w:textAlignment w:val="auto"/>
        <w:rPr>
          <w:rFonts w:ascii="黑体" w:hAnsi="黑体" w:eastAsia="黑体"/>
          <w:b/>
          <w:bCs/>
          <w:sz w:val="36"/>
          <w:szCs w:val="36"/>
        </w:rPr>
      </w:pPr>
    </w:p>
    <w:p w14:paraId="0E5E0A41">
      <w:pPr>
        <w:pStyle w:val="8"/>
        <w:kinsoku/>
        <w:adjustRightInd/>
        <w:spacing w:before="0" w:beforeAutospacing="0" w:after="0" w:afterAutospacing="0" w:line="500" w:lineRule="exact"/>
        <w:textAlignment w:val="auto"/>
        <w:rPr>
          <w:rFonts w:ascii="黑体" w:hAnsi="黑体" w:eastAsia="黑体"/>
          <w:b/>
          <w:bCs/>
          <w:sz w:val="36"/>
          <w:szCs w:val="36"/>
        </w:rPr>
      </w:pPr>
    </w:p>
    <w:p w14:paraId="199DD449">
      <w:pPr>
        <w:pStyle w:val="8"/>
        <w:kinsoku/>
        <w:adjustRightInd/>
        <w:spacing w:before="0" w:beforeAutospacing="0" w:after="0" w:afterAutospacing="0" w:line="500" w:lineRule="exact"/>
        <w:textAlignment w:val="auto"/>
        <w:rPr>
          <w:rFonts w:ascii="黑体" w:hAnsi="黑体" w:eastAsia="黑体"/>
          <w:b/>
          <w:bCs/>
          <w:sz w:val="28"/>
          <w:szCs w:val="28"/>
        </w:rPr>
      </w:pPr>
      <w:r>
        <w:rPr>
          <w:rFonts w:hint="eastAsia" w:ascii="黑体" w:hAnsi="黑体" w:eastAsia="黑体"/>
          <w:b/>
          <w:bCs/>
          <w:sz w:val="36"/>
          <w:szCs w:val="36"/>
        </w:rPr>
        <w:t>附件</w:t>
      </w:r>
    </w:p>
    <w:p w14:paraId="545440E7">
      <w:pPr>
        <w:pStyle w:val="16"/>
        <w:kinsoku/>
        <w:autoSpaceDE/>
        <w:autoSpaceDN/>
        <w:adjustRightInd/>
        <w:spacing w:before="120" w:line="500" w:lineRule="exact"/>
        <w:ind w:left="3535" w:leftChars="1597" w:hanging="181" w:hangingChars="50"/>
        <w:jc w:val="both"/>
        <w:textAlignment w:val="auto"/>
        <w:rPr>
          <w:rFonts w:ascii="黑体" w:hAnsi="黑体" w:eastAsia="黑体" w:cs="Segoe UI"/>
          <w:b/>
          <w:bCs/>
          <w:color w:val="4E5463"/>
          <w:sz w:val="36"/>
          <w:szCs w:val="36"/>
          <w:lang w:eastAsia="zh-CN"/>
        </w:rPr>
      </w:pPr>
    </w:p>
    <w:p w14:paraId="6A6E6FAA">
      <w:pPr>
        <w:pStyle w:val="16"/>
        <w:kinsoku/>
        <w:autoSpaceDE/>
        <w:autoSpaceDN/>
        <w:adjustRightInd/>
        <w:spacing w:before="120" w:line="360" w:lineRule="auto"/>
        <w:ind w:left="3514" w:leftChars="1597" w:hanging="160" w:hangingChars="50"/>
        <w:jc w:val="both"/>
        <w:textAlignment w:val="auto"/>
        <w:rPr>
          <w:rFonts w:hint="eastAsia" w:ascii="黑体" w:hAnsi="黑体" w:eastAsia="黑体" w:cs="Arial"/>
          <w:snapToGrid w:val="0"/>
          <w:color w:val="000000"/>
          <w:sz w:val="32"/>
          <w:szCs w:val="32"/>
          <w:lang w:val="en-US" w:eastAsia="zh-CN" w:bidi="ar-SA"/>
        </w:rPr>
      </w:pPr>
      <w:r>
        <w:rPr>
          <w:rFonts w:hint="eastAsia" w:ascii="黑体" w:hAnsi="黑体" w:eastAsia="黑体" w:cs="Arial"/>
          <w:snapToGrid w:val="0"/>
          <w:color w:val="000000"/>
          <w:sz w:val="32"/>
          <w:szCs w:val="32"/>
          <w:lang w:val="en-US" w:eastAsia="zh-CN" w:bidi="ar-SA"/>
        </w:rPr>
        <w:t>（一）报  价  单</w:t>
      </w:r>
    </w:p>
    <w:p w14:paraId="2D018953">
      <w:pPr>
        <w:pStyle w:val="16"/>
        <w:kinsoku/>
        <w:autoSpaceDE/>
        <w:autoSpaceDN/>
        <w:adjustRightInd/>
        <w:spacing w:before="120" w:line="360" w:lineRule="auto"/>
        <w:textAlignment w:val="auto"/>
        <w:rPr>
          <w:rFonts w:hint="eastAsia" w:ascii="黑体" w:hAnsi="黑体" w:eastAsia="黑体" w:cs="Arial"/>
          <w:snapToGrid w:val="0"/>
          <w:color w:val="000000"/>
          <w:sz w:val="24"/>
          <w:szCs w:val="24"/>
          <w:lang w:val="en-US" w:eastAsia="zh-CN" w:bidi="ar-SA"/>
        </w:rPr>
      </w:pPr>
      <w:r>
        <w:rPr>
          <w:rFonts w:hint="eastAsia" w:ascii="黑体" w:hAnsi="黑体" w:eastAsia="黑体" w:cs="Arial"/>
          <w:snapToGrid w:val="0"/>
          <w:color w:val="000000"/>
          <w:sz w:val="24"/>
          <w:szCs w:val="24"/>
          <w:lang w:val="en-US" w:eastAsia="zh-CN" w:bidi="ar-SA"/>
        </w:rPr>
        <w:t>四川宏达股份有限公司:</w:t>
      </w:r>
    </w:p>
    <w:p w14:paraId="764BDDDC">
      <w:pPr>
        <w:spacing w:line="360" w:lineRule="auto"/>
        <w:ind w:firstLine="600" w:firstLineChars="250"/>
        <w:rPr>
          <w:rFonts w:hint="eastAsia" w:ascii="黑体" w:hAnsi="黑体" w:eastAsia="黑体" w:cs="Arial"/>
          <w:snapToGrid w:val="0"/>
          <w:color w:val="000000"/>
          <w:sz w:val="28"/>
          <w:szCs w:val="28"/>
          <w:lang w:val="en-US" w:eastAsia="zh-CN" w:bidi="ar-SA"/>
        </w:rPr>
      </w:pPr>
      <w:r>
        <w:rPr>
          <w:rFonts w:hint="eastAsia" w:ascii="黑体" w:hAnsi="黑体" w:eastAsia="黑体" w:cs="Arial"/>
          <w:snapToGrid w:val="0"/>
          <w:color w:val="000000"/>
          <w:sz w:val="24"/>
          <w:szCs w:val="24"/>
          <w:lang w:val="en-US" w:eastAsia="zh-CN" w:bidi="ar-SA"/>
        </w:rPr>
        <w:t>根据磷化工动力厂氢氧化钙的招标要求，经研究招标有关文件，我公司根据项目要求，现对氢氧化钙货源进行报价</w:t>
      </w:r>
      <w:r>
        <w:rPr>
          <w:rFonts w:hint="eastAsia" w:ascii="黑体" w:hAnsi="黑体" w:eastAsia="黑体" w:cs="Arial"/>
          <w:snapToGrid w:val="0"/>
          <w:color w:val="000000"/>
          <w:sz w:val="28"/>
          <w:szCs w:val="28"/>
          <w:lang w:val="en-US" w:eastAsia="zh-CN" w:bidi="ar-SA"/>
        </w:rPr>
        <w:t>：</w:t>
      </w:r>
    </w:p>
    <w:tbl>
      <w:tblPr>
        <w:tblStyle w:val="9"/>
        <w:tblW w:w="9355" w:type="dxa"/>
        <w:tblInd w:w="0" w:type="dxa"/>
        <w:tblLayout w:type="fixed"/>
        <w:tblCellMar>
          <w:top w:w="0" w:type="dxa"/>
          <w:left w:w="108" w:type="dxa"/>
          <w:bottom w:w="0" w:type="dxa"/>
          <w:right w:w="108" w:type="dxa"/>
        </w:tblCellMar>
      </w:tblPr>
      <w:tblGrid>
        <w:gridCol w:w="855"/>
        <w:gridCol w:w="3439"/>
        <w:gridCol w:w="1369"/>
        <w:gridCol w:w="992"/>
        <w:gridCol w:w="1062"/>
        <w:gridCol w:w="1638"/>
      </w:tblGrid>
      <w:tr w14:paraId="506D22A5">
        <w:tblPrEx>
          <w:tblCellMar>
            <w:top w:w="0" w:type="dxa"/>
            <w:left w:w="108" w:type="dxa"/>
            <w:bottom w:w="0" w:type="dxa"/>
            <w:right w:w="108" w:type="dxa"/>
          </w:tblCellMar>
        </w:tblPrEx>
        <w:trPr>
          <w:cantSplit/>
          <w:trHeight w:val="749" w:hRule="atLeast"/>
        </w:trPr>
        <w:tc>
          <w:tcPr>
            <w:tcW w:w="855" w:type="dxa"/>
            <w:tcBorders>
              <w:top w:val="single" w:color="auto" w:sz="4" w:space="0"/>
              <w:left w:val="single" w:color="auto" w:sz="4" w:space="0"/>
              <w:right w:val="single" w:color="auto" w:sz="4" w:space="0"/>
            </w:tcBorders>
            <w:vAlign w:val="center"/>
          </w:tcPr>
          <w:p w14:paraId="7724B499">
            <w:pPr>
              <w:spacing w:line="240" w:lineRule="auto"/>
              <w:jc w:val="center"/>
              <w:rPr>
                <w:rFonts w:ascii="黑体" w:hAnsi="黑体" w:eastAsia="黑体"/>
                <w:sz w:val="21"/>
                <w:szCs w:val="21"/>
              </w:rPr>
            </w:pPr>
            <w:r>
              <w:rPr>
                <w:rFonts w:hint="eastAsia" w:ascii="黑体" w:hAnsi="黑体" w:eastAsia="黑体"/>
                <w:sz w:val="21"/>
                <w:szCs w:val="21"/>
              </w:rPr>
              <w:t>名称</w:t>
            </w:r>
          </w:p>
        </w:tc>
        <w:tc>
          <w:tcPr>
            <w:tcW w:w="3439" w:type="dxa"/>
            <w:tcBorders>
              <w:top w:val="single" w:color="auto" w:sz="4" w:space="0"/>
              <w:left w:val="nil"/>
              <w:right w:val="single" w:color="auto" w:sz="4" w:space="0"/>
            </w:tcBorders>
            <w:vAlign w:val="center"/>
          </w:tcPr>
          <w:p w14:paraId="4AD5F9CB">
            <w:pPr>
              <w:spacing w:line="240" w:lineRule="auto"/>
              <w:jc w:val="center"/>
              <w:rPr>
                <w:rFonts w:ascii="黑体" w:hAnsi="黑体" w:eastAsia="黑体"/>
                <w:sz w:val="21"/>
                <w:szCs w:val="21"/>
              </w:rPr>
            </w:pPr>
            <w:r>
              <w:rPr>
                <w:rFonts w:hint="eastAsia" w:ascii="黑体" w:hAnsi="黑体" w:eastAsia="黑体"/>
                <w:sz w:val="21"/>
                <w:szCs w:val="21"/>
              </w:rPr>
              <w:t>质量要求</w:t>
            </w:r>
          </w:p>
        </w:tc>
        <w:tc>
          <w:tcPr>
            <w:tcW w:w="1369" w:type="dxa"/>
            <w:tcBorders>
              <w:top w:val="single" w:color="auto" w:sz="4" w:space="0"/>
              <w:left w:val="single" w:color="auto" w:sz="4" w:space="0"/>
              <w:right w:val="single" w:color="auto" w:sz="4" w:space="0"/>
            </w:tcBorders>
            <w:vAlign w:val="center"/>
          </w:tcPr>
          <w:p w14:paraId="479AED16">
            <w:pPr>
              <w:spacing w:line="240" w:lineRule="auto"/>
              <w:jc w:val="center"/>
              <w:rPr>
                <w:rFonts w:ascii="黑体" w:hAnsi="黑体" w:eastAsia="黑体"/>
                <w:sz w:val="21"/>
                <w:szCs w:val="21"/>
                <w:lang w:eastAsia="zh-CN"/>
              </w:rPr>
            </w:pPr>
            <w:r>
              <w:rPr>
                <w:rFonts w:hint="eastAsia" w:ascii="黑体" w:hAnsi="黑体" w:eastAsia="黑体"/>
                <w:sz w:val="21"/>
                <w:szCs w:val="21"/>
                <w:lang w:eastAsia="zh-CN"/>
              </w:rPr>
              <w:t>运输要求</w:t>
            </w:r>
          </w:p>
        </w:tc>
        <w:tc>
          <w:tcPr>
            <w:tcW w:w="992" w:type="dxa"/>
            <w:tcBorders>
              <w:top w:val="single" w:color="auto" w:sz="4" w:space="0"/>
              <w:left w:val="nil"/>
              <w:right w:val="single" w:color="auto" w:sz="4" w:space="0"/>
            </w:tcBorders>
            <w:vAlign w:val="center"/>
          </w:tcPr>
          <w:p w14:paraId="69774FE0">
            <w:pPr>
              <w:spacing w:line="240" w:lineRule="auto"/>
              <w:jc w:val="center"/>
              <w:rPr>
                <w:rFonts w:ascii="黑体" w:hAnsi="黑体" w:eastAsia="黑体"/>
                <w:sz w:val="21"/>
                <w:szCs w:val="21"/>
              </w:rPr>
            </w:pPr>
            <w:r>
              <w:rPr>
                <w:rFonts w:ascii="黑体" w:hAnsi="黑体" w:eastAsia="黑体"/>
                <w:sz w:val="21"/>
                <w:szCs w:val="21"/>
              </w:rPr>
              <w:t>产地</w:t>
            </w:r>
          </w:p>
        </w:tc>
        <w:tc>
          <w:tcPr>
            <w:tcW w:w="1062" w:type="dxa"/>
            <w:tcBorders>
              <w:top w:val="single" w:color="auto" w:sz="4" w:space="0"/>
              <w:left w:val="nil"/>
              <w:right w:val="single" w:color="auto" w:sz="4" w:space="0"/>
            </w:tcBorders>
            <w:vAlign w:val="center"/>
          </w:tcPr>
          <w:p w14:paraId="04521D76">
            <w:pPr>
              <w:spacing w:line="240" w:lineRule="auto"/>
              <w:jc w:val="center"/>
              <w:rPr>
                <w:rFonts w:ascii="黑体" w:hAnsi="黑体" w:eastAsia="黑体"/>
                <w:sz w:val="21"/>
                <w:szCs w:val="21"/>
                <w:lang w:eastAsia="zh-CN"/>
              </w:rPr>
            </w:pPr>
            <w:r>
              <w:rPr>
                <w:rFonts w:hint="eastAsia" w:ascii="黑体" w:hAnsi="黑体" w:eastAsia="黑体"/>
                <w:sz w:val="21"/>
                <w:szCs w:val="21"/>
              </w:rPr>
              <w:t>数量</w:t>
            </w:r>
          </w:p>
          <w:p w14:paraId="23B40D97">
            <w:pPr>
              <w:spacing w:line="240" w:lineRule="auto"/>
              <w:jc w:val="center"/>
              <w:rPr>
                <w:rFonts w:hint="eastAsia" w:ascii="黑体" w:hAnsi="黑体" w:eastAsia="黑体"/>
                <w:sz w:val="21"/>
                <w:szCs w:val="21"/>
                <w:lang w:val="en-US" w:eastAsia="zh-CN"/>
              </w:rPr>
            </w:pPr>
            <w:r>
              <w:rPr>
                <w:rFonts w:hint="eastAsia" w:ascii="黑体" w:hAnsi="黑体" w:eastAsia="黑体"/>
                <w:sz w:val="21"/>
                <w:szCs w:val="21"/>
              </w:rPr>
              <w:t>（吨</w:t>
            </w:r>
            <w:r>
              <w:rPr>
                <w:rFonts w:hint="eastAsia" w:ascii="黑体" w:hAnsi="黑体" w:eastAsia="黑体"/>
                <w:sz w:val="21"/>
                <w:szCs w:val="21"/>
                <w:lang w:val="en-US" w:eastAsia="zh-CN"/>
              </w:rPr>
              <w:t>)</w:t>
            </w:r>
          </w:p>
        </w:tc>
        <w:tc>
          <w:tcPr>
            <w:tcW w:w="1638" w:type="dxa"/>
            <w:tcBorders>
              <w:top w:val="single" w:color="auto" w:sz="4" w:space="0"/>
              <w:left w:val="single" w:color="auto" w:sz="4" w:space="0"/>
              <w:bottom w:val="single" w:color="auto" w:sz="4" w:space="0"/>
              <w:right w:val="single" w:color="auto" w:sz="4" w:space="0"/>
            </w:tcBorders>
            <w:vAlign w:val="center"/>
          </w:tcPr>
          <w:p w14:paraId="1D6D7AA4">
            <w:pPr>
              <w:spacing w:line="240" w:lineRule="auto"/>
              <w:jc w:val="both"/>
              <w:rPr>
                <w:rFonts w:ascii="黑体" w:hAnsi="黑体" w:eastAsia="黑体"/>
                <w:sz w:val="21"/>
                <w:szCs w:val="21"/>
                <w:lang w:eastAsia="zh-CN"/>
              </w:rPr>
            </w:pPr>
            <w:r>
              <w:rPr>
                <w:rFonts w:hint="eastAsia" w:ascii="黑体" w:hAnsi="黑体" w:eastAsia="黑体"/>
                <w:sz w:val="21"/>
                <w:szCs w:val="21"/>
                <w:lang w:eastAsia="zh-CN"/>
              </w:rPr>
              <w:t>到厂单价（元/吨,税率13%）</w:t>
            </w:r>
          </w:p>
        </w:tc>
      </w:tr>
      <w:tr w14:paraId="1C35F5B0">
        <w:tblPrEx>
          <w:tblCellMar>
            <w:top w:w="0" w:type="dxa"/>
            <w:left w:w="108" w:type="dxa"/>
            <w:bottom w:w="0" w:type="dxa"/>
            <w:right w:w="108" w:type="dxa"/>
          </w:tblCellMar>
        </w:tblPrEx>
        <w:trPr>
          <w:cantSplit/>
          <w:trHeight w:val="3576" w:hRule="atLeast"/>
        </w:trPr>
        <w:tc>
          <w:tcPr>
            <w:tcW w:w="855" w:type="dxa"/>
            <w:tcBorders>
              <w:top w:val="single" w:color="auto" w:sz="4" w:space="0"/>
              <w:left w:val="single" w:color="auto" w:sz="4" w:space="0"/>
              <w:bottom w:val="single" w:color="auto" w:sz="4" w:space="0"/>
              <w:right w:val="single" w:color="auto" w:sz="4" w:space="0"/>
            </w:tcBorders>
            <w:vAlign w:val="center"/>
          </w:tcPr>
          <w:p w14:paraId="44A30C3E">
            <w:pPr>
              <w:spacing w:line="360" w:lineRule="auto"/>
              <w:jc w:val="both"/>
              <w:rPr>
                <w:rFonts w:ascii="黑体" w:hAnsi="黑体" w:eastAsia="黑体"/>
                <w:sz w:val="21"/>
                <w:szCs w:val="21"/>
                <w:lang w:eastAsia="zh-CN"/>
              </w:rPr>
            </w:pPr>
            <w:r>
              <w:rPr>
                <w:rFonts w:hint="eastAsia" w:ascii="黑体" w:hAnsi="黑体" w:eastAsia="黑体"/>
                <w:sz w:val="21"/>
                <w:szCs w:val="21"/>
                <w:lang w:eastAsia="zh-CN"/>
              </w:rPr>
              <w:t>氢氧化钙</w:t>
            </w:r>
          </w:p>
        </w:tc>
        <w:tc>
          <w:tcPr>
            <w:tcW w:w="3439" w:type="dxa"/>
            <w:tcBorders>
              <w:top w:val="single" w:color="auto" w:sz="4" w:space="0"/>
              <w:left w:val="single" w:color="auto" w:sz="4" w:space="0"/>
              <w:bottom w:val="single" w:color="auto" w:sz="4" w:space="0"/>
              <w:right w:val="single" w:color="auto" w:sz="4" w:space="0"/>
            </w:tcBorders>
            <w:vAlign w:val="center"/>
          </w:tcPr>
          <w:p w14:paraId="57A34E49">
            <w:pPr>
              <w:spacing w:line="360" w:lineRule="auto"/>
              <w:rPr>
                <w:rFonts w:ascii="黑体" w:hAnsi="黑体" w:eastAsia="黑体"/>
                <w:sz w:val="21"/>
                <w:szCs w:val="21"/>
                <w:lang w:eastAsia="zh-CN"/>
              </w:rPr>
            </w:pPr>
            <w:r>
              <w:rPr>
                <w:rFonts w:ascii="黑体" w:hAnsi="黑体" w:eastAsia="黑体"/>
                <w:sz w:val="21"/>
                <w:szCs w:val="21"/>
                <w:lang w:eastAsia="zh-CN"/>
              </w:rPr>
              <w:t>Ca(OH)</w:t>
            </w:r>
            <w:r>
              <w:rPr>
                <w:rFonts w:ascii="Cambria Math" w:hAnsi="Cambria Math" w:eastAsia="黑体" w:cs="Cambria Math"/>
                <w:sz w:val="21"/>
                <w:szCs w:val="21"/>
                <w:lang w:eastAsia="zh-CN"/>
              </w:rPr>
              <w:t>₂</w:t>
            </w:r>
            <w:r>
              <w:rPr>
                <w:rFonts w:hint="eastAsia" w:ascii="黑体" w:hAnsi="黑体" w:eastAsia="黑体"/>
                <w:sz w:val="21"/>
                <w:szCs w:val="21"/>
                <w:lang w:eastAsia="zh-CN"/>
              </w:rPr>
              <w:t>≥</w:t>
            </w:r>
            <w:r>
              <w:rPr>
                <w:rFonts w:ascii="黑体" w:hAnsi="黑体" w:eastAsia="黑体"/>
                <w:sz w:val="21"/>
                <w:szCs w:val="21"/>
                <w:lang w:eastAsia="zh-CN"/>
              </w:rPr>
              <w:t>90.0%</w:t>
            </w:r>
            <w:r>
              <w:rPr>
                <w:rFonts w:hint="eastAsia" w:ascii="黑体" w:hAnsi="黑体" w:eastAsia="黑体"/>
                <w:sz w:val="21"/>
                <w:szCs w:val="21"/>
                <w:lang w:eastAsia="zh-CN"/>
              </w:rPr>
              <w:t>、重金属（以</w:t>
            </w:r>
            <w:r>
              <w:rPr>
                <w:rFonts w:ascii="黑体" w:hAnsi="黑体" w:eastAsia="黑体"/>
                <w:sz w:val="21"/>
                <w:szCs w:val="21"/>
                <w:lang w:eastAsia="zh-CN"/>
              </w:rPr>
              <w:t>Pb</w:t>
            </w:r>
            <w:r>
              <w:rPr>
                <w:rFonts w:hint="eastAsia" w:ascii="黑体" w:hAnsi="黑体" w:eastAsia="黑体"/>
                <w:sz w:val="21"/>
                <w:szCs w:val="21"/>
                <w:lang w:eastAsia="zh-CN"/>
              </w:rPr>
              <w:t>计）≤</w:t>
            </w:r>
            <w:r>
              <w:rPr>
                <w:rFonts w:ascii="黑体" w:hAnsi="黑体" w:eastAsia="黑体"/>
                <w:sz w:val="21"/>
                <w:szCs w:val="21"/>
                <w:lang w:eastAsia="zh-CN"/>
              </w:rPr>
              <w:t>0.002%</w:t>
            </w:r>
            <w:r>
              <w:rPr>
                <w:rFonts w:hint="eastAsia" w:ascii="黑体" w:hAnsi="黑体" w:eastAsia="黑体"/>
                <w:sz w:val="21"/>
                <w:szCs w:val="21"/>
                <w:lang w:eastAsia="zh-CN"/>
              </w:rPr>
              <w:t>、</w:t>
            </w:r>
            <w:r>
              <w:rPr>
                <w:rFonts w:ascii="黑体" w:hAnsi="黑体" w:eastAsia="黑体"/>
                <w:sz w:val="21"/>
                <w:szCs w:val="21"/>
                <w:lang w:eastAsia="zh-CN"/>
              </w:rPr>
              <w:t>120</w:t>
            </w:r>
            <w:r>
              <w:rPr>
                <w:rFonts w:hint="eastAsia" w:ascii="黑体" w:hAnsi="黑体" w:eastAsia="黑体"/>
                <w:sz w:val="21"/>
                <w:szCs w:val="21"/>
                <w:lang w:eastAsia="zh-CN"/>
              </w:rPr>
              <w:t>目过筛率≥</w:t>
            </w:r>
            <w:r>
              <w:rPr>
                <w:rFonts w:ascii="黑体" w:hAnsi="黑体" w:eastAsia="黑体"/>
                <w:sz w:val="21"/>
                <w:szCs w:val="21"/>
                <w:lang w:eastAsia="zh-CN"/>
              </w:rPr>
              <w:t>96.0%</w:t>
            </w:r>
            <w:r>
              <w:rPr>
                <w:rFonts w:hint="eastAsia" w:ascii="黑体" w:hAnsi="黑体" w:eastAsia="黑体"/>
                <w:sz w:val="21"/>
                <w:szCs w:val="21"/>
                <w:lang w:eastAsia="zh-CN"/>
              </w:rPr>
              <w:t>、</w:t>
            </w:r>
            <w:r>
              <w:rPr>
                <w:rFonts w:ascii="黑体" w:hAnsi="黑体" w:eastAsia="黑体"/>
                <w:sz w:val="21"/>
                <w:szCs w:val="21"/>
                <w:lang w:eastAsia="zh-CN"/>
              </w:rPr>
              <w:t>20</w:t>
            </w:r>
            <w:r>
              <w:rPr>
                <w:rFonts w:hint="eastAsia" w:ascii="黑体" w:hAnsi="黑体" w:eastAsia="黑体"/>
                <w:sz w:val="21"/>
                <w:szCs w:val="21"/>
                <w:lang w:eastAsia="zh-CN"/>
              </w:rPr>
              <w:t>目过筛率</w:t>
            </w:r>
            <w:r>
              <w:rPr>
                <w:rFonts w:ascii="黑体" w:hAnsi="黑体" w:eastAsia="黑体"/>
                <w:sz w:val="21"/>
                <w:szCs w:val="21"/>
                <w:lang w:eastAsia="zh-CN"/>
              </w:rPr>
              <w:t>100%</w:t>
            </w:r>
            <w:r>
              <w:rPr>
                <w:rFonts w:hint="eastAsia" w:ascii="黑体" w:hAnsi="黑体" w:eastAsia="黑体"/>
                <w:sz w:val="21"/>
                <w:szCs w:val="21"/>
                <w:lang w:eastAsia="zh-CN"/>
              </w:rPr>
              <w:t>。以生石灰</w:t>
            </w:r>
            <w:r>
              <w:rPr>
                <w:rFonts w:ascii="黑体" w:hAnsi="黑体" w:eastAsia="黑体"/>
                <w:sz w:val="21"/>
                <w:szCs w:val="21"/>
                <w:lang w:eastAsia="zh-CN"/>
              </w:rPr>
              <w:t>(</w:t>
            </w:r>
            <w:r>
              <w:rPr>
                <w:rFonts w:hint="eastAsia" w:ascii="黑体" w:hAnsi="黑体" w:eastAsia="黑体"/>
                <w:sz w:val="21"/>
                <w:szCs w:val="21"/>
                <w:lang w:eastAsia="zh-CN"/>
              </w:rPr>
              <w:t>严禁以电石渣为原料</w:t>
            </w:r>
            <w:r>
              <w:rPr>
                <w:rFonts w:ascii="黑体" w:hAnsi="黑体" w:eastAsia="黑体"/>
                <w:sz w:val="21"/>
                <w:szCs w:val="21"/>
                <w:lang w:eastAsia="zh-CN"/>
              </w:rPr>
              <w:t>)</w:t>
            </w:r>
            <w:r>
              <w:rPr>
                <w:rFonts w:hint="eastAsia" w:ascii="黑体" w:hAnsi="黑体" w:eastAsia="黑体"/>
                <w:sz w:val="21"/>
                <w:szCs w:val="21"/>
                <w:lang w:eastAsia="zh-CN"/>
              </w:rPr>
              <w:t>为原料，经充分消化制的乳白色氢氧化钙粉末，无异味，制成灰乳（现场测试）时不能呈现蓝色或其它颜色，不能发热，无明显碳渣、泥沙等异物，否则使用单位予以拒收。</w:t>
            </w:r>
          </w:p>
        </w:tc>
        <w:tc>
          <w:tcPr>
            <w:tcW w:w="1369" w:type="dxa"/>
            <w:tcBorders>
              <w:top w:val="single" w:color="auto" w:sz="4" w:space="0"/>
              <w:left w:val="single" w:color="auto" w:sz="4" w:space="0"/>
              <w:bottom w:val="single" w:color="auto" w:sz="4" w:space="0"/>
              <w:right w:val="single" w:color="auto" w:sz="4" w:space="0"/>
            </w:tcBorders>
            <w:vAlign w:val="center"/>
          </w:tcPr>
          <w:p w14:paraId="43885B7D">
            <w:pPr>
              <w:spacing w:line="360" w:lineRule="auto"/>
              <w:jc w:val="center"/>
              <w:rPr>
                <w:rFonts w:ascii="黑体" w:hAnsi="黑体" w:eastAsia="黑体"/>
                <w:sz w:val="21"/>
                <w:szCs w:val="21"/>
                <w:lang w:eastAsia="zh-CN"/>
              </w:rPr>
            </w:pPr>
            <w:r>
              <w:rPr>
                <w:rFonts w:hint="eastAsia" w:ascii="黑体" w:hAnsi="黑体" w:eastAsia="黑体"/>
                <w:sz w:val="21"/>
                <w:szCs w:val="21"/>
                <w:lang w:eastAsia="zh-CN"/>
              </w:rPr>
              <w:t>罐车运输</w:t>
            </w:r>
          </w:p>
        </w:tc>
        <w:tc>
          <w:tcPr>
            <w:tcW w:w="992" w:type="dxa"/>
            <w:tcBorders>
              <w:top w:val="single" w:color="auto" w:sz="4" w:space="0"/>
              <w:left w:val="single" w:color="auto" w:sz="4" w:space="0"/>
              <w:bottom w:val="single" w:color="auto" w:sz="4" w:space="0"/>
              <w:right w:val="single" w:color="auto" w:sz="4" w:space="0"/>
            </w:tcBorders>
            <w:vAlign w:val="center"/>
          </w:tcPr>
          <w:p w14:paraId="131BD24D">
            <w:pPr>
              <w:spacing w:line="360" w:lineRule="auto"/>
              <w:jc w:val="center"/>
              <w:rPr>
                <w:rFonts w:ascii="黑体" w:hAnsi="黑体" w:eastAsia="黑体"/>
                <w:sz w:val="21"/>
                <w:szCs w:val="21"/>
              </w:rPr>
            </w:pPr>
          </w:p>
        </w:tc>
        <w:tc>
          <w:tcPr>
            <w:tcW w:w="1062" w:type="dxa"/>
            <w:tcBorders>
              <w:top w:val="single" w:color="auto" w:sz="4" w:space="0"/>
              <w:left w:val="single" w:color="auto" w:sz="4" w:space="0"/>
              <w:bottom w:val="single" w:color="auto" w:sz="4" w:space="0"/>
              <w:right w:val="single" w:color="auto" w:sz="4" w:space="0"/>
            </w:tcBorders>
            <w:vAlign w:val="center"/>
          </w:tcPr>
          <w:p w14:paraId="2554BB3A">
            <w:pPr>
              <w:spacing w:line="360" w:lineRule="auto"/>
              <w:jc w:val="center"/>
              <w:rPr>
                <w:rFonts w:hint="default" w:ascii="黑体" w:hAnsi="黑体" w:eastAsia="黑体"/>
                <w:sz w:val="21"/>
                <w:szCs w:val="21"/>
                <w:lang w:val="en-US" w:eastAsia="zh-CN"/>
              </w:rPr>
            </w:pPr>
            <w:r>
              <w:rPr>
                <w:rFonts w:hint="eastAsia" w:ascii="黑体" w:hAnsi="黑体" w:eastAsia="黑体"/>
                <w:sz w:val="21"/>
                <w:szCs w:val="21"/>
                <w:lang w:val="en-US" w:eastAsia="zh-CN"/>
              </w:rPr>
              <w:t>800</w:t>
            </w:r>
          </w:p>
        </w:tc>
        <w:tc>
          <w:tcPr>
            <w:tcW w:w="1638" w:type="dxa"/>
            <w:tcBorders>
              <w:top w:val="single" w:color="auto" w:sz="4" w:space="0"/>
              <w:left w:val="single" w:color="auto" w:sz="4" w:space="0"/>
              <w:bottom w:val="single" w:color="auto" w:sz="4" w:space="0"/>
              <w:right w:val="single" w:color="auto" w:sz="4" w:space="0"/>
            </w:tcBorders>
            <w:vAlign w:val="center"/>
          </w:tcPr>
          <w:p w14:paraId="0E2A235A">
            <w:pPr>
              <w:spacing w:line="360" w:lineRule="auto"/>
              <w:jc w:val="center"/>
              <w:rPr>
                <w:rFonts w:ascii="黑体" w:hAnsi="黑体" w:eastAsia="黑体"/>
                <w:sz w:val="21"/>
                <w:szCs w:val="21"/>
              </w:rPr>
            </w:pPr>
          </w:p>
        </w:tc>
      </w:tr>
    </w:tbl>
    <w:p w14:paraId="311104D7">
      <w:pPr>
        <w:pStyle w:val="16"/>
        <w:kinsoku/>
        <w:autoSpaceDE/>
        <w:autoSpaceDN/>
        <w:adjustRightInd/>
        <w:spacing w:before="120" w:line="360" w:lineRule="auto"/>
        <w:textAlignment w:val="auto"/>
        <w:rPr>
          <w:rFonts w:hint="eastAsia" w:ascii="黑体" w:hAnsi="黑体" w:eastAsia="黑体" w:cs="黑体"/>
          <w:bCs/>
          <w:snapToGrid w:val="0"/>
          <w:color w:val="000000"/>
          <w:sz w:val="28"/>
          <w:szCs w:val="28"/>
          <w:lang w:val="en-US" w:eastAsia="zh-CN" w:bidi="ar-SA"/>
        </w:rPr>
      </w:pPr>
      <w:r>
        <w:rPr>
          <w:rFonts w:hint="eastAsia" w:ascii="黑体" w:hAnsi="黑体" w:eastAsia="黑体" w:cs="黑体"/>
          <w:bCs/>
          <w:snapToGrid w:val="0"/>
          <w:color w:val="000000"/>
          <w:sz w:val="28"/>
          <w:szCs w:val="28"/>
          <w:lang w:val="en-US" w:eastAsia="zh-CN" w:bidi="ar-SA"/>
        </w:rPr>
        <w:t>备注：</w:t>
      </w:r>
    </w:p>
    <w:p w14:paraId="2362A2D0">
      <w:pPr>
        <w:pStyle w:val="8"/>
        <w:spacing w:before="0" w:beforeAutospacing="0" w:after="0" w:afterAutospacing="0" w:line="360" w:lineRule="auto"/>
        <w:ind w:firstLine="480" w:firstLineChars="200"/>
        <w:rPr>
          <w:rFonts w:ascii="黑体" w:hAnsi="黑体" w:eastAsia="黑体" w:cs="黑体"/>
          <w:bCs/>
          <w:sz w:val="24"/>
          <w:szCs w:val="24"/>
        </w:rPr>
      </w:pPr>
      <w:r>
        <w:rPr>
          <w:rFonts w:hint="eastAsia" w:ascii="黑体" w:hAnsi="黑体" w:eastAsia="黑体" w:cs="黑体"/>
          <w:bCs/>
          <w:sz w:val="24"/>
          <w:szCs w:val="24"/>
        </w:rPr>
        <w:t>1.付款方式：先货后款。具体数量以合同期内买方通知的实际需求数量为准。</w:t>
      </w:r>
    </w:p>
    <w:p w14:paraId="13E5218D">
      <w:pPr>
        <w:pStyle w:val="8"/>
        <w:spacing w:before="0" w:beforeAutospacing="0" w:after="0" w:afterAutospacing="0" w:line="360" w:lineRule="auto"/>
        <w:ind w:firstLine="480" w:firstLineChars="200"/>
        <w:rPr>
          <w:rFonts w:ascii="黑体" w:hAnsi="黑体" w:eastAsia="黑体" w:cs="黑体"/>
          <w:sz w:val="24"/>
          <w:szCs w:val="24"/>
        </w:rPr>
      </w:pPr>
      <w:r>
        <w:rPr>
          <w:rFonts w:hint="eastAsia" w:ascii="黑体" w:hAnsi="黑体" w:eastAsia="黑体" w:cs="黑体"/>
          <w:sz w:val="24"/>
          <w:szCs w:val="24"/>
        </w:rPr>
        <w:t>2. 卖方方开具全额增值税专用发票（税率13%）。</w:t>
      </w:r>
    </w:p>
    <w:p w14:paraId="408000AF">
      <w:pPr>
        <w:pStyle w:val="8"/>
        <w:spacing w:before="0" w:beforeAutospacing="0" w:after="0" w:afterAutospacing="0" w:line="360" w:lineRule="auto"/>
        <w:ind w:firstLine="480" w:firstLineChars="200"/>
        <w:rPr>
          <w:rFonts w:ascii="黑体" w:hAnsi="黑体" w:eastAsia="黑体" w:cs="黑体"/>
          <w:sz w:val="24"/>
          <w:szCs w:val="24"/>
        </w:rPr>
      </w:pPr>
      <w:r>
        <w:rPr>
          <w:rFonts w:hint="eastAsia" w:ascii="黑体" w:hAnsi="黑体" w:eastAsia="黑体" w:cs="黑体"/>
          <w:sz w:val="24"/>
          <w:szCs w:val="24"/>
        </w:rPr>
        <w:t>3. 交货期：合同期内根据买方要求的质量规格及数量送货到厂。</w:t>
      </w:r>
    </w:p>
    <w:p w14:paraId="00163F0E">
      <w:pPr>
        <w:pStyle w:val="8"/>
        <w:spacing w:before="0" w:beforeAutospacing="0" w:after="0" w:afterAutospacing="0" w:line="360" w:lineRule="auto"/>
        <w:ind w:firstLine="480" w:firstLineChars="200"/>
        <w:rPr>
          <w:rFonts w:ascii="黑体" w:hAnsi="黑体" w:eastAsia="黑体" w:cs="黑体"/>
          <w:sz w:val="24"/>
          <w:szCs w:val="24"/>
          <w:shd w:val="clear" w:color="auto" w:fill="FFFFFF"/>
        </w:rPr>
      </w:pPr>
      <w:r>
        <w:rPr>
          <w:rFonts w:hint="eastAsia" w:ascii="黑体" w:hAnsi="黑体" w:eastAsia="黑体" w:cs="黑体"/>
          <w:sz w:val="24"/>
          <w:szCs w:val="24"/>
          <w:shd w:val="clear" w:color="auto" w:fill="FAFAFA"/>
        </w:rPr>
        <w:t>4.交货地点：</w:t>
      </w:r>
      <w:r>
        <w:rPr>
          <w:rFonts w:hint="eastAsia" w:ascii="黑体" w:hAnsi="黑体" w:eastAsia="黑体" w:cs="黑体"/>
          <w:sz w:val="24"/>
          <w:szCs w:val="24"/>
        </w:rPr>
        <w:t>四川宏达股份有限公司动力厂污水处理站（四川省德阳市什邡市洛水镇）</w:t>
      </w:r>
      <w:r>
        <w:rPr>
          <w:rFonts w:hint="eastAsia" w:ascii="黑体" w:hAnsi="黑体" w:eastAsia="黑体" w:cs="黑体"/>
          <w:sz w:val="24"/>
          <w:szCs w:val="24"/>
          <w:shd w:val="clear" w:color="auto" w:fill="FFFFFF"/>
        </w:rPr>
        <w:t>。</w:t>
      </w:r>
    </w:p>
    <w:p w14:paraId="46A6ED13">
      <w:pPr>
        <w:pStyle w:val="8"/>
        <w:spacing w:before="0" w:beforeAutospacing="0" w:after="0" w:afterAutospacing="0" w:line="360" w:lineRule="auto"/>
        <w:ind w:firstLine="480" w:firstLineChars="200"/>
        <w:rPr>
          <w:rFonts w:ascii="黑体" w:hAnsi="黑体" w:eastAsia="黑体" w:cs="黑体"/>
          <w:sz w:val="24"/>
          <w:szCs w:val="24"/>
          <w:shd w:val="clear" w:color="auto" w:fill="FAFAFA"/>
        </w:rPr>
      </w:pPr>
      <w:r>
        <w:rPr>
          <w:rFonts w:hint="eastAsia" w:ascii="黑体" w:hAnsi="黑体" w:eastAsia="黑体" w:cs="黑体"/>
          <w:sz w:val="24"/>
          <w:szCs w:val="24"/>
          <w:shd w:val="clear" w:color="auto" w:fill="FAFAFA"/>
        </w:rPr>
        <w:t>5.交货方式：卖方按买方需求通知及时送货到交货地点。</w:t>
      </w:r>
    </w:p>
    <w:p w14:paraId="35D302FF">
      <w:pPr>
        <w:pStyle w:val="8"/>
        <w:spacing w:before="0" w:beforeAutospacing="0" w:after="0" w:afterAutospacing="0" w:line="360" w:lineRule="auto"/>
        <w:ind w:firstLine="480" w:firstLineChars="200"/>
        <w:rPr>
          <w:rFonts w:ascii="黑体" w:hAnsi="黑体" w:eastAsia="黑体" w:cs="黑体"/>
          <w:bCs/>
          <w:sz w:val="24"/>
          <w:szCs w:val="24"/>
        </w:rPr>
      </w:pPr>
      <w:r>
        <w:rPr>
          <w:rFonts w:hint="eastAsia" w:ascii="黑体" w:hAnsi="黑体" w:eastAsia="黑体" w:cs="黑体"/>
          <w:bCs/>
          <w:sz w:val="24"/>
          <w:szCs w:val="24"/>
        </w:rPr>
        <w:t>6.联系人及电话：</w:t>
      </w:r>
    </w:p>
    <w:p w14:paraId="01DB5A30">
      <w:pPr>
        <w:pStyle w:val="8"/>
        <w:kinsoku/>
        <w:adjustRightInd/>
        <w:spacing w:before="0" w:beforeAutospacing="0" w:after="0" w:afterAutospacing="0" w:line="360" w:lineRule="auto"/>
        <w:textAlignment w:val="auto"/>
        <w:rPr>
          <w:rFonts w:ascii="黑体" w:hAnsi="黑体" w:eastAsia="黑体" w:cs="Segoe UI"/>
          <w:color w:val="4E5463"/>
          <w:sz w:val="28"/>
          <w:szCs w:val="28"/>
        </w:rPr>
      </w:pPr>
    </w:p>
    <w:p w14:paraId="63A5AFF2">
      <w:pPr>
        <w:pStyle w:val="8"/>
        <w:kinsoku/>
        <w:adjustRightInd/>
        <w:spacing w:before="0" w:beforeAutospacing="0" w:after="0" w:afterAutospacing="0" w:line="500" w:lineRule="exact"/>
        <w:ind w:firstLine="4760" w:firstLineChars="1700"/>
        <w:textAlignment w:val="auto"/>
        <w:rPr>
          <w:rFonts w:ascii="黑体" w:hAnsi="黑体" w:eastAsia="黑体" w:cs="Segoe UI"/>
          <w:color w:val="4E5463"/>
          <w:sz w:val="28"/>
          <w:szCs w:val="28"/>
        </w:rPr>
      </w:pPr>
    </w:p>
    <w:p w14:paraId="7A294166">
      <w:pPr>
        <w:pStyle w:val="8"/>
        <w:spacing w:before="0" w:beforeAutospacing="0" w:after="0" w:afterAutospacing="0" w:line="360" w:lineRule="auto"/>
        <w:ind w:firstLine="480" w:firstLineChars="200"/>
        <w:jc w:val="right"/>
        <w:rPr>
          <w:rFonts w:ascii="黑体" w:hAnsi="黑体" w:eastAsia="黑体" w:cs="Segoe UI"/>
          <w:color w:val="4E5463"/>
          <w:sz w:val="24"/>
          <w:szCs w:val="24"/>
        </w:rPr>
      </w:pPr>
      <w:r>
        <w:rPr>
          <w:rFonts w:hint="eastAsia" w:ascii="黑体" w:hAnsi="黑体" w:eastAsia="黑体" w:cs="黑体"/>
          <w:sz w:val="24"/>
          <w:szCs w:val="24"/>
          <w:shd w:val="clear" w:color="auto" w:fill="FAFAFA"/>
        </w:rPr>
        <w:t>投标人名称（盖章）：</w:t>
      </w:r>
    </w:p>
    <w:p w14:paraId="293E9B38">
      <w:pPr>
        <w:pStyle w:val="8"/>
        <w:spacing w:before="0" w:beforeAutospacing="0" w:after="0" w:afterAutospacing="0" w:line="360" w:lineRule="auto"/>
        <w:ind w:firstLine="480" w:firstLineChars="200"/>
        <w:jc w:val="right"/>
        <w:rPr>
          <w:rFonts w:hint="eastAsia" w:ascii="黑体" w:hAnsi="黑体" w:eastAsia="黑体" w:cs="黑体"/>
          <w:sz w:val="28"/>
          <w:szCs w:val="28"/>
          <w:shd w:val="clear" w:color="auto" w:fill="FAFAFA"/>
        </w:rPr>
      </w:pPr>
      <w:r>
        <w:rPr>
          <w:rFonts w:hint="eastAsia" w:ascii="黑体" w:hAnsi="黑体" w:eastAsia="黑体" w:cs="黑体"/>
          <w:sz w:val="24"/>
          <w:szCs w:val="24"/>
          <w:shd w:val="clear" w:color="auto" w:fill="FAFAFA"/>
        </w:rPr>
        <w:t>日期：  年   月   日</w:t>
      </w:r>
    </w:p>
    <w:p w14:paraId="6D4F6A55">
      <w:pPr>
        <w:kinsoku/>
        <w:spacing w:line="360" w:lineRule="auto"/>
        <w:jc w:val="both"/>
        <w:rPr>
          <w:rFonts w:ascii="黑体" w:hAnsi="黑体" w:eastAsia="黑体" w:cs="宋体"/>
          <w:b/>
          <w:bCs/>
          <w:color w:val="auto"/>
          <w:sz w:val="28"/>
          <w:szCs w:val="28"/>
          <w:lang w:eastAsia="zh-CN"/>
        </w:rPr>
      </w:pPr>
    </w:p>
    <w:p w14:paraId="1C2B3CED">
      <w:pPr>
        <w:kinsoku/>
        <w:spacing w:line="360" w:lineRule="auto"/>
        <w:jc w:val="both"/>
        <w:rPr>
          <w:rFonts w:ascii="黑体" w:hAnsi="黑体" w:eastAsia="黑体" w:cs="宋体"/>
          <w:b/>
          <w:bCs/>
          <w:color w:val="auto"/>
          <w:sz w:val="28"/>
          <w:szCs w:val="28"/>
          <w:lang w:eastAsia="zh-CN"/>
        </w:rPr>
      </w:pPr>
    </w:p>
    <w:p w14:paraId="7D048C02">
      <w:pPr>
        <w:pStyle w:val="16"/>
        <w:kinsoku/>
        <w:autoSpaceDE/>
        <w:autoSpaceDN/>
        <w:adjustRightInd/>
        <w:spacing w:before="120" w:line="500" w:lineRule="exact"/>
        <w:ind w:left="3713" w:leftChars="1768" w:firstLine="160" w:firstLineChars="50"/>
        <w:jc w:val="both"/>
        <w:textAlignment w:val="auto"/>
        <w:rPr>
          <w:rFonts w:hint="eastAsia" w:ascii="黑体" w:hAnsi="黑体" w:eastAsia="黑体" w:cs="黑体"/>
          <w:snapToGrid w:val="0"/>
          <w:color w:val="000000"/>
          <w:sz w:val="32"/>
          <w:szCs w:val="32"/>
          <w:lang w:val="en-US" w:eastAsia="zh-CN" w:bidi="ar-SA"/>
        </w:rPr>
      </w:pPr>
      <w:r>
        <w:rPr>
          <w:rFonts w:hint="eastAsia" w:ascii="黑体" w:hAnsi="黑体" w:eastAsia="黑体" w:cs="黑体"/>
          <w:snapToGrid w:val="0"/>
          <w:color w:val="000000"/>
          <w:sz w:val="32"/>
          <w:szCs w:val="32"/>
          <w:lang w:val="en-US" w:eastAsia="zh-CN" w:bidi="ar-SA"/>
        </w:rPr>
        <w:t>（二）承 诺</w:t>
      </w:r>
    </w:p>
    <w:p w14:paraId="530849B7">
      <w:pPr>
        <w:kinsoku/>
        <w:spacing w:line="360" w:lineRule="auto"/>
        <w:rPr>
          <w:rFonts w:ascii="黑体" w:hAnsi="黑体" w:eastAsia="黑体" w:cs="Segoe UI"/>
          <w:color w:val="4E5463"/>
          <w:sz w:val="28"/>
          <w:szCs w:val="28"/>
          <w:lang w:eastAsia="zh-CN"/>
        </w:rPr>
      </w:pPr>
    </w:p>
    <w:p w14:paraId="17BD06FF">
      <w:pPr>
        <w:kinsoku/>
        <w:spacing w:line="360" w:lineRule="auto"/>
        <w:rPr>
          <w:rFonts w:ascii="黑体" w:hAnsi="黑体" w:eastAsia="黑体" w:cs="Segoe UI"/>
          <w:color w:val="4E5463"/>
          <w:sz w:val="28"/>
          <w:szCs w:val="28"/>
          <w:lang w:eastAsia="zh-CN"/>
        </w:rPr>
      </w:pPr>
    </w:p>
    <w:p w14:paraId="31D64383">
      <w:pPr>
        <w:pStyle w:val="8"/>
        <w:spacing w:before="0" w:beforeAutospacing="0" w:after="0" w:afterAutospacing="0" w:line="360" w:lineRule="auto"/>
        <w:ind w:firstLine="480" w:firstLineChars="200"/>
        <w:rPr>
          <w:rFonts w:hint="eastAsia" w:ascii="黑体" w:hAnsi="黑体" w:eastAsia="黑体" w:cs="黑体"/>
          <w:sz w:val="24"/>
          <w:szCs w:val="24"/>
          <w:lang w:eastAsia="zh-CN"/>
        </w:rPr>
      </w:pPr>
      <w:r>
        <w:rPr>
          <w:rFonts w:hint="eastAsia" w:ascii="黑体" w:hAnsi="黑体" w:eastAsia="黑体" w:cs="黑体"/>
          <w:sz w:val="24"/>
          <w:szCs w:val="24"/>
          <w:lang w:eastAsia="zh-CN"/>
        </w:rPr>
        <w:t>四川宏达股份有限公司：</w:t>
      </w:r>
    </w:p>
    <w:p w14:paraId="53CAD364">
      <w:pPr>
        <w:pStyle w:val="8"/>
        <w:spacing w:before="0" w:beforeAutospacing="0" w:after="0" w:afterAutospacing="0" w:line="360" w:lineRule="auto"/>
        <w:ind w:firstLine="480" w:firstLineChars="200"/>
        <w:rPr>
          <w:rFonts w:hint="eastAsia" w:ascii="黑体" w:hAnsi="黑体" w:eastAsia="黑体" w:cs="黑体"/>
          <w:sz w:val="24"/>
          <w:szCs w:val="24"/>
        </w:rPr>
      </w:pPr>
      <w:r>
        <w:rPr>
          <w:rFonts w:hint="eastAsia" w:ascii="黑体" w:hAnsi="黑体" w:eastAsia="黑体" w:cs="黑体"/>
          <w:sz w:val="24"/>
          <w:szCs w:val="24"/>
        </w:rPr>
        <w:t>我公司自愿参与四川宏达股份有限公司磷化工动力厂氢氧化钙的投标，现郑重作出以下承诺：</w:t>
      </w:r>
    </w:p>
    <w:p w14:paraId="46721B45">
      <w:pPr>
        <w:pStyle w:val="8"/>
        <w:spacing w:before="0" w:beforeAutospacing="0" w:after="0" w:afterAutospacing="0" w:line="360" w:lineRule="auto"/>
        <w:ind w:firstLine="480" w:firstLineChars="200"/>
        <w:rPr>
          <w:rFonts w:hint="eastAsia" w:ascii="黑体" w:hAnsi="黑体" w:eastAsia="黑体" w:cs="黑体"/>
          <w:sz w:val="24"/>
          <w:szCs w:val="24"/>
          <w:lang w:eastAsia="zh-CN"/>
        </w:rPr>
      </w:pPr>
      <w:r>
        <w:rPr>
          <w:rFonts w:hint="eastAsia" w:ascii="黑体" w:hAnsi="黑体" w:eastAsia="黑体" w:cs="黑体"/>
          <w:sz w:val="24"/>
          <w:szCs w:val="24"/>
          <w:lang w:eastAsia="zh-CN"/>
        </w:rPr>
        <w:t>（1））我公司具有良好的信誉、企业处于正常经营状态；</w:t>
      </w:r>
    </w:p>
    <w:p w14:paraId="2647F92B">
      <w:pPr>
        <w:pStyle w:val="8"/>
        <w:spacing w:before="0" w:beforeAutospacing="0" w:after="0" w:afterAutospacing="0" w:line="360" w:lineRule="auto"/>
        <w:ind w:firstLine="480" w:firstLineChars="200"/>
        <w:rPr>
          <w:rFonts w:hint="eastAsia" w:ascii="黑体" w:hAnsi="黑体" w:eastAsia="黑体" w:cs="黑体"/>
          <w:sz w:val="24"/>
          <w:szCs w:val="24"/>
          <w:lang w:eastAsia="zh-CN"/>
        </w:rPr>
      </w:pPr>
      <w:r>
        <w:rPr>
          <w:rFonts w:hint="eastAsia" w:ascii="黑体" w:hAnsi="黑体" w:eastAsia="黑体" w:cs="黑体"/>
          <w:sz w:val="24"/>
          <w:szCs w:val="24"/>
          <w:lang w:eastAsia="zh-CN"/>
        </w:rPr>
        <w:t>（2）我公司完全按报价文件严格执行。</w:t>
      </w:r>
    </w:p>
    <w:p w14:paraId="1C637853">
      <w:pPr>
        <w:pStyle w:val="8"/>
        <w:spacing w:before="0" w:beforeAutospacing="0" w:after="0" w:afterAutospacing="0" w:line="360" w:lineRule="auto"/>
        <w:ind w:firstLine="480" w:firstLineChars="200"/>
        <w:rPr>
          <w:rFonts w:hint="eastAsia" w:ascii="黑体" w:hAnsi="黑体" w:eastAsia="黑体" w:cs="黑体"/>
          <w:sz w:val="24"/>
          <w:szCs w:val="24"/>
          <w:lang w:eastAsia="zh-CN"/>
        </w:rPr>
      </w:pPr>
      <w:r>
        <w:rPr>
          <w:rFonts w:hint="eastAsia" w:ascii="黑体" w:hAnsi="黑体" w:eastAsia="黑体" w:cs="黑体"/>
          <w:sz w:val="24"/>
          <w:szCs w:val="24"/>
          <w:lang w:eastAsia="zh-CN"/>
        </w:rPr>
        <w:t>（3）我公司将严格遵守投标的各项法律法规和程序，若有违规行为，愿意承担相应法律责任。</w:t>
      </w:r>
    </w:p>
    <w:p w14:paraId="26D22873">
      <w:pPr>
        <w:pStyle w:val="8"/>
        <w:spacing w:before="0" w:beforeAutospacing="0" w:after="0" w:afterAutospacing="0" w:line="360" w:lineRule="auto"/>
        <w:ind w:firstLine="480" w:firstLineChars="200"/>
        <w:rPr>
          <w:rFonts w:hint="eastAsia" w:ascii="黑体" w:hAnsi="黑体" w:eastAsia="黑体" w:cs="黑体"/>
          <w:sz w:val="24"/>
          <w:szCs w:val="24"/>
          <w:lang w:eastAsia="zh-CN"/>
        </w:rPr>
      </w:pPr>
      <w:r>
        <w:rPr>
          <w:rFonts w:hint="eastAsia" w:ascii="黑体" w:hAnsi="黑体" w:eastAsia="黑体" w:cs="黑体"/>
          <w:sz w:val="24"/>
          <w:szCs w:val="24"/>
          <w:lang w:eastAsia="zh-CN"/>
        </w:rPr>
        <w:t>（4）若中标，我公司将按照合同约定的时间、地点和方式交付物资，确保项目顺利推进。</w:t>
      </w:r>
    </w:p>
    <w:p w14:paraId="12EBC232">
      <w:pPr>
        <w:pStyle w:val="8"/>
        <w:spacing w:before="0" w:beforeAutospacing="0" w:after="0" w:afterAutospacing="0" w:line="360" w:lineRule="auto"/>
        <w:ind w:firstLine="480" w:firstLineChars="200"/>
        <w:rPr>
          <w:rFonts w:hint="eastAsia" w:ascii="黑体" w:hAnsi="黑体" w:eastAsia="黑体" w:cs="黑体"/>
          <w:sz w:val="24"/>
          <w:szCs w:val="24"/>
          <w:lang w:eastAsia="zh-CN"/>
        </w:rPr>
      </w:pPr>
      <w:r>
        <w:rPr>
          <w:rFonts w:hint="eastAsia" w:ascii="黑体" w:hAnsi="黑体" w:eastAsia="黑体" w:cs="黑体"/>
          <w:sz w:val="24"/>
          <w:szCs w:val="24"/>
          <w:lang w:eastAsia="zh-CN"/>
        </w:rPr>
        <w:t>（5）我公司保证所提供的所有资料真实、准确、有效，如有虚假，愿意接受相应处罚。 一旦我方中标，愿意按照招标文件和招标人的规定和要求签订购销合同，并信守合同、保证质量、如期交货。</w:t>
      </w:r>
    </w:p>
    <w:p w14:paraId="452330FA">
      <w:pPr>
        <w:pStyle w:val="8"/>
        <w:spacing w:before="0" w:beforeAutospacing="0" w:after="0" w:afterAutospacing="0" w:line="360" w:lineRule="auto"/>
        <w:ind w:firstLine="480" w:firstLineChars="200"/>
        <w:rPr>
          <w:rFonts w:hint="eastAsia" w:ascii="黑体" w:hAnsi="黑体" w:eastAsia="黑体" w:cs="黑体"/>
          <w:sz w:val="24"/>
          <w:szCs w:val="24"/>
          <w:lang w:eastAsia="zh-CN"/>
        </w:rPr>
      </w:pPr>
    </w:p>
    <w:p w14:paraId="69C3E580">
      <w:pPr>
        <w:pStyle w:val="8"/>
        <w:spacing w:before="0" w:beforeAutospacing="0" w:after="0" w:afterAutospacing="0" w:line="360" w:lineRule="auto"/>
        <w:ind w:firstLine="480" w:firstLineChars="200"/>
        <w:rPr>
          <w:rFonts w:hint="eastAsia" w:ascii="黑体" w:hAnsi="黑体" w:eastAsia="黑体" w:cs="黑体"/>
          <w:sz w:val="24"/>
          <w:szCs w:val="24"/>
          <w:lang w:eastAsia="zh-CN"/>
        </w:rPr>
      </w:pPr>
    </w:p>
    <w:p w14:paraId="6197FEE5">
      <w:pPr>
        <w:pStyle w:val="8"/>
        <w:spacing w:before="0" w:beforeAutospacing="0" w:after="0" w:afterAutospacing="0" w:line="360" w:lineRule="auto"/>
        <w:ind w:firstLine="480" w:firstLineChars="200"/>
        <w:jc w:val="center"/>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 xml:space="preserve">                                    </w:t>
      </w:r>
      <w:r>
        <w:rPr>
          <w:rFonts w:hint="eastAsia" w:ascii="黑体" w:hAnsi="黑体" w:eastAsia="黑体" w:cs="黑体"/>
          <w:sz w:val="24"/>
          <w:szCs w:val="24"/>
          <w:lang w:eastAsia="zh-CN"/>
        </w:rPr>
        <w:t>投标商名称（盖单位章</w:t>
      </w:r>
      <w:r>
        <w:rPr>
          <w:rFonts w:hint="eastAsia" w:ascii="黑体" w:hAnsi="黑体" w:eastAsia="黑体" w:cs="黑体"/>
          <w:sz w:val="24"/>
          <w:szCs w:val="24"/>
          <w:lang w:val="en-US" w:eastAsia="zh-CN"/>
        </w:rPr>
        <w:t>)</w:t>
      </w:r>
    </w:p>
    <w:p w14:paraId="01FE1859">
      <w:pPr>
        <w:pStyle w:val="8"/>
        <w:spacing w:before="0" w:beforeAutospacing="0" w:after="0" w:afterAutospacing="0" w:line="360" w:lineRule="auto"/>
        <w:ind w:firstLine="480" w:firstLineChars="200"/>
        <w:jc w:val="right"/>
        <w:rPr>
          <w:rFonts w:hint="eastAsia" w:ascii="黑体" w:hAnsi="黑体" w:eastAsia="黑体" w:cs="黑体"/>
          <w:sz w:val="24"/>
          <w:szCs w:val="24"/>
          <w:lang w:eastAsia="zh-CN"/>
        </w:rPr>
      </w:pPr>
      <w:r>
        <w:rPr>
          <w:rFonts w:hint="eastAsia" w:ascii="黑体" w:hAnsi="黑体" w:eastAsia="黑体" w:cs="黑体"/>
          <w:sz w:val="24"/>
          <w:szCs w:val="24"/>
          <w:lang w:eastAsia="zh-CN"/>
        </w:rPr>
        <w:t>日  期：</w:t>
      </w:r>
      <w:bookmarkStart w:id="2" w:name="_GoBack"/>
      <w:bookmarkEnd w:id="2"/>
      <w:r>
        <w:rPr>
          <w:rFonts w:hint="eastAsia" w:ascii="黑体" w:hAnsi="黑体" w:eastAsia="黑体" w:cs="黑体"/>
          <w:sz w:val="24"/>
          <w:szCs w:val="24"/>
          <w:lang w:eastAsia="zh-CN"/>
        </w:rPr>
        <w:t xml:space="preserve">    年    月     日</w:t>
      </w:r>
    </w:p>
    <w:p w14:paraId="5B8C8972">
      <w:pPr>
        <w:kinsoku/>
        <w:ind w:firstLine="560" w:firstLineChars="200"/>
        <w:rPr>
          <w:rFonts w:ascii="黑体" w:hAnsi="黑体" w:eastAsia="黑体" w:cs="Segoe UI"/>
          <w:color w:val="4E5463"/>
          <w:sz w:val="28"/>
          <w:szCs w:val="28"/>
          <w:lang w:eastAsia="zh-CN"/>
        </w:rPr>
      </w:pPr>
    </w:p>
    <w:p w14:paraId="101F40DD">
      <w:pPr>
        <w:spacing w:before="46" w:line="218" w:lineRule="exact"/>
        <w:jc w:val="right"/>
        <w:rPr>
          <w:sz w:val="16"/>
          <w:szCs w:val="16"/>
        </w:rPr>
      </w:pPr>
    </w:p>
    <w:sectPr>
      <w:headerReference r:id="rId6" w:type="default"/>
      <w:type w:val="continuous"/>
      <w:pgSz w:w="11900" w:h="16839"/>
      <w:pgMar w:top="1417" w:right="1417" w:bottom="1417" w:left="1587" w:header="0" w:footer="0" w:gutter="0"/>
      <w:cols w:equalWidth="0" w:num="1">
        <w:col w:w="10837"/>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font>
  <w:font w:name="新宋体">
    <w:panose1 w:val="02010609030101010101"/>
    <w:charset w:val="86"/>
    <w:family w:val="modern"/>
    <w:pitch w:val="default"/>
    <w:sig w:usb0="00000203" w:usb1="288F0000" w:usb2="00000006" w:usb3="00000000" w:csb0="00040001"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03CB3">
    <w:pPr>
      <w:pStyle w:val="4"/>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F032E">
    <w:pPr>
      <w:pStyle w:val="4"/>
      <w:ind w:right="360"/>
      <w:jc w:val="center"/>
    </w:pPr>
    <w:r>
      <w:fldChar w:fldCharType="begin"/>
    </w:r>
    <w:r>
      <w:rPr>
        <w:rStyle w:val="12"/>
      </w:rPr>
      <w:instrText xml:space="preserve"> PAGE </w:instrText>
    </w:r>
    <w:r>
      <w:fldChar w:fldCharType="separate"/>
    </w:r>
    <w:r>
      <w:rPr>
        <w:rStyle w:val="12"/>
      </w:rPr>
      <w:t>- 2 -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0B755">
    <w:pPr>
      <w:spacing w:before="100" w:after="10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1C4E9">
    <w:pPr>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CCED58"/>
    <w:multiLevelType w:val="singleLevel"/>
    <w:tmpl w:val="25CCED58"/>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7AD"/>
    <w:rsid w:val="00056769"/>
    <w:rsid w:val="0011084D"/>
    <w:rsid w:val="001507B7"/>
    <w:rsid w:val="001678D6"/>
    <w:rsid w:val="00290562"/>
    <w:rsid w:val="002B2220"/>
    <w:rsid w:val="002E3A89"/>
    <w:rsid w:val="00317F82"/>
    <w:rsid w:val="003A51F3"/>
    <w:rsid w:val="003F45EC"/>
    <w:rsid w:val="004942D8"/>
    <w:rsid w:val="004A2183"/>
    <w:rsid w:val="004A2703"/>
    <w:rsid w:val="004F540B"/>
    <w:rsid w:val="005323CA"/>
    <w:rsid w:val="0056426A"/>
    <w:rsid w:val="005C64E1"/>
    <w:rsid w:val="005D0D63"/>
    <w:rsid w:val="0062170D"/>
    <w:rsid w:val="006C4C6A"/>
    <w:rsid w:val="00790390"/>
    <w:rsid w:val="008E20C1"/>
    <w:rsid w:val="009311C3"/>
    <w:rsid w:val="009650C2"/>
    <w:rsid w:val="009A3F67"/>
    <w:rsid w:val="00AD39FA"/>
    <w:rsid w:val="00B11E48"/>
    <w:rsid w:val="00BA17AD"/>
    <w:rsid w:val="00BF52BD"/>
    <w:rsid w:val="00C128E7"/>
    <w:rsid w:val="00D902D2"/>
    <w:rsid w:val="00DE7E1B"/>
    <w:rsid w:val="00E03A40"/>
    <w:rsid w:val="00EC2EDA"/>
    <w:rsid w:val="00F638A4"/>
    <w:rsid w:val="00F72FF8"/>
    <w:rsid w:val="00FA125F"/>
    <w:rsid w:val="010657FC"/>
    <w:rsid w:val="01255120"/>
    <w:rsid w:val="0179546C"/>
    <w:rsid w:val="01D134FA"/>
    <w:rsid w:val="01F9035B"/>
    <w:rsid w:val="02385327"/>
    <w:rsid w:val="02866093"/>
    <w:rsid w:val="02E66B31"/>
    <w:rsid w:val="033E4BBF"/>
    <w:rsid w:val="03920A67"/>
    <w:rsid w:val="04972390"/>
    <w:rsid w:val="067F3739"/>
    <w:rsid w:val="06ED10CA"/>
    <w:rsid w:val="0797664C"/>
    <w:rsid w:val="07EF3ACC"/>
    <w:rsid w:val="08057A5A"/>
    <w:rsid w:val="08B1198F"/>
    <w:rsid w:val="09385C0D"/>
    <w:rsid w:val="094A7EDE"/>
    <w:rsid w:val="09FD1E6C"/>
    <w:rsid w:val="09FE0C04"/>
    <w:rsid w:val="0A083831"/>
    <w:rsid w:val="0A3167F5"/>
    <w:rsid w:val="0A8455AD"/>
    <w:rsid w:val="0BC83278"/>
    <w:rsid w:val="0BDB744F"/>
    <w:rsid w:val="0CE04217"/>
    <w:rsid w:val="0DE3083D"/>
    <w:rsid w:val="0E6F0323"/>
    <w:rsid w:val="0EA53D44"/>
    <w:rsid w:val="0EE859DF"/>
    <w:rsid w:val="0EEE56EB"/>
    <w:rsid w:val="103233B6"/>
    <w:rsid w:val="10ED3781"/>
    <w:rsid w:val="10FF0536"/>
    <w:rsid w:val="110E3E23"/>
    <w:rsid w:val="11642E70"/>
    <w:rsid w:val="123553DF"/>
    <w:rsid w:val="135A334F"/>
    <w:rsid w:val="144C07BE"/>
    <w:rsid w:val="14720225"/>
    <w:rsid w:val="1481490C"/>
    <w:rsid w:val="14952165"/>
    <w:rsid w:val="14D56A06"/>
    <w:rsid w:val="158F25A9"/>
    <w:rsid w:val="15AA7E92"/>
    <w:rsid w:val="163A7468"/>
    <w:rsid w:val="167A1613"/>
    <w:rsid w:val="17255A22"/>
    <w:rsid w:val="18700F1F"/>
    <w:rsid w:val="18B74DA0"/>
    <w:rsid w:val="18D25736"/>
    <w:rsid w:val="19197809"/>
    <w:rsid w:val="191C4C03"/>
    <w:rsid w:val="19EA0D28"/>
    <w:rsid w:val="19F65454"/>
    <w:rsid w:val="1AC70920"/>
    <w:rsid w:val="1AE910EF"/>
    <w:rsid w:val="1B210BF7"/>
    <w:rsid w:val="1B6449C9"/>
    <w:rsid w:val="1BC17CE4"/>
    <w:rsid w:val="1C166731"/>
    <w:rsid w:val="1C3F2267"/>
    <w:rsid w:val="1CAE0268"/>
    <w:rsid w:val="1D210A3A"/>
    <w:rsid w:val="1D9B4C90"/>
    <w:rsid w:val="1DC13FCB"/>
    <w:rsid w:val="1E026ABD"/>
    <w:rsid w:val="1E4B0A5F"/>
    <w:rsid w:val="1EA77665"/>
    <w:rsid w:val="1F093E7B"/>
    <w:rsid w:val="1FA11CDE"/>
    <w:rsid w:val="1FA94D17"/>
    <w:rsid w:val="1FB042F7"/>
    <w:rsid w:val="1FB2006F"/>
    <w:rsid w:val="20992FDD"/>
    <w:rsid w:val="21D06ED2"/>
    <w:rsid w:val="22A7378F"/>
    <w:rsid w:val="2332025C"/>
    <w:rsid w:val="2346744C"/>
    <w:rsid w:val="24134E54"/>
    <w:rsid w:val="25CA7797"/>
    <w:rsid w:val="268235D8"/>
    <w:rsid w:val="274517C9"/>
    <w:rsid w:val="276E0D20"/>
    <w:rsid w:val="27764078"/>
    <w:rsid w:val="279F7221"/>
    <w:rsid w:val="27B0758A"/>
    <w:rsid w:val="27DF39CB"/>
    <w:rsid w:val="281F201A"/>
    <w:rsid w:val="28416434"/>
    <w:rsid w:val="28F214DC"/>
    <w:rsid w:val="29326B7A"/>
    <w:rsid w:val="29470146"/>
    <w:rsid w:val="29565F0F"/>
    <w:rsid w:val="29915199"/>
    <w:rsid w:val="29DB4666"/>
    <w:rsid w:val="2A3E70CF"/>
    <w:rsid w:val="2A4C2E6E"/>
    <w:rsid w:val="2A4D7312"/>
    <w:rsid w:val="2A68414C"/>
    <w:rsid w:val="2AC5334C"/>
    <w:rsid w:val="2BA84A00"/>
    <w:rsid w:val="2BB05DAB"/>
    <w:rsid w:val="2BDA522C"/>
    <w:rsid w:val="2C077995"/>
    <w:rsid w:val="2C1E2133"/>
    <w:rsid w:val="2C6721E1"/>
    <w:rsid w:val="2D0D2D89"/>
    <w:rsid w:val="2E9F48D0"/>
    <w:rsid w:val="2F8337D6"/>
    <w:rsid w:val="2FD47B8E"/>
    <w:rsid w:val="2FEA5603"/>
    <w:rsid w:val="306E1D90"/>
    <w:rsid w:val="313C3C3D"/>
    <w:rsid w:val="31D25FD2"/>
    <w:rsid w:val="321C75CA"/>
    <w:rsid w:val="33213287"/>
    <w:rsid w:val="33863895"/>
    <w:rsid w:val="33DE0FDB"/>
    <w:rsid w:val="34056568"/>
    <w:rsid w:val="34E940DB"/>
    <w:rsid w:val="35156E94"/>
    <w:rsid w:val="35246EC1"/>
    <w:rsid w:val="356B5AA5"/>
    <w:rsid w:val="376E6B1A"/>
    <w:rsid w:val="37FC0E57"/>
    <w:rsid w:val="381D62CA"/>
    <w:rsid w:val="38211DDE"/>
    <w:rsid w:val="3A0D11FF"/>
    <w:rsid w:val="3A2B484E"/>
    <w:rsid w:val="3A502507"/>
    <w:rsid w:val="3CA17733"/>
    <w:rsid w:val="3D0E0B83"/>
    <w:rsid w:val="3D5D5666"/>
    <w:rsid w:val="3D5F13DF"/>
    <w:rsid w:val="3DD75419"/>
    <w:rsid w:val="3FBA6DA0"/>
    <w:rsid w:val="3FEB6F5A"/>
    <w:rsid w:val="40A86BF9"/>
    <w:rsid w:val="41167877"/>
    <w:rsid w:val="415C11DD"/>
    <w:rsid w:val="42220C2D"/>
    <w:rsid w:val="42CE132C"/>
    <w:rsid w:val="42E14644"/>
    <w:rsid w:val="42F205FF"/>
    <w:rsid w:val="432307B8"/>
    <w:rsid w:val="435272F0"/>
    <w:rsid w:val="439873F8"/>
    <w:rsid w:val="44226CC2"/>
    <w:rsid w:val="445F7F16"/>
    <w:rsid w:val="44953938"/>
    <w:rsid w:val="44F3065E"/>
    <w:rsid w:val="46EA3D5D"/>
    <w:rsid w:val="47044DA5"/>
    <w:rsid w:val="4783216D"/>
    <w:rsid w:val="482F19AD"/>
    <w:rsid w:val="48F350D1"/>
    <w:rsid w:val="49492F43"/>
    <w:rsid w:val="4957740E"/>
    <w:rsid w:val="49A81A17"/>
    <w:rsid w:val="49CC1516"/>
    <w:rsid w:val="49FB248F"/>
    <w:rsid w:val="4A9D70A2"/>
    <w:rsid w:val="4AE20F59"/>
    <w:rsid w:val="4B101F6A"/>
    <w:rsid w:val="4B6C00AA"/>
    <w:rsid w:val="4C52210E"/>
    <w:rsid w:val="4C746529"/>
    <w:rsid w:val="4C783645"/>
    <w:rsid w:val="4CA54934"/>
    <w:rsid w:val="4CC36CB0"/>
    <w:rsid w:val="4D16313C"/>
    <w:rsid w:val="4D3A32CE"/>
    <w:rsid w:val="4E0D64CF"/>
    <w:rsid w:val="4EC975AC"/>
    <w:rsid w:val="4F74239C"/>
    <w:rsid w:val="502E6463"/>
    <w:rsid w:val="504B134F"/>
    <w:rsid w:val="50B25872"/>
    <w:rsid w:val="50E7376D"/>
    <w:rsid w:val="512B6180"/>
    <w:rsid w:val="514C35D0"/>
    <w:rsid w:val="516A1CA8"/>
    <w:rsid w:val="51BC0756"/>
    <w:rsid w:val="51BC11E5"/>
    <w:rsid w:val="527A416D"/>
    <w:rsid w:val="532661E6"/>
    <w:rsid w:val="53530C46"/>
    <w:rsid w:val="54451E10"/>
    <w:rsid w:val="544607AB"/>
    <w:rsid w:val="55863606"/>
    <w:rsid w:val="558F1CDD"/>
    <w:rsid w:val="55AF05D2"/>
    <w:rsid w:val="55E93AE3"/>
    <w:rsid w:val="55FB7373"/>
    <w:rsid w:val="560A5808"/>
    <w:rsid w:val="56431446"/>
    <w:rsid w:val="568455BA"/>
    <w:rsid w:val="57315742"/>
    <w:rsid w:val="575136EE"/>
    <w:rsid w:val="57BD0D84"/>
    <w:rsid w:val="57D4431F"/>
    <w:rsid w:val="5836262A"/>
    <w:rsid w:val="592A2449"/>
    <w:rsid w:val="5988716F"/>
    <w:rsid w:val="59945B14"/>
    <w:rsid w:val="5AFC6067"/>
    <w:rsid w:val="5B661732"/>
    <w:rsid w:val="5D2E44D2"/>
    <w:rsid w:val="5DDE7CA6"/>
    <w:rsid w:val="5E820631"/>
    <w:rsid w:val="5EB36A3D"/>
    <w:rsid w:val="5FBE7D8F"/>
    <w:rsid w:val="60480382"/>
    <w:rsid w:val="605129B1"/>
    <w:rsid w:val="606049A2"/>
    <w:rsid w:val="631877B6"/>
    <w:rsid w:val="633A30DC"/>
    <w:rsid w:val="63CB2A7A"/>
    <w:rsid w:val="63E678B4"/>
    <w:rsid w:val="6431176C"/>
    <w:rsid w:val="650C50F9"/>
    <w:rsid w:val="65A17F37"/>
    <w:rsid w:val="66C814F3"/>
    <w:rsid w:val="66CD6B09"/>
    <w:rsid w:val="66CF63DE"/>
    <w:rsid w:val="66DE4873"/>
    <w:rsid w:val="673D4124"/>
    <w:rsid w:val="679D028A"/>
    <w:rsid w:val="69B813AB"/>
    <w:rsid w:val="69BE2739"/>
    <w:rsid w:val="69C4277D"/>
    <w:rsid w:val="69D81A4D"/>
    <w:rsid w:val="69F61ED3"/>
    <w:rsid w:val="6A7752CC"/>
    <w:rsid w:val="6A876FCF"/>
    <w:rsid w:val="6B3158B9"/>
    <w:rsid w:val="6B3453A9"/>
    <w:rsid w:val="6B811C71"/>
    <w:rsid w:val="6BA73DCD"/>
    <w:rsid w:val="6C9003BD"/>
    <w:rsid w:val="6C9C1458"/>
    <w:rsid w:val="6CDE55CC"/>
    <w:rsid w:val="6D8E6FF3"/>
    <w:rsid w:val="6E041063"/>
    <w:rsid w:val="6E847518"/>
    <w:rsid w:val="6F9476CF"/>
    <w:rsid w:val="6FDE3B35"/>
    <w:rsid w:val="70510A5C"/>
    <w:rsid w:val="719941B8"/>
    <w:rsid w:val="737C3CE1"/>
    <w:rsid w:val="738D3403"/>
    <w:rsid w:val="74A25132"/>
    <w:rsid w:val="74B66E2F"/>
    <w:rsid w:val="75A457CE"/>
    <w:rsid w:val="75BF7F65"/>
    <w:rsid w:val="75EE3F33"/>
    <w:rsid w:val="76593F16"/>
    <w:rsid w:val="767D66FB"/>
    <w:rsid w:val="76FF686B"/>
    <w:rsid w:val="775C64F2"/>
    <w:rsid w:val="77925931"/>
    <w:rsid w:val="77BE6726"/>
    <w:rsid w:val="77F4039A"/>
    <w:rsid w:val="783C3AEF"/>
    <w:rsid w:val="786B1CDE"/>
    <w:rsid w:val="78C53AE4"/>
    <w:rsid w:val="79A9767F"/>
    <w:rsid w:val="79F3554F"/>
    <w:rsid w:val="7A150154"/>
    <w:rsid w:val="7A805F15"/>
    <w:rsid w:val="7A9E45ED"/>
    <w:rsid w:val="7B0D089A"/>
    <w:rsid w:val="7B1E5C83"/>
    <w:rsid w:val="7B332F87"/>
    <w:rsid w:val="7D43502B"/>
    <w:rsid w:val="7D567401"/>
    <w:rsid w:val="7DE14F1D"/>
    <w:rsid w:val="7DF54524"/>
    <w:rsid w:val="7E6572AE"/>
    <w:rsid w:val="7EAF0B77"/>
    <w:rsid w:val="7F054C3B"/>
    <w:rsid w:val="7F7266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semiHidden/>
    <w:qFormat/>
    <w:uiPriority w:val="0"/>
    <w:rPr>
      <w:rFonts w:ascii="微软雅黑" w:hAnsi="微软雅黑" w:eastAsia="微软雅黑" w:cs="微软雅黑"/>
      <w:sz w:val="18"/>
      <w:szCs w:val="18"/>
    </w:rPr>
  </w:style>
  <w:style w:type="paragraph" w:styleId="3">
    <w:name w:val="Balloon Text"/>
    <w:basedOn w:val="1"/>
    <w:link w:val="18"/>
    <w:qFormat/>
    <w:uiPriority w:val="0"/>
    <w:rPr>
      <w:sz w:val="18"/>
      <w:szCs w:val="18"/>
    </w:rPr>
  </w:style>
  <w:style w:type="paragraph" w:styleId="4">
    <w:name w:val="footer"/>
    <w:basedOn w:val="1"/>
    <w:unhideWhenUsed/>
    <w:qFormat/>
    <w:uiPriority w:val="99"/>
    <w:pPr>
      <w:tabs>
        <w:tab w:val="center" w:pos="4153"/>
        <w:tab w:val="right" w:pos="8306"/>
      </w:tabs>
    </w:pPr>
    <w:rPr>
      <w:sz w:val="18"/>
      <w:szCs w:val="18"/>
    </w:rPr>
  </w:style>
  <w:style w:type="paragraph" w:styleId="5">
    <w:name w:val="header"/>
    <w:basedOn w:val="1"/>
    <w:link w:val="17"/>
    <w:qFormat/>
    <w:uiPriority w:val="0"/>
    <w:pPr>
      <w:pBdr>
        <w:bottom w:val="single" w:color="auto" w:sz="6" w:space="1"/>
      </w:pBdr>
      <w:tabs>
        <w:tab w:val="center" w:pos="4153"/>
        <w:tab w:val="right" w:pos="8306"/>
      </w:tabs>
      <w:jc w:val="center"/>
    </w:pPr>
    <w:rPr>
      <w:sz w:val="18"/>
      <w:szCs w:val="18"/>
    </w:rPr>
  </w:style>
  <w:style w:type="paragraph" w:styleId="6">
    <w:name w:val="Subtitle"/>
    <w:basedOn w:val="1"/>
    <w:next w:val="1"/>
    <w:qFormat/>
    <w:uiPriority w:val="0"/>
    <w:pPr>
      <w:wordWrap w:val="0"/>
      <w:spacing w:after="60"/>
      <w:jc w:val="center"/>
    </w:pPr>
    <w:rPr>
      <w:sz w:val="24"/>
      <w:lang w:eastAsia="zh-CN"/>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sz w:val="24"/>
      <w:szCs w:val="24"/>
      <w:lang w:eastAsia="zh-CN"/>
    </w:rPr>
  </w:style>
  <w:style w:type="paragraph" w:styleId="8">
    <w:name w:val="Normal (Web)"/>
    <w:basedOn w:val="1"/>
    <w:unhideWhenUsed/>
    <w:qFormat/>
    <w:uiPriority w:val="99"/>
    <w:pPr>
      <w:autoSpaceDE/>
      <w:autoSpaceDN/>
      <w:spacing w:before="100" w:beforeAutospacing="1" w:after="100" w:afterAutospacing="1"/>
    </w:pPr>
    <w:rPr>
      <w:sz w:val="24"/>
      <w:szCs w:val="24"/>
      <w:lang w:eastAsia="zh-CN"/>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Table Text"/>
    <w:basedOn w:val="1"/>
    <w:semiHidden/>
    <w:qFormat/>
    <w:uiPriority w:val="0"/>
    <w:rPr>
      <w:rFonts w:ascii="微软雅黑" w:hAnsi="微软雅黑" w:eastAsia="微软雅黑" w:cs="微软雅黑"/>
      <w:sz w:val="18"/>
      <w:szCs w:val="18"/>
    </w:rPr>
  </w:style>
  <w:style w:type="paragraph" w:customStyle="1" w:styleId="15">
    <w:name w:val="Body Text1"/>
    <w:basedOn w:val="1"/>
    <w:qFormat/>
    <w:uiPriority w:val="0"/>
    <w:pPr>
      <w:widowControl w:val="0"/>
      <w:tabs>
        <w:tab w:val="right" w:leader="dot" w:pos="9009"/>
      </w:tabs>
      <w:jc w:val="both"/>
    </w:pPr>
    <w:rPr>
      <w:rFonts w:eastAsia="宋体" w:cs="Times New Roman"/>
      <w:kern w:val="2"/>
      <w:sz w:val="28"/>
      <w:szCs w:val="24"/>
      <w:lang w:eastAsia="zh-CN"/>
    </w:rPr>
  </w:style>
  <w:style w:type="paragraph" w:customStyle="1" w:styleId="16">
    <w:name w:val="p0"/>
    <w:basedOn w:val="1"/>
    <w:qFormat/>
    <w:uiPriority w:val="0"/>
    <w:rPr>
      <w:rFonts w:ascii="宋体" w:hAnsi="宋体" w:eastAsia="宋体" w:cs="宋体"/>
      <w:sz w:val="24"/>
      <w:szCs w:val="24"/>
    </w:rPr>
  </w:style>
  <w:style w:type="character" w:customStyle="1" w:styleId="17">
    <w:name w:val="页眉 字符"/>
    <w:basedOn w:val="11"/>
    <w:link w:val="5"/>
    <w:qFormat/>
    <w:uiPriority w:val="0"/>
    <w:rPr>
      <w:rFonts w:ascii="Arial" w:hAnsi="Arial" w:eastAsia="Arial" w:cs="Arial"/>
      <w:snapToGrid w:val="0"/>
      <w:color w:val="000000"/>
      <w:sz w:val="18"/>
      <w:szCs w:val="18"/>
      <w:lang w:eastAsia="en-US"/>
    </w:rPr>
  </w:style>
  <w:style w:type="character" w:customStyle="1" w:styleId="18">
    <w:name w:val="批注框文本 字符"/>
    <w:basedOn w:val="11"/>
    <w:link w:val="3"/>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11</Pages>
  <Words>3841</Words>
  <Characters>4200</Characters>
  <Lines>32</Lines>
  <Paragraphs>9</Paragraphs>
  <TotalTime>46</TotalTime>
  <ScaleCrop>false</ScaleCrop>
  <LinksUpToDate>false</LinksUpToDate>
  <CharactersWithSpaces>4450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2025-10-14T03:48:00Z</dcterms:created>
  <dc:creator>HUAWEI</dc:creator>
  <cp:lastModifiedBy>习惯。</cp:lastModifiedBy>
  <cp:lastPrinted>2026-09-03T02:12:00Z</cp:lastPrinted>
  <dcterms:modified xsi:type="dcterms:W3CDTF">2026-09-17T08:24:40Z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2025-06-03T22:54:03Z</vt:filetime>
  </property>
  <property fmtid="{D5CDD505-2E9C-101B-9397-08002B2CF9AE}" pid="4" name="KSOTemplateDocerSaveRecord">
    <vt:lpwstr>eyJoZGlkIjoiZjMyOGYyNzU4ZjdjOWViYjQ0ZDczZWJlNGIxYWRkMDkiLCJ1c2VySWQiOiIyNTExMzU0NzMifQ==</vt:lpwstr>
  </property>
  <property fmtid="{D5CDD505-2E9C-101B-9397-08002B2CF9AE}" pid="5" name="KSOProductBuildVer">
    <vt:lpwstr>2052-12.1.0.21171</vt:lpwstr>
  </property>
  <property fmtid="{D5CDD505-2E9C-101B-9397-08002B2CF9AE}" pid="6" name="ICV">
    <vt:lpwstr>34E217D7588D44209A14C7E531523395_13</vt:lpwstr>
  </property>
</Properties>
</file>