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四川蜀创绿基新材料有限公司</w:t>
      </w:r>
      <w:r>
        <w:rPr>
          <w:rFonts w:hint="eastAsia" w:asciiTheme="minorEastAsia" w:hAnsiTheme="minorEastAsia" w:cstheme="minorEastAsia"/>
          <w:b/>
          <w:bCs/>
          <w:color w:val="auto"/>
          <w:kern w:val="0"/>
          <w:sz w:val="48"/>
          <w:szCs w:val="48"/>
          <w:lang w:val="en-US" w:eastAsia="zh-CN"/>
        </w:rPr>
        <w:t>无轴螺运机</w:t>
      </w:r>
      <w:r>
        <w:rPr>
          <w:rFonts w:hint="eastAsia" w:asciiTheme="minorEastAsia" w:hAnsiTheme="minorEastAsia" w:eastAsiaTheme="minorEastAsia" w:cstheme="minorEastAsia"/>
          <w:b/>
          <w:bCs/>
          <w:color w:val="auto"/>
          <w:sz w:val="48"/>
          <w:szCs w:val="48"/>
          <w:highlight w:val="none"/>
          <w:lang w:val="en-US" w:eastAsia="zh-CN"/>
        </w:rPr>
        <w:t>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4C7901ED">
      <w:pPr>
        <w:pStyle w:val="5"/>
        <w:jc w:val="center"/>
        <w:rPr>
          <w:rFonts w:hint="default"/>
          <w:color w:val="auto"/>
          <w:lang w:val="en-US" w:eastAsia="zh-CN"/>
        </w:rPr>
      </w:pPr>
      <w:r>
        <w:rPr>
          <w:rFonts w:hint="eastAsia" w:ascii="黑体" w:hAnsi="黑体" w:eastAsia="黑体" w:cs="宋体"/>
          <w:b/>
          <w:color w:val="auto"/>
          <w:kern w:val="0"/>
          <w:sz w:val="32"/>
          <w:szCs w:val="32"/>
          <w:lang w:val="en-US" w:eastAsia="zh-CN"/>
        </w:rPr>
        <w:t>编号：SCLJ-GKBX-2026-HW03</w:t>
      </w:r>
    </w:p>
    <w:p w14:paraId="28B86A66">
      <w:pPr>
        <w:autoSpaceDE w:val="0"/>
        <w:autoSpaceDN w:val="0"/>
        <w:adjustRightInd w:val="0"/>
        <w:spacing w:line="360" w:lineRule="auto"/>
        <w:jc w:val="center"/>
        <w:rPr>
          <w:rFonts w:asciiTheme="minorEastAsia" w:hAnsiTheme="minorEastAsia" w:eastAsiaTheme="minorEastAsia"/>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14</w:t>
      </w:r>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四川蜀创绿基新材料有限公司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r>
        <w:rPr>
          <w:rFonts w:hint="eastAsia" w:ascii="黑体" w:hAnsi="黑体" w:eastAsia="黑体" w:cs="Segoe UI"/>
          <w:b/>
          <w:bCs/>
          <w:color w:val="000000"/>
          <w:kern w:val="0"/>
          <w:sz w:val="32"/>
          <w:szCs w:val="32"/>
          <w:lang w:val="en-US" w:eastAsia="zh-CN"/>
        </w:rPr>
        <w:t>无轴螺运机</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w:t>
      </w:r>
      <w:r>
        <w:rPr>
          <w:rFonts w:hint="eastAsia" w:ascii="黑体" w:hAnsi="黑体" w:eastAsia="黑体" w:cs="宋体"/>
          <w:b/>
          <w:color w:val="auto"/>
          <w:kern w:val="0"/>
          <w:sz w:val="32"/>
          <w:szCs w:val="32"/>
          <w:lang w:val="en-US" w:eastAsia="zh-CN"/>
        </w:rPr>
        <w:t>SCLJ-GKBX-2026-HW03</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由四川蜀创绿基新材料有限公司因生产需采购</w:t>
      </w:r>
      <w:r>
        <w:rPr>
          <w:rFonts w:hint="eastAsia" w:ascii="黑体" w:hAnsi="黑体" w:eastAsia="黑体" w:cs="Segoe UI"/>
          <w:color w:val="000000"/>
          <w:kern w:val="0"/>
          <w:sz w:val="28"/>
          <w:szCs w:val="28"/>
          <w:lang w:val="en-US" w:eastAsia="zh-CN"/>
        </w:rPr>
        <w:t>无轴螺运机</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无轴螺运机采购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无轴螺运机2台</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二、比选人：四川蜀创绿基新材料有限公司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300"/>
        <w:gridCol w:w="2124"/>
        <w:gridCol w:w="3844"/>
        <w:gridCol w:w="1390"/>
      </w:tblGrid>
      <w:tr w14:paraId="2224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6F32582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300" w:type="dxa"/>
            <w:vAlign w:val="center"/>
          </w:tcPr>
          <w:p w14:paraId="7AF631DF">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2124" w:type="dxa"/>
            <w:vAlign w:val="center"/>
          </w:tcPr>
          <w:p w14:paraId="6E7119C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3844" w:type="dxa"/>
            <w:vAlign w:val="center"/>
          </w:tcPr>
          <w:p w14:paraId="12010F90">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技术参数</w:t>
            </w:r>
          </w:p>
        </w:tc>
        <w:tc>
          <w:tcPr>
            <w:tcW w:w="1390" w:type="dxa"/>
            <w:vAlign w:val="center"/>
          </w:tcPr>
          <w:p w14:paraId="69C4090D">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数量（台）</w:t>
            </w:r>
          </w:p>
        </w:tc>
      </w:tr>
      <w:tr w14:paraId="7A5F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37C1F30B">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300" w:type="dxa"/>
            <w:vAlign w:val="center"/>
          </w:tcPr>
          <w:p w14:paraId="5E90A654">
            <w:pPr>
              <w:spacing w:line="360" w:lineRule="exact"/>
              <w:jc w:val="center"/>
              <w:rPr>
                <w:rFonts w:hint="default" w:ascii="黑体" w:hAnsi="黑体" w:eastAsia="黑体" w:cs="宋体"/>
                <w:kern w:val="0"/>
                <w:sz w:val="21"/>
                <w:szCs w:val="21"/>
                <w:vertAlign w:val="baseline"/>
                <w:lang w:val="en-US"/>
              </w:rPr>
            </w:pPr>
            <w:r>
              <w:rPr>
                <w:rFonts w:hint="eastAsia" w:ascii="黑体" w:hAnsi="黑体" w:eastAsia="黑体" w:cs="Segoe UI"/>
                <w:color w:val="000000"/>
                <w:kern w:val="0"/>
                <w:sz w:val="21"/>
                <w:szCs w:val="21"/>
                <w:lang w:val="en-US" w:eastAsia="zh-CN"/>
              </w:rPr>
              <w:t>无轴螺运机</w:t>
            </w:r>
          </w:p>
        </w:tc>
        <w:tc>
          <w:tcPr>
            <w:tcW w:w="2124" w:type="dxa"/>
            <w:vAlign w:val="center"/>
          </w:tcPr>
          <w:p w14:paraId="762C2835">
            <w:pPr>
              <w:keepNext w:val="0"/>
              <w:keepLines w:val="0"/>
              <w:widowControl/>
              <w:suppressLineNumbers w:val="0"/>
              <w:jc w:val="center"/>
              <w:textAlignment w:val="center"/>
              <w:rPr>
                <w:rFonts w:hint="default" w:ascii="Arial" w:hAnsi="Arial" w:eastAsia="宋体" w:cs="Arial"/>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WLS200*9m</w:t>
            </w:r>
          </w:p>
        </w:tc>
        <w:tc>
          <w:tcPr>
            <w:tcW w:w="3844" w:type="dxa"/>
            <w:vAlign w:val="center"/>
          </w:tcPr>
          <w:p w14:paraId="702B1350">
            <w:pPr>
              <w:spacing w:line="360" w:lineRule="exact"/>
              <w:jc w:val="center"/>
              <w:rPr>
                <w:rFonts w:hint="default" w:ascii="黑体" w:hAnsi="黑体" w:eastAsia="黑体" w:cs="宋体"/>
                <w:kern w:val="0"/>
                <w:sz w:val="21"/>
                <w:szCs w:val="21"/>
                <w:vertAlign w:val="baseline"/>
                <w:lang w:val="en-US" w:eastAsia="zh-CN"/>
              </w:rPr>
            </w:pPr>
            <w:r>
              <w:rPr>
                <w:rFonts w:hint="eastAsia" w:ascii="黑体" w:hAnsi="黑体" w:eastAsia="黑体" w:cs="宋体"/>
                <w:kern w:val="0"/>
                <w:sz w:val="21"/>
                <w:szCs w:val="21"/>
                <w:vertAlign w:val="baseline"/>
                <w:lang w:val="en-US" w:eastAsia="zh-CN"/>
              </w:rPr>
              <w:t>1.输送物料：石灰粉 2.进出料口：自制 3.输送量：5-7m³/h</w:t>
            </w:r>
          </w:p>
        </w:tc>
        <w:tc>
          <w:tcPr>
            <w:tcW w:w="1390" w:type="dxa"/>
            <w:vAlign w:val="center"/>
          </w:tcPr>
          <w:p w14:paraId="1597C12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r>
    </w:tbl>
    <w:p w14:paraId="574F6158">
      <w:pPr>
        <w:spacing w:line="360" w:lineRule="exact"/>
        <w:rPr>
          <w:rFonts w:hint="eastAsia" w:ascii="黑体" w:hAnsi="黑体" w:eastAsia="黑体" w:cs="宋体"/>
          <w:kern w:val="0"/>
          <w:sz w:val="28"/>
          <w:szCs w:val="28"/>
        </w:rPr>
      </w:pPr>
    </w:p>
    <w:p w14:paraId="00932954">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地点：四川宏达股份有限公司</w:t>
      </w:r>
      <w:r>
        <w:rPr>
          <w:rFonts w:hint="eastAsia" w:ascii="黑体" w:hAnsi="黑体" w:eastAsia="黑体" w:cs="宋体"/>
          <w:kern w:val="0"/>
          <w:sz w:val="28"/>
          <w:szCs w:val="28"/>
          <w:lang w:val="en-US" w:eastAsia="zh-CN"/>
        </w:rPr>
        <w:t>洛水镇</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06037F6">
      <w:pPr>
        <w:widowControl/>
        <w:shd w:val="clear" w:color="auto" w:fill="FFFFFF"/>
        <w:spacing w:line="400" w:lineRule="exact"/>
        <w:jc w:val="left"/>
        <w:rPr>
          <w:rFonts w:hint="default" w:ascii="黑体" w:hAnsi="黑体" w:eastAsia="黑体"/>
          <w:bCs/>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Segoe UI"/>
          <w:color w:val="000000" w:themeColor="text1"/>
          <w:sz w:val="28"/>
          <w:szCs w:val="28"/>
          <w14:textFill>
            <w14:solidFill>
              <w14:schemeClr w14:val="tx1"/>
            </w14:solidFill>
          </w14:textFill>
        </w:rPr>
        <w:t>以现汇支付。</w:t>
      </w:r>
      <w:r>
        <w:rPr>
          <w:rFonts w:hint="eastAsia" w:ascii="黑体" w:hAnsi="黑体" w:eastAsia="黑体" w:cs="Segoe UI"/>
          <w:color w:val="000000" w:themeColor="text1"/>
          <w:sz w:val="28"/>
          <w:szCs w:val="28"/>
          <w:lang w:val="en-US" w:eastAsia="zh-CN"/>
          <w14:textFill>
            <w14:solidFill>
              <w14:schemeClr w14:val="tx1"/>
            </w14:solidFill>
          </w14:textFill>
        </w:rPr>
        <w:t>先货后款</w:t>
      </w:r>
      <w:r>
        <w:rPr>
          <w:rFonts w:hint="eastAsia" w:ascii="黑体" w:hAnsi="黑体" w:eastAsia="黑体" w:cs="Segoe UI"/>
          <w:color w:val="000000" w:themeColor="text1"/>
          <w:sz w:val="28"/>
          <w:szCs w:val="28"/>
          <w14:textFill>
            <w14:solidFill>
              <w14:schemeClr w14:val="tx1"/>
            </w14:solidFill>
          </w14:textFill>
        </w:rPr>
        <w:t>。</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 9月22日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3A97C40E">
      <w:pPr>
        <w:spacing w:line="360" w:lineRule="exact"/>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②</w:t>
      </w:r>
      <w:r>
        <w:rPr>
          <w:rFonts w:hint="eastAsia" w:ascii="黑体" w:hAnsi="黑体" w:eastAsia="黑体" w:cs="黑体"/>
          <w:b w:val="0"/>
          <w:bCs w:val="0"/>
          <w:kern w:val="0"/>
          <w:sz w:val="28"/>
          <w:szCs w:val="28"/>
          <w:lang w:val="en-US" w:eastAsia="zh-CN"/>
        </w:rPr>
        <w:t>无轴螺运机相关资料（图片、参数说明等）。</w:t>
      </w:r>
      <w:bookmarkStart w:id="20" w:name="_GoBack"/>
      <w:bookmarkEnd w:id="20"/>
    </w:p>
    <w:p w14:paraId="54DDC833">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rPr>
        <w:t>本项目采用符合响应性条款后的最低投标价法</w:t>
      </w:r>
      <w:r>
        <w:rPr>
          <w:rFonts w:hint="eastAsia" w:ascii="黑体" w:hAnsi="黑体" w:eastAsia="黑体" w:cs="Times New Roman"/>
          <w:sz w:val="28"/>
          <w:szCs w:val="28"/>
          <w:lang w:eastAsia="zh-CN"/>
        </w:rPr>
        <w:t>，</w:t>
      </w:r>
      <w:r>
        <w:rPr>
          <w:rFonts w:hint="eastAsia" w:ascii="黑体" w:hAnsi="黑体" w:eastAsia="黑体" w:cs="Times New Roman"/>
          <w:sz w:val="28"/>
          <w:szCs w:val="28"/>
          <w:lang w:val="en-US" w:eastAsia="zh-CN"/>
        </w:rPr>
        <w:t>一次性报价</w:t>
      </w:r>
      <w:r>
        <w:rPr>
          <w:rFonts w:hint="eastAsia" w:ascii="黑体" w:hAnsi="黑体" w:eastAsia="黑体" w:cs="Times New Roman"/>
          <w:sz w:val="28"/>
          <w:szCs w:val="28"/>
        </w:rPr>
        <w:t>。</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440F1485">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14</w:t>
      </w:r>
      <w:r>
        <w:rPr>
          <w:rFonts w:hint="eastAsia" w:ascii="黑体" w:hAnsi="黑体" w:eastAsia="黑体" w:cs="宋体"/>
          <w:kern w:val="0"/>
          <w:sz w:val="28"/>
          <w:szCs w:val="28"/>
        </w:rPr>
        <w:t>日</w:t>
      </w:r>
    </w:p>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274236999"/>
      <w:bookmarkStart w:id="4" w:name="_Toc238552273"/>
      <w:bookmarkStart w:id="5" w:name="_Toc275014947"/>
      <w:bookmarkStart w:id="6" w:name="_Toc303149804"/>
      <w:bookmarkStart w:id="7" w:name="_Toc268793030"/>
      <w:bookmarkStart w:id="8" w:name="_Toc16684"/>
      <w:bookmarkStart w:id="9" w:name="_Toc269113527"/>
      <w:bookmarkStart w:id="10" w:name="_Toc238797630"/>
      <w:bookmarkStart w:id="11" w:name="_Toc275019684"/>
      <w:bookmarkStart w:id="12" w:name="_Toc318986166"/>
      <w:bookmarkStart w:id="13" w:name="_Toc274596702"/>
      <w:bookmarkStart w:id="14" w:name="_Toc275019836"/>
      <w:bookmarkStart w:id="15" w:name="_Toc275019290"/>
    </w:p>
    <w:p w14:paraId="78637A7A">
      <w:pPr>
        <w:ind w:firstLine="4337" w:firstLineChars="1200"/>
        <w:jc w:val="both"/>
        <w:rPr>
          <w:rFonts w:hint="eastAsia" w:ascii="宋体" w:hAnsi="宋体"/>
          <w:b/>
          <w:bCs/>
          <w:color w:val="auto"/>
          <w:sz w:val="36"/>
          <w:szCs w:val="36"/>
          <w:lang w:val="en-US" w:eastAsia="zh-CN"/>
        </w:rPr>
      </w:pPr>
    </w:p>
    <w:p w14:paraId="3758C900">
      <w:pPr>
        <w:ind w:firstLine="4337" w:firstLineChars="1200"/>
        <w:jc w:val="both"/>
        <w:rPr>
          <w:rFonts w:hint="eastAsia" w:ascii="宋体" w:hAnsi="宋体"/>
          <w:b/>
          <w:bCs/>
          <w:color w:val="auto"/>
          <w:sz w:val="36"/>
          <w:szCs w:val="36"/>
          <w:lang w:val="en-US" w:eastAsia="zh-CN"/>
        </w:rPr>
      </w:pPr>
    </w:p>
    <w:p w14:paraId="244B9658">
      <w:pPr>
        <w:ind w:firstLine="4337" w:firstLineChars="1200"/>
        <w:jc w:val="both"/>
        <w:rPr>
          <w:rFonts w:hint="eastAsia" w:ascii="宋体" w:hAnsi="宋体"/>
          <w:b/>
          <w:bCs/>
          <w:color w:val="auto"/>
          <w:sz w:val="36"/>
          <w:szCs w:val="36"/>
          <w:lang w:val="en-US" w:eastAsia="zh-CN"/>
        </w:rPr>
      </w:pPr>
    </w:p>
    <w:p w14:paraId="61121081">
      <w:pPr>
        <w:ind w:firstLine="4337" w:firstLineChars="1200"/>
        <w:jc w:val="both"/>
        <w:rPr>
          <w:rFonts w:hint="eastAsia" w:ascii="宋体" w:hAnsi="宋体"/>
          <w:b/>
          <w:bCs/>
          <w:color w:val="auto"/>
          <w:sz w:val="36"/>
          <w:szCs w:val="36"/>
          <w:lang w:val="en-US" w:eastAsia="zh-CN"/>
        </w:rPr>
      </w:pPr>
    </w:p>
    <w:p w14:paraId="0A86FEC5">
      <w:pPr>
        <w:ind w:firstLine="4337" w:firstLineChars="1200"/>
        <w:jc w:val="both"/>
        <w:rPr>
          <w:rFonts w:hint="eastAsia" w:ascii="宋体" w:hAnsi="宋体"/>
          <w:b/>
          <w:bCs/>
          <w:color w:val="auto"/>
          <w:sz w:val="36"/>
          <w:szCs w:val="36"/>
          <w:lang w:val="en-US" w:eastAsia="zh-CN"/>
        </w:rPr>
      </w:pPr>
    </w:p>
    <w:p w14:paraId="7DAEAE83">
      <w:pPr>
        <w:ind w:firstLine="4337" w:firstLineChars="1200"/>
        <w:jc w:val="both"/>
        <w:rPr>
          <w:rFonts w:hint="eastAsia" w:ascii="宋体" w:hAnsi="宋体"/>
          <w:b/>
          <w:bCs/>
          <w:color w:val="auto"/>
          <w:sz w:val="36"/>
          <w:szCs w:val="36"/>
          <w:lang w:val="en-US" w:eastAsia="zh-CN"/>
        </w:rPr>
      </w:pPr>
    </w:p>
    <w:p w14:paraId="44694D0E">
      <w:pPr>
        <w:ind w:firstLine="4337" w:firstLineChars="1200"/>
        <w:jc w:val="both"/>
        <w:rPr>
          <w:rFonts w:hint="eastAsia" w:ascii="宋体" w:hAnsi="宋体"/>
          <w:b/>
          <w:bCs/>
          <w:color w:val="auto"/>
          <w:sz w:val="36"/>
          <w:szCs w:val="36"/>
          <w:lang w:val="en-US" w:eastAsia="zh-CN"/>
        </w:rPr>
      </w:pPr>
    </w:p>
    <w:p w14:paraId="6D354E6E">
      <w:pPr>
        <w:ind w:firstLine="4337" w:firstLineChars="1200"/>
        <w:jc w:val="both"/>
        <w:rPr>
          <w:rFonts w:hint="eastAsia" w:ascii="宋体" w:hAnsi="宋体"/>
          <w:b/>
          <w:bCs/>
          <w:color w:val="auto"/>
          <w:sz w:val="36"/>
          <w:szCs w:val="36"/>
          <w:lang w:val="en-US" w:eastAsia="zh-CN"/>
        </w:rPr>
      </w:pPr>
    </w:p>
    <w:p w14:paraId="1047481E">
      <w:pPr>
        <w:ind w:firstLine="4337" w:firstLineChars="1200"/>
        <w:jc w:val="both"/>
        <w:rPr>
          <w:rFonts w:hint="eastAsia" w:ascii="宋体" w:hAnsi="宋体"/>
          <w:b/>
          <w:bCs/>
          <w:color w:val="auto"/>
          <w:sz w:val="36"/>
          <w:szCs w:val="36"/>
          <w:lang w:val="en-US" w:eastAsia="zh-CN"/>
        </w:rPr>
      </w:pPr>
    </w:p>
    <w:p w14:paraId="502ADF07">
      <w:pPr>
        <w:ind w:firstLine="4337" w:firstLineChars="1200"/>
        <w:jc w:val="both"/>
        <w:rPr>
          <w:rFonts w:hint="eastAsia" w:ascii="宋体" w:hAnsi="宋体"/>
          <w:b/>
          <w:bCs/>
          <w:color w:val="auto"/>
          <w:sz w:val="36"/>
          <w:szCs w:val="36"/>
          <w:lang w:val="en-US" w:eastAsia="zh-CN"/>
        </w:rPr>
      </w:pPr>
    </w:p>
    <w:p w14:paraId="43323566">
      <w:pPr>
        <w:ind w:firstLine="4337" w:firstLineChars="1200"/>
        <w:jc w:val="both"/>
        <w:rPr>
          <w:rFonts w:hint="eastAsia" w:ascii="宋体" w:hAnsi="宋体"/>
          <w:b/>
          <w:bCs/>
          <w:color w:val="auto"/>
          <w:sz w:val="36"/>
          <w:szCs w:val="36"/>
          <w:lang w:val="en-US" w:eastAsia="zh-CN"/>
        </w:rPr>
      </w:pPr>
    </w:p>
    <w:p w14:paraId="02CA6111">
      <w:pPr>
        <w:ind w:firstLine="4337" w:firstLineChars="1200"/>
        <w:jc w:val="both"/>
        <w:rPr>
          <w:rFonts w:hint="eastAsia" w:ascii="宋体" w:hAnsi="宋体"/>
          <w:b/>
          <w:bCs/>
          <w:color w:val="auto"/>
          <w:sz w:val="36"/>
          <w:szCs w:val="36"/>
          <w:lang w:val="en-US" w:eastAsia="zh-CN"/>
        </w:rPr>
      </w:pPr>
    </w:p>
    <w:p w14:paraId="4F91F571">
      <w:pPr>
        <w:jc w:val="both"/>
        <w:rPr>
          <w:rFonts w:hint="eastAsia" w:ascii="宋体" w:hAnsi="宋体"/>
          <w:b/>
          <w:bCs/>
          <w:color w:val="auto"/>
          <w:sz w:val="36"/>
          <w:szCs w:val="36"/>
          <w:lang w:val="en-US" w:eastAsia="zh-CN"/>
        </w:rPr>
      </w:pPr>
    </w:p>
    <w:p w14:paraId="4C2D1D77">
      <w:pPr>
        <w:jc w:val="both"/>
        <w:rPr>
          <w:rFonts w:hint="eastAsia" w:ascii="宋体" w:hAnsi="宋体"/>
          <w:b/>
          <w:bCs/>
          <w:color w:val="auto"/>
          <w:sz w:val="36"/>
          <w:szCs w:val="36"/>
          <w:lang w:val="en-US" w:eastAsia="zh-CN"/>
        </w:rPr>
      </w:pPr>
    </w:p>
    <w:p w14:paraId="44E66596">
      <w:pPr>
        <w:ind w:firstLine="4337" w:firstLineChars="1200"/>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hint="eastAsia" w:cs="黑体" w:asciiTheme="minorEastAsia" w:hAnsiTheme="minorEastAsia"/>
          <w:sz w:val="24"/>
          <w:szCs w:val="24"/>
        </w:rPr>
      </w:pPr>
      <w:r>
        <w:rPr>
          <w:rFonts w:hint="eastAsia" w:cs="黑体" w:asciiTheme="minorEastAsia" w:hAnsiTheme="minorEastAsia"/>
          <w:sz w:val="24"/>
          <w:szCs w:val="24"/>
        </w:rPr>
        <w:t>买方：四川蜀创绿基新材料有限公司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无轴螺运机</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r>
              <w:rPr>
                <w:rFonts w:hint="eastAsia" w:ascii="宋体" w:hAnsi="宋体" w:eastAsia="宋体" w:cs="宋体"/>
                <w:color w:val="000000"/>
                <w:kern w:val="0"/>
                <w:sz w:val="24"/>
                <w:szCs w:val="24"/>
                <w:lang w:val="en-US" w:eastAsia="zh-CN"/>
              </w:rPr>
              <w:t>无轴螺运机</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keepNext w:val="0"/>
              <w:keepLines w:val="0"/>
              <w:widowControl/>
              <w:suppressLineNumbers w:val="0"/>
              <w:jc w:val="center"/>
              <w:textAlignment w:val="center"/>
              <w:rPr>
                <w:rFonts w:hint="default" w:cs="黑体" w:asciiTheme="minorEastAsia" w:hAnsiTheme="minorEastAsia"/>
                <w:sz w:val="24"/>
                <w:szCs w:val="24"/>
                <w:lang w:val="en-US"/>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2</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1.交货地点：买方四川蜀创绿基新材料有限公司指定地点（四川省什邡市洛水镇）。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w:t>
      </w:r>
      <w:r>
        <w:rPr>
          <w:rFonts w:hint="eastAsia" w:cs="黑体" w:asciiTheme="minorEastAsia" w:hAnsiTheme="minorEastAsia"/>
          <w:color w:val="000000"/>
          <w:sz w:val="24"/>
          <w:szCs w:val="24"/>
          <w:lang w:val="en-US" w:eastAsia="zh-CN"/>
        </w:rPr>
        <w:t>7</w:t>
      </w:r>
      <w:r>
        <w:rPr>
          <w:rFonts w:hint="eastAsia" w:cs="黑体" w:asciiTheme="minorEastAsia" w:hAnsiTheme="minorEastAsia"/>
          <w:color w:val="000000"/>
          <w:sz w:val="24"/>
          <w:szCs w:val="24"/>
        </w:rPr>
        <w:t>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买方（盖章）：四川蜀创绿基新材料有限公司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通讯地址：</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开户行：</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帐号：</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税号：</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240" w:firstLineChars="9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无轴螺运机</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30198"/>
      <w:bookmarkStart w:id="18" w:name="_Toc4384"/>
      <w:bookmarkStart w:id="19" w:name="_Toc9978"/>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690A746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37"/>
        <w:gridCol w:w="1650"/>
        <w:gridCol w:w="1250"/>
        <w:gridCol w:w="1104"/>
        <w:gridCol w:w="1584"/>
        <w:gridCol w:w="1680"/>
      </w:tblGrid>
      <w:tr w14:paraId="4F20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2C1A87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537" w:type="dxa"/>
            <w:vAlign w:val="center"/>
          </w:tcPr>
          <w:p w14:paraId="1A55CE02">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1650" w:type="dxa"/>
            <w:vAlign w:val="center"/>
          </w:tcPr>
          <w:p w14:paraId="2197863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250" w:type="dxa"/>
            <w:vAlign w:val="center"/>
          </w:tcPr>
          <w:p w14:paraId="5CA612F9">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数量（台）</w:t>
            </w:r>
          </w:p>
        </w:tc>
        <w:tc>
          <w:tcPr>
            <w:tcW w:w="1104" w:type="dxa"/>
            <w:vAlign w:val="center"/>
          </w:tcPr>
          <w:p w14:paraId="66F4A88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整机重量</w:t>
            </w:r>
          </w:p>
        </w:tc>
        <w:tc>
          <w:tcPr>
            <w:tcW w:w="1584" w:type="dxa"/>
            <w:vAlign w:val="center"/>
          </w:tcPr>
          <w:p w14:paraId="467A75CE">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电机功率及品牌</w:t>
            </w:r>
          </w:p>
        </w:tc>
        <w:tc>
          <w:tcPr>
            <w:tcW w:w="1680" w:type="dxa"/>
            <w:vAlign w:val="center"/>
          </w:tcPr>
          <w:p w14:paraId="52804AE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报价（元/台）</w:t>
            </w:r>
          </w:p>
        </w:tc>
      </w:tr>
      <w:tr w14:paraId="7F24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BD91894">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537" w:type="dxa"/>
            <w:vAlign w:val="center"/>
          </w:tcPr>
          <w:p w14:paraId="569C3192">
            <w:pPr>
              <w:spacing w:line="360" w:lineRule="exact"/>
              <w:jc w:val="center"/>
              <w:rPr>
                <w:rFonts w:hint="default" w:ascii="黑体" w:hAnsi="黑体" w:eastAsia="黑体" w:cs="宋体"/>
                <w:kern w:val="0"/>
                <w:sz w:val="28"/>
                <w:szCs w:val="28"/>
                <w:vertAlign w:val="baseline"/>
                <w:lang w:val="en-US"/>
              </w:rPr>
            </w:pPr>
            <w:r>
              <w:rPr>
                <w:rFonts w:hint="eastAsia" w:ascii="黑体" w:hAnsi="黑体" w:eastAsia="黑体" w:cs="Segoe UI"/>
                <w:color w:val="000000"/>
                <w:kern w:val="0"/>
                <w:sz w:val="28"/>
                <w:szCs w:val="28"/>
                <w:lang w:val="en-US" w:eastAsia="zh-CN"/>
              </w:rPr>
              <w:t>无轴螺运机</w:t>
            </w:r>
          </w:p>
        </w:tc>
        <w:tc>
          <w:tcPr>
            <w:tcW w:w="1650" w:type="dxa"/>
            <w:vAlign w:val="center"/>
          </w:tcPr>
          <w:p w14:paraId="572D3902">
            <w:pPr>
              <w:keepNext w:val="0"/>
              <w:keepLines w:val="0"/>
              <w:widowControl/>
              <w:suppressLineNumbers w:val="0"/>
              <w:jc w:val="center"/>
              <w:textAlignment w:val="center"/>
              <w:rPr>
                <w:rFonts w:hint="eastAsia" w:ascii="黑体" w:hAnsi="黑体" w:eastAsia="黑体" w:cs="宋体"/>
                <w:kern w:val="0"/>
                <w:sz w:val="28"/>
                <w:szCs w:val="28"/>
                <w:vertAlign w:val="baseline"/>
              </w:rPr>
            </w:pPr>
          </w:p>
        </w:tc>
        <w:tc>
          <w:tcPr>
            <w:tcW w:w="1250" w:type="dxa"/>
            <w:vAlign w:val="center"/>
          </w:tcPr>
          <w:p w14:paraId="301FBAB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1104" w:type="dxa"/>
            <w:vAlign w:val="center"/>
          </w:tcPr>
          <w:p w14:paraId="2EE5FE09">
            <w:pPr>
              <w:spacing w:line="360" w:lineRule="exact"/>
              <w:jc w:val="center"/>
              <w:rPr>
                <w:rFonts w:hint="eastAsia" w:ascii="黑体" w:hAnsi="黑体" w:eastAsia="黑体" w:cs="宋体"/>
                <w:kern w:val="0"/>
                <w:sz w:val="28"/>
                <w:szCs w:val="28"/>
                <w:vertAlign w:val="baseline"/>
                <w:lang w:val="en-US" w:eastAsia="zh-CN"/>
              </w:rPr>
            </w:pPr>
          </w:p>
        </w:tc>
        <w:tc>
          <w:tcPr>
            <w:tcW w:w="1584" w:type="dxa"/>
            <w:vAlign w:val="center"/>
          </w:tcPr>
          <w:p w14:paraId="5AA33FD2">
            <w:pPr>
              <w:spacing w:line="360" w:lineRule="exact"/>
              <w:jc w:val="center"/>
              <w:rPr>
                <w:rFonts w:hint="eastAsia" w:ascii="黑体" w:hAnsi="黑体" w:eastAsia="黑体" w:cs="宋体"/>
                <w:kern w:val="0"/>
                <w:sz w:val="28"/>
                <w:szCs w:val="28"/>
                <w:vertAlign w:val="baseline"/>
                <w:lang w:val="en-US" w:eastAsia="zh-CN"/>
              </w:rPr>
            </w:pPr>
          </w:p>
        </w:tc>
        <w:tc>
          <w:tcPr>
            <w:tcW w:w="1680" w:type="dxa"/>
            <w:vAlign w:val="center"/>
          </w:tcPr>
          <w:p w14:paraId="4E0A5ACE">
            <w:pPr>
              <w:spacing w:line="360" w:lineRule="exact"/>
              <w:jc w:val="center"/>
              <w:rPr>
                <w:rFonts w:hint="eastAsia" w:ascii="黑体" w:hAnsi="黑体" w:eastAsia="黑体" w:cs="宋体"/>
                <w:kern w:val="0"/>
                <w:sz w:val="28"/>
                <w:szCs w:val="28"/>
                <w:vertAlign w:val="baseline"/>
                <w:lang w:val="en-US" w:eastAsia="zh-CN"/>
              </w:rPr>
            </w:pPr>
          </w:p>
        </w:tc>
      </w:tr>
    </w:tbl>
    <w:p w14:paraId="610BDE5D">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D12EE3C">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1E5E6E5">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BAF122">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8E59183">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6C869E2">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0B8FD28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7B2E687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A573A0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3671B1F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2E8D299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550B9DC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CA36C7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insoku/>
        <w:overflowPunct/>
        <w:topLinePunct w:val="0"/>
        <w:bidi w:val="0"/>
        <w:spacing w:line="360" w:lineRule="auto"/>
        <w:ind w:right="0" w:rightChars="0"/>
        <w:jc w:val="both"/>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2775FEFD">
      <w:pPr>
        <w:spacing w:line="360" w:lineRule="exact"/>
        <w:rPr>
          <w:rFonts w:hint="eastAsia" w:ascii="黑体" w:hAnsi="黑体" w:eastAsia="黑体" w:cs="宋体"/>
          <w:b/>
          <w:kern w:val="0"/>
          <w:sz w:val="28"/>
          <w:szCs w:val="28"/>
        </w:rPr>
      </w:pPr>
    </w:p>
    <w:p w14:paraId="3F403FBD">
      <w:pPr>
        <w:spacing w:line="360" w:lineRule="exact"/>
        <w:rPr>
          <w:rFonts w:hint="eastAsia" w:ascii="黑体" w:hAnsi="黑体" w:eastAsia="黑体" w:cs="宋体"/>
          <w:b/>
          <w:kern w:val="0"/>
          <w:sz w:val="28"/>
          <w:szCs w:val="28"/>
        </w:rPr>
      </w:pPr>
    </w:p>
    <w:p w14:paraId="072E71B0">
      <w:pPr>
        <w:spacing w:line="360" w:lineRule="exact"/>
        <w:rPr>
          <w:rFonts w:hint="eastAsia" w:ascii="黑体" w:hAnsi="黑体" w:eastAsia="黑体" w:cs="宋体"/>
          <w:b/>
          <w:kern w:val="0"/>
          <w:sz w:val="28"/>
          <w:szCs w:val="28"/>
        </w:rPr>
      </w:pPr>
    </w:p>
    <w:p w14:paraId="37F59D70">
      <w:pPr>
        <w:spacing w:line="360" w:lineRule="exact"/>
        <w:rPr>
          <w:rFonts w:hint="eastAsia" w:ascii="黑体" w:hAnsi="黑体" w:eastAsia="黑体" w:cs="宋体"/>
          <w:b/>
          <w:kern w:val="0"/>
          <w:sz w:val="28"/>
          <w:szCs w:val="28"/>
        </w:rPr>
      </w:pPr>
    </w:p>
    <w:p w14:paraId="56931BE7">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三</w:t>
      </w: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无轴螺运机相关资料（图片、参数说明等）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85D3F"/>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407893"/>
    <w:rsid w:val="279E3E6D"/>
    <w:rsid w:val="27A73E71"/>
    <w:rsid w:val="27B8643F"/>
    <w:rsid w:val="284D6CAB"/>
    <w:rsid w:val="28564D7B"/>
    <w:rsid w:val="289607B9"/>
    <w:rsid w:val="28F11C08"/>
    <w:rsid w:val="290166AE"/>
    <w:rsid w:val="29FE6E27"/>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1433F"/>
    <w:rsid w:val="7AC516D6"/>
    <w:rsid w:val="7B0B7A4F"/>
    <w:rsid w:val="7BBE5F26"/>
    <w:rsid w:val="7CD74E20"/>
    <w:rsid w:val="7CFB7AD5"/>
    <w:rsid w:val="7D902913"/>
    <w:rsid w:val="7DA00113"/>
    <w:rsid w:val="7E6B4387"/>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3590</Words>
  <Characters>3761</Characters>
  <Lines>16</Lines>
  <Paragraphs>4</Paragraphs>
  <TotalTime>2</TotalTime>
  <ScaleCrop>false</ScaleCrop>
  <LinksUpToDate>false</LinksUpToDate>
  <CharactersWithSpaces>4826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2026-09-14T06:48:14Z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EB26F37DF1CC40C6ADB5A9E1C1DEA9FE_13</vt:lpwstr>
  </property>
</Properties>
</file>