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四川宏达股份有限公司变送器采购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left"/>
        <w:rPr>
          <w:rFonts w:hint="eastAsia" w:ascii="黑体" w:hAnsi="黑体" w:eastAsia="黑体" w:cs="宋体"/>
          <w:b/>
          <w:color w:val="auto"/>
          <w:kern w:val="0"/>
          <w:sz w:val="32"/>
          <w:szCs w:val="32"/>
          <w:lang w:val="en-US" w:eastAsia="zh-CN"/>
        </w:rPr>
      </w:pPr>
      <w:r>
        <w:rPr>
          <w:rFonts w:hint="eastAsia" w:ascii="黑体" w:hAnsi="黑体" w:eastAsia="黑体" w:cs="宋体"/>
          <w:b/>
          <w:color w:val="FF0000"/>
          <w:kern w:val="0"/>
          <w:sz w:val="32"/>
          <w:szCs w:val="32"/>
          <w:lang w:val="en-US" w:eastAsia="zh-CN"/>
        </w:rPr>
        <w:tab/>
      </w:r>
      <w:r>
        <w:rPr>
          <w:rFonts w:hint="eastAsia" w:ascii="黑体" w:hAnsi="黑体" w:eastAsia="黑体" w:cs="宋体"/>
          <w:b/>
          <w:color w:val="auto"/>
          <w:kern w:val="0"/>
          <w:sz w:val="32"/>
          <w:szCs w:val="32"/>
          <w:lang w:val="en-US" w:eastAsia="zh-CN"/>
        </w:rPr>
        <w:t>编号：SFLHG-GKBX-2026-HW136</w:t>
      </w:r>
    </w:p>
    <w:p w14:paraId="28B86A66">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什邡磷化工分公司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25</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14</w:t>
      </w:r>
      <w:r>
        <w:rPr>
          <w:rFonts w:hint="eastAsia" w:cs="黑体" w:asciiTheme="minorEastAsia" w:hAnsiTheme="minorEastAsia" w:eastAsiaTheme="minorEastAsia"/>
          <w:b/>
          <w:bCs/>
          <w:sz w:val="30"/>
          <w:szCs w:val="30"/>
          <w:highlight w:val="none"/>
          <w:lang w:val="en-US" w:eastAsia="zh-CN"/>
        </w:rPr>
        <w:t>日</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四川宏达股份有限公司变送器</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6A93AE0D">
      <w:pPr>
        <w:pStyle w:val="5"/>
        <w:tabs>
          <w:tab w:val="left" w:pos="2499"/>
          <w:tab w:val="center" w:pos="5198"/>
        </w:tabs>
        <w:ind w:firstLine="4176" w:firstLineChars="1300"/>
        <w:jc w:val="left"/>
        <w:rPr>
          <w:rFonts w:hint="eastAsia" w:ascii="黑体" w:hAnsi="黑体" w:eastAsia="黑体" w:cs="宋体"/>
          <w:b/>
          <w:color w:val="auto"/>
          <w:kern w:val="0"/>
          <w:sz w:val="32"/>
          <w:szCs w:val="32"/>
          <w:lang w:val="en-US" w:eastAsia="zh-CN"/>
        </w:rPr>
      </w:pPr>
      <w:r>
        <w:rPr>
          <w:rFonts w:hint="eastAsia" w:ascii="黑体" w:hAnsi="黑体" w:eastAsia="黑体" w:cs="宋体"/>
          <w:b/>
          <w:color w:val="auto"/>
          <w:kern w:val="0"/>
          <w:sz w:val="32"/>
          <w:szCs w:val="32"/>
          <w:lang w:val="en-US" w:eastAsia="zh-CN"/>
        </w:rPr>
        <w:t>编号：SFLHG-GKBX-2026-HW136</w:t>
      </w:r>
    </w:p>
    <w:p w14:paraId="408B2CCA">
      <w:pPr>
        <w:pStyle w:val="5"/>
        <w:jc w:val="center"/>
        <w:rPr>
          <w:rFonts w:hint="default"/>
          <w:lang w:val="en-US" w:eastAsia="zh-CN"/>
        </w:rPr>
      </w:pP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宏达股份什邡磷化工分公司因生产需要需采购变送器一批，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3C4DF528">
      <w:pPr>
        <w:numPr>
          <w:ilvl w:val="0"/>
          <w:numId w:val="1"/>
        </w:num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变送器</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w:t>
      </w:r>
      <w:r>
        <w:rPr>
          <w:rFonts w:hint="eastAsia" w:ascii="黑体" w:hAnsi="黑体" w:eastAsia="黑体" w:cs="黑体"/>
          <w:sz w:val="28"/>
          <w:szCs w:val="28"/>
          <w:lang w:val="en-US" w:eastAsia="zh-CN"/>
        </w:rPr>
        <w:t>名称及技术参数</w:t>
      </w:r>
      <w:r>
        <w:rPr>
          <w:rFonts w:hint="eastAsia" w:ascii="黑体" w:hAnsi="黑体" w:eastAsia="黑体" w:cs="黑体"/>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86"/>
        <w:gridCol w:w="3970"/>
        <w:gridCol w:w="1020"/>
        <w:gridCol w:w="2964"/>
      </w:tblGrid>
      <w:tr w14:paraId="32476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86" w:type="dxa"/>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4"/>
              </w:rPr>
            </w:pPr>
            <w:r>
              <w:rPr>
                <w:rFonts w:hint="eastAsia" w:ascii="黑体" w:hAnsi="黑体" w:eastAsia="黑体" w:cs="宋体"/>
                <w:kern w:val="0"/>
                <w:sz w:val="24"/>
              </w:rPr>
              <w:t>品名</w:t>
            </w:r>
          </w:p>
        </w:tc>
        <w:tc>
          <w:tcPr>
            <w:tcW w:w="397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4"/>
                <w:lang w:val="en-US" w:eastAsia="zh-CN"/>
              </w:rPr>
            </w:pPr>
            <w:r>
              <w:rPr>
                <w:rFonts w:hint="eastAsia" w:ascii="黑体" w:hAnsi="黑体" w:eastAsia="黑体" w:cs="宋体"/>
                <w:kern w:val="0"/>
                <w:sz w:val="24"/>
                <w:lang w:val="en-US" w:eastAsia="zh-CN"/>
              </w:rPr>
              <w:t>技术参数</w:t>
            </w:r>
          </w:p>
        </w:tc>
        <w:tc>
          <w:tcPr>
            <w:tcW w:w="102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4"/>
              </w:rPr>
            </w:pPr>
            <w:r>
              <w:rPr>
                <w:rFonts w:hint="eastAsia" w:ascii="黑体" w:hAnsi="黑体" w:eastAsia="黑体" w:cs="宋体"/>
                <w:kern w:val="0"/>
                <w:sz w:val="24"/>
              </w:rPr>
              <w:t>数量</w:t>
            </w:r>
          </w:p>
        </w:tc>
        <w:tc>
          <w:tcPr>
            <w:tcW w:w="2964" w:type="dxa"/>
            <w:tcBorders>
              <w:left w:val="single" w:color="auto" w:sz="4" w:space="0"/>
              <w:right w:val="single" w:color="auto" w:sz="4" w:space="0"/>
            </w:tcBorders>
            <w:noWrap w:val="0"/>
            <w:vAlign w:val="top"/>
          </w:tcPr>
          <w:p w14:paraId="7CC47B7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4"/>
                <w:lang w:val="en-US" w:eastAsia="zh-CN"/>
              </w:rPr>
            </w:pPr>
            <w:r>
              <w:rPr>
                <w:rFonts w:hint="eastAsia" w:ascii="黑体" w:hAnsi="黑体" w:eastAsia="黑体" w:cs="宋体"/>
                <w:kern w:val="0"/>
                <w:sz w:val="24"/>
                <w:lang w:val="en-US" w:eastAsia="zh-CN"/>
              </w:rPr>
              <w:t>备注</w:t>
            </w:r>
          </w:p>
        </w:tc>
      </w:tr>
      <w:tr w14:paraId="4AC0E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86" w:type="dxa"/>
            <w:noWrap w:val="0"/>
            <w:vAlign w:val="center"/>
          </w:tcPr>
          <w:p w14:paraId="62FA63E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差压变送器</w:t>
            </w:r>
          </w:p>
        </w:tc>
        <w:tc>
          <w:tcPr>
            <w:tcW w:w="3970" w:type="dxa"/>
            <w:tcBorders>
              <w:right w:val="single" w:color="auto" w:sz="4" w:space="0"/>
            </w:tcBorders>
            <w:noWrap w:val="0"/>
            <w:vAlign w:val="center"/>
          </w:tcPr>
          <w:p w14:paraId="724A85F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测量范围：0~30 KPa</w:t>
            </w:r>
          </w:p>
          <w:p w14:paraId="7F7CF16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default" w:ascii="黑体" w:hAnsi="黑体" w:eastAsia="黑体" w:cs="黑体"/>
                <w:sz w:val="21"/>
                <w:szCs w:val="21"/>
                <w:lang w:val="en-US" w:eastAsia="zh-CN"/>
              </w:rPr>
              <w:t>精度</w:t>
            </w:r>
            <w:r>
              <w:rPr>
                <w:rFonts w:hint="eastAsia" w:ascii="黑体" w:hAnsi="黑体" w:eastAsia="黑体" w:cs="黑体"/>
                <w:sz w:val="21"/>
                <w:szCs w:val="21"/>
                <w:lang w:val="en-US" w:eastAsia="zh-CN"/>
              </w:rPr>
              <w:t>：≥±0.055%F.S</w:t>
            </w:r>
          </w:p>
          <w:p w14:paraId="1019F3C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详情见技术规格书</w:t>
            </w:r>
          </w:p>
        </w:tc>
        <w:tc>
          <w:tcPr>
            <w:tcW w:w="1020" w:type="dxa"/>
            <w:tcBorders>
              <w:right w:val="single" w:color="auto" w:sz="4" w:space="0"/>
            </w:tcBorders>
            <w:noWrap w:val="0"/>
            <w:vAlign w:val="center"/>
          </w:tcPr>
          <w:p w14:paraId="3782035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3台</w:t>
            </w:r>
          </w:p>
        </w:tc>
        <w:tc>
          <w:tcPr>
            <w:tcW w:w="2964" w:type="dxa"/>
            <w:tcBorders>
              <w:left w:val="single" w:color="auto" w:sz="4" w:space="0"/>
              <w:right w:val="single" w:color="auto" w:sz="4" w:space="0"/>
            </w:tcBorders>
            <w:noWrap w:val="0"/>
            <w:vAlign w:val="center"/>
          </w:tcPr>
          <w:p w14:paraId="07EEF463">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制造厂：EJA/ABB/罗斯蒙特/霍尼韦尔</w:t>
            </w:r>
          </w:p>
          <w:p w14:paraId="1B93065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带Hart通讯</w:t>
            </w:r>
          </w:p>
        </w:tc>
      </w:tr>
      <w:tr w14:paraId="3C220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86" w:type="dxa"/>
            <w:noWrap w:val="0"/>
            <w:vAlign w:val="center"/>
          </w:tcPr>
          <w:p w14:paraId="338D042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差压变送器</w:t>
            </w:r>
          </w:p>
        </w:tc>
        <w:tc>
          <w:tcPr>
            <w:tcW w:w="3970" w:type="dxa"/>
            <w:tcBorders>
              <w:right w:val="single" w:color="auto" w:sz="4" w:space="0"/>
            </w:tcBorders>
            <w:noWrap w:val="0"/>
            <w:vAlign w:val="center"/>
          </w:tcPr>
          <w:p w14:paraId="28CF8B1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测量范围：0~9.7 KPa</w:t>
            </w:r>
          </w:p>
          <w:p w14:paraId="7C863BC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default" w:ascii="黑体" w:hAnsi="黑体" w:eastAsia="黑体" w:cs="黑体"/>
                <w:sz w:val="21"/>
                <w:szCs w:val="21"/>
                <w:lang w:val="en-US" w:eastAsia="zh-CN"/>
              </w:rPr>
              <w:t>精度</w:t>
            </w:r>
            <w:r>
              <w:rPr>
                <w:rFonts w:hint="eastAsia" w:ascii="黑体" w:hAnsi="黑体" w:eastAsia="黑体" w:cs="黑体"/>
                <w:sz w:val="21"/>
                <w:szCs w:val="21"/>
                <w:lang w:val="en-US" w:eastAsia="zh-CN"/>
              </w:rPr>
              <w:t>：≥±0.055%F.S</w:t>
            </w:r>
          </w:p>
          <w:p w14:paraId="330D1E5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详情见技术规格书</w:t>
            </w:r>
          </w:p>
        </w:tc>
        <w:tc>
          <w:tcPr>
            <w:tcW w:w="1020" w:type="dxa"/>
            <w:tcBorders>
              <w:right w:val="single" w:color="auto" w:sz="4" w:space="0"/>
            </w:tcBorders>
            <w:noWrap w:val="0"/>
            <w:vAlign w:val="center"/>
          </w:tcPr>
          <w:p w14:paraId="7481F72B">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2台</w:t>
            </w:r>
          </w:p>
        </w:tc>
        <w:tc>
          <w:tcPr>
            <w:tcW w:w="2964" w:type="dxa"/>
            <w:tcBorders>
              <w:left w:val="single" w:color="auto" w:sz="4" w:space="0"/>
              <w:right w:val="single" w:color="auto" w:sz="4" w:space="0"/>
            </w:tcBorders>
            <w:noWrap w:val="0"/>
            <w:vAlign w:val="center"/>
          </w:tcPr>
          <w:p w14:paraId="4ABAFB90">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1"/>
                <w:szCs w:val="21"/>
                <w:lang w:val="en-US" w:eastAsia="zh-CN"/>
              </w:rPr>
              <w:t>制造厂：EJA/ABB/罗斯蒙特/霍尼韦尔</w:t>
            </w:r>
          </w:p>
        </w:tc>
      </w:tr>
      <w:tr w14:paraId="31907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86" w:type="dxa"/>
            <w:noWrap w:val="0"/>
            <w:vAlign w:val="center"/>
          </w:tcPr>
          <w:p w14:paraId="44074EB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1"/>
                <w:szCs w:val="21"/>
                <w:lang w:val="en-US" w:eastAsia="zh-CN"/>
              </w:rPr>
              <w:t>压力变送器</w:t>
            </w:r>
          </w:p>
        </w:tc>
        <w:tc>
          <w:tcPr>
            <w:tcW w:w="3970" w:type="dxa"/>
            <w:tcBorders>
              <w:right w:val="single" w:color="auto" w:sz="4" w:space="0"/>
            </w:tcBorders>
            <w:noWrap w:val="0"/>
            <w:vAlign w:val="center"/>
          </w:tcPr>
          <w:p w14:paraId="18CEA4C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测量范围：（0~1.6）MPa</w:t>
            </w:r>
          </w:p>
          <w:p w14:paraId="25A7C8D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default" w:ascii="黑体" w:hAnsi="黑体" w:eastAsia="黑体" w:cs="黑体"/>
                <w:sz w:val="21"/>
                <w:szCs w:val="21"/>
                <w:lang w:val="en-US" w:eastAsia="zh-CN"/>
              </w:rPr>
              <w:t>精度</w:t>
            </w:r>
            <w:r>
              <w:rPr>
                <w:rFonts w:hint="eastAsia" w:ascii="黑体" w:hAnsi="黑体" w:eastAsia="黑体" w:cs="黑体"/>
                <w:sz w:val="21"/>
                <w:szCs w:val="21"/>
                <w:lang w:val="en-US" w:eastAsia="zh-CN"/>
              </w:rPr>
              <w:t>：≥±0.055%F.S</w:t>
            </w:r>
          </w:p>
          <w:p w14:paraId="188D3E6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1"/>
                <w:szCs w:val="21"/>
                <w:lang w:val="en-US" w:eastAsia="zh-CN"/>
              </w:rPr>
              <w:t>详情见技术规格书</w:t>
            </w:r>
          </w:p>
        </w:tc>
        <w:tc>
          <w:tcPr>
            <w:tcW w:w="1020" w:type="dxa"/>
            <w:tcBorders>
              <w:right w:val="single" w:color="auto" w:sz="4" w:space="0"/>
            </w:tcBorders>
            <w:noWrap w:val="0"/>
            <w:vAlign w:val="center"/>
          </w:tcPr>
          <w:p w14:paraId="18EB6C63">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2台</w:t>
            </w:r>
          </w:p>
        </w:tc>
        <w:tc>
          <w:tcPr>
            <w:tcW w:w="2964" w:type="dxa"/>
            <w:tcBorders>
              <w:left w:val="single" w:color="auto" w:sz="4" w:space="0"/>
              <w:right w:val="single" w:color="auto" w:sz="4" w:space="0"/>
            </w:tcBorders>
            <w:noWrap w:val="0"/>
            <w:vAlign w:val="center"/>
          </w:tcPr>
          <w:p w14:paraId="4386746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制造厂：EJA/ABB/罗斯蒙特/霍尼韦尔</w:t>
            </w:r>
          </w:p>
          <w:p w14:paraId="74ADBBE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1"/>
                <w:szCs w:val="21"/>
                <w:lang w:val="en-US" w:eastAsia="zh-CN"/>
              </w:rPr>
              <w:t>带Hart通讯</w:t>
            </w:r>
          </w:p>
        </w:tc>
      </w:tr>
      <w:tr w14:paraId="6696F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86" w:type="dxa"/>
            <w:noWrap w:val="0"/>
            <w:vAlign w:val="center"/>
          </w:tcPr>
          <w:p w14:paraId="01FC163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1"/>
                <w:szCs w:val="21"/>
                <w:lang w:val="en-US" w:eastAsia="zh-CN"/>
              </w:rPr>
              <w:t>压力变送器</w:t>
            </w:r>
          </w:p>
        </w:tc>
        <w:tc>
          <w:tcPr>
            <w:tcW w:w="3970" w:type="dxa"/>
            <w:tcBorders>
              <w:right w:val="single" w:color="auto" w:sz="4" w:space="0"/>
            </w:tcBorders>
            <w:noWrap w:val="0"/>
            <w:vAlign w:val="center"/>
          </w:tcPr>
          <w:p w14:paraId="2C54356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测量范围：（0~1.0）MPa</w:t>
            </w:r>
            <w:r>
              <w:rPr>
                <w:rFonts w:hint="default" w:ascii="黑体" w:hAnsi="黑体" w:eastAsia="黑体" w:cs="黑体"/>
                <w:sz w:val="21"/>
                <w:szCs w:val="21"/>
                <w:lang w:val="en-US" w:eastAsia="zh-CN"/>
              </w:rPr>
              <w:t>精度</w:t>
            </w:r>
            <w:r>
              <w:rPr>
                <w:rFonts w:hint="eastAsia" w:ascii="黑体" w:hAnsi="黑体" w:eastAsia="黑体" w:cs="黑体"/>
                <w:sz w:val="21"/>
                <w:szCs w:val="21"/>
                <w:lang w:val="en-US" w:eastAsia="zh-CN"/>
              </w:rPr>
              <w:t>：≥±0.055%F.S</w:t>
            </w:r>
          </w:p>
          <w:p w14:paraId="0EED16C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1"/>
                <w:szCs w:val="21"/>
                <w:lang w:val="en-US" w:eastAsia="zh-CN"/>
              </w:rPr>
              <w:t>详情见技术规格书</w:t>
            </w:r>
          </w:p>
        </w:tc>
        <w:tc>
          <w:tcPr>
            <w:tcW w:w="1020" w:type="dxa"/>
            <w:tcBorders>
              <w:right w:val="single" w:color="auto" w:sz="4" w:space="0"/>
            </w:tcBorders>
            <w:noWrap w:val="0"/>
            <w:vAlign w:val="center"/>
          </w:tcPr>
          <w:p w14:paraId="16DD8DB2">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1台</w:t>
            </w:r>
          </w:p>
        </w:tc>
        <w:tc>
          <w:tcPr>
            <w:tcW w:w="2964" w:type="dxa"/>
            <w:tcBorders>
              <w:left w:val="single" w:color="auto" w:sz="4" w:space="0"/>
              <w:right w:val="single" w:color="auto" w:sz="4" w:space="0"/>
            </w:tcBorders>
            <w:shd w:val="clear" w:color="auto" w:fill="auto"/>
            <w:noWrap w:val="0"/>
            <w:vAlign w:val="center"/>
          </w:tcPr>
          <w:p w14:paraId="57886AD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制造厂：EJA/ABB/罗斯蒙特/霍尼韦尔</w:t>
            </w:r>
          </w:p>
          <w:p w14:paraId="36786A08">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2"/>
                <w:sz w:val="24"/>
                <w:szCs w:val="24"/>
                <w:lang w:val="en-US" w:eastAsia="zh-CN" w:bidi="ar-SA"/>
              </w:rPr>
            </w:pPr>
            <w:r>
              <w:rPr>
                <w:rFonts w:hint="eastAsia" w:ascii="黑体" w:hAnsi="黑体" w:eastAsia="黑体" w:cs="黑体"/>
                <w:sz w:val="21"/>
                <w:szCs w:val="21"/>
                <w:lang w:val="en-US" w:eastAsia="zh-CN"/>
              </w:rPr>
              <w:t>带Hart通讯</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8C3EEE8">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sz w:val="28"/>
          <w:szCs w:val="28"/>
          <w:lang w:eastAsia="zh-CN"/>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40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rPr>
        <w:t>，由</w:t>
      </w:r>
      <w:r>
        <w:rPr>
          <w:rFonts w:hint="eastAsia" w:ascii="黑体" w:hAnsi="黑体" w:eastAsia="黑体"/>
          <w:sz w:val="28"/>
          <w:szCs w:val="28"/>
          <w:lang w:val="en-US" w:eastAsia="zh-CN"/>
        </w:rPr>
        <w:t>中选人</w:t>
      </w:r>
      <w:r>
        <w:rPr>
          <w:rFonts w:hint="eastAsia" w:ascii="黑体" w:hAnsi="黑体" w:eastAsia="黑体"/>
          <w:sz w:val="28"/>
          <w:szCs w:val="28"/>
        </w:rPr>
        <w:t>将标的物运</w:t>
      </w:r>
      <w:r>
        <w:rPr>
          <w:rFonts w:hint="eastAsia" w:ascii="黑体" w:hAnsi="黑体" w:eastAsia="黑体"/>
          <w:sz w:val="28"/>
          <w:szCs w:val="28"/>
          <w:lang w:eastAsia="zh-CN"/>
        </w:rPr>
        <w:t>（</w:t>
      </w:r>
      <w:r>
        <w:rPr>
          <w:rFonts w:hint="eastAsia" w:ascii="黑体" w:hAnsi="黑体" w:eastAsia="黑体"/>
          <w:sz w:val="28"/>
          <w:szCs w:val="28"/>
          <w:lang w:val="en-US" w:eastAsia="zh-CN"/>
        </w:rPr>
        <w:t>发</w:t>
      </w:r>
      <w:r>
        <w:rPr>
          <w:rFonts w:hint="eastAsia" w:ascii="黑体" w:hAnsi="黑体" w:eastAsia="黑体"/>
          <w:sz w:val="28"/>
          <w:szCs w:val="28"/>
          <w:lang w:eastAsia="zh-CN"/>
        </w:rPr>
        <w:t>）</w:t>
      </w:r>
    </w:p>
    <w:p w14:paraId="1248BFDC">
      <w:pPr>
        <w:spacing w:line="420" w:lineRule="exact"/>
        <w:rPr>
          <w:rFonts w:hint="eastAsia" w:ascii="黑体" w:hAnsi="黑体" w:eastAsia="黑体"/>
          <w:sz w:val="28"/>
          <w:szCs w:val="28"/>
        </w:rPr>
      </w:pPr>
      <w:r>
        <w:rPr>
          <w:rFonts w:hint="eastAsia" w:ascii="黑体" w:hAnsi="黑体" w:eastAsia="黑体"/>
          <w:sz w:val="28"/>
          <w:szCs w:val="28"/>
          <w:lang w:val="en-US" w:eastAsia="zh-CN"/>
        </w:rPr>
        <w:t>至比选人</w:t>
      </w:r>
      <w:r>
        <w:rPr>
          <w:rFonts w:hint="eastAsia" w:ascii="黑体" w:hAnsi="黑体" w:eastAsia="黑体"/>
          <w:sz w:val="28"/>
          <w:szCs w:val="28"/>
        </w:rPr>
        <w:t>安装现场。</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26536D6A">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0%货款；余合同总额的</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。以银行现汇或银行承兑支付。</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2"/>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2"/>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jc w:val="left"/>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2025年9月14日16时 00 分起通过四川宏达股份有限公司集采中心招投标平台(以下简称“ 宏达股份集采平台”）（http://jc.sichuanhongda.com/）进行注册并登录后参与投标并下载比选文件。 </w:t>
      </w:r>
    </w:p>
    <w:p w14:paraId="504767B0">
      <w:pPr>
        <w:numPr>
          <w:ilvl w:val="0"/>
          <w:numId w:val="2"/>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递交截止时间：2025年 9月 21日10时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、品牌或生产商、</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01B1AB57">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仿宋_GB2312"/>
          <w:sz w:val="28"/>
          <w:szCs w:val="28"/>
          <w:lang w:val="en-US" w:eastAsia="zh-CN"/>
        </w:rPr>
        <w:t>②提供近三年（2022年5月-2025年5月）相关制造或销售业绩（附中标通知书或合同扫描件，合同业绩数量不低于5项，中标通知书或合同包括已履约完成和正在履约均可，同一家</w:t>
      </w:r>
      <w:r>
        <w:rPr>
          <w:rFonts w:hint="eastAsia" w:ascii="黑体" w:hAnsi="黑体" w:eastAsia="黑体" w:cs="Segoe UI"/>
          <w:kern w:val="0"/>
          <w:sz w:val="28"/>
          <w:szCs w:val="28"/>
        </w:rPr>
        <w:t>单位多次采购，合同数量可累计）。</w:t>
      </w:r>
    </w:p>
    <w:p w14:paraId="4D244DAF">
      <w:pPr>
        <w:numPr>
          <w:ilvl w:val="0"/>
          <w:numId w:val="0"/>
        </w:numPr>
        <w:spacing w:line="420" w:lineRule="exact"/>
        <w:ind w:leftChars="0"/>
        <w:rPr>
          <w:rFonts w:hint="eastAsia" w:ascii="黑体" w:hAnsi="黑体" w:eastAsia="黑体" w:cs="Segoe UI"/>
          <w:kern w:val="0"/>
          <w:sz w:val="28"/>
          <w:szCs w:val="28"/>
        </w:rPr>
      </w:pPr>
      <w:r>
        <w:rPr>
          <w:rFonts w:hint="default" w:ascii="Calibri" w:hAnsi="Calibri" w:eastAsia="黑体" w:cs="Calibri"/>
          <w:sz w:val="28"/>
          <w:szCs w:val="28"/>
          <w:lang w:val="en-US" w:eastAsia="zh-CN"/>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微软雅黑" w:hAnsi="微软雅黑" w:eastAsia="微软雅黑" w:cs="微软雅黑"/>
          <w:sz w:val="28"/>
          <w:szCs w:val="28"/>
          <w:lang w:val="en-US" w:eastAsia="zh-CN"/>
        </w:rPr>
        <w:t>④</w:t>
      </w:r>
      <w:r>
        <w:rPr>
          <w:rFonts w:hint="eastAsia" w:ascii="黑体" w:hAnsi="黑体" w:eastAsia="黑体" w:cs="仿宋_GB2312"/>
          <w:sz w:val="28"/>
          <w:szCs w:val="28"/>
          <w:lang w:val="en-US" w:eastAsia="zh-CN"/>
        </w:rPr>
        <w:t>技术规格书。比选申请人根据</w:t>
      </w:r>
      <w:r>
        <w:rPr>
          <w:rFonts w:hint="eastAsia" w:ascii="黑体" w:hAnsi="黑体" w:eastAsia="黑体" w:cs="宋体"/>
          <w:kern w:val="0"/>
          <w:sz w:val="28"/>
          <w:szCs w:val="28"/>
          <w:lang w:val="en-US" w:eastAsia="zh-CN"/>
        </w:rPr>
        <w:t>变送器</w:t>
      </w:r>
      <w:r>
        <w:rPr>
          <w:rFonts w:hint="eastAsia" w:ascii="黑体" w:hAnsi="黑体" w:eastAsia="黑体" w:cs="仿宋_GB2312"/>
          <w:sz w:val="28"/>
          <w:szCs w:val="28"/>
          <w:lang w:val="en-US" w:eastAsia="zh-CN"/>
        </w:rPr>
        <w:t>数据表要求，提供技术规格书，注明</w:t>
      </w:r>
      <w:r>
        <w:rPr>
          <w:rFonts w:hint="eastAsia" w:ascii="黑体" w:hAnsi="黑体" w:eastAsia="黑体" w:cs="宋体"/>
          <w:kern w:val="0"/>
          <w:sz w:val="28"/>
          <w:szCs w:val="28"/>
          <w:lang w:val="en-US" w:eastAsia="zh-CN"/>
        </w:rPr>
        <w:t>不锈钢槽式桥架</w:t>
      </w:r>
      <w:r>
        <w:rPr>
          <w:rFonts w:hint="eastAsia" w:ascii="黑体" w:hAnsi="黑体" w:eastAsia="黑体" w:cs="仿宋_GB2312"/>
          <w:sz w:val="28"/>
          <w:szCs w:val="28"/>
          <w:lang w:val="en-US" w:eastAsia="zh-CN"/>
        </w:rPr>
        <w:t>规格型号、材质、执行机构规格型号及相关参数。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微软雅黑" w:hAnsi="微软雅黑" w:eastAsia="微软雅黑" w:cs="微软雅黑"/>
          <w:sz w:val="28"/>
          <w:szCs w:val="28"/>
          <w:lang w:val="en-US" w:eastAsia="zh-CN"/>
        </w:rPr>
        <w:t>⑤</w:t>
      </w:r>
      <w:r>
        <w:rPr>
          <w:rFonts w:hint="eastAsia" w:ascii="黑体" w:hAnsi="黑体" w:eastAsia="黑体" w:cs="仿宋_GB2312"/>
          <w:sz w:val="28"/>
          <w:szCs w:val="28"/>
          <w:lang w:val="en-US" w:eastAsia="zh-CN"/>
        </w:rPr>
        <w:t>承诺函。</w:t>
      </w:r>
    </w:p>
    <w:p w14:paraId="08407A69">
      <w:pPr>
        <w:numPr>
          <w:ilvl w:val="0"/>
          <w:numId w:val="0"/>
        </w:numPr>
        <w:spacing w:line="420" w:lineRule="exact"/>
        <w:ind w:leftChars="0"/>
        <w:rPr>
          <w:rFonts w:hint="eastAsia" w:ascii="黑体" w:hAnsi="黑体" w:eastAsia="黑体" w:cs="Segoe UI"/>
          <w:kern w:val="0"/>
          <w:sz w:val="28"/>
          <w:szCs w:val="28"/>
          <w:lang w:val="en-US" w:eastAsia="zh-CN"/>
        </w:rPr>
      </w:pPr>
    </w:p>
    <w:p w14:paraId="54DDC833">
      <w:pPr>
        <w:spacing w:line="420" w:lineRule="exact"/>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本项目采用合理最低价法进行比选，一次性报价。</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799BB05B">
      <w:pPr>
        <w:spacing w:line="420" w:lineRule="exact"/>
        <w:rPr>
          <w:rFonts w:ascii="黑体" w:hAnsi="黑体" w:eastAsia="黑体" w:cs="宋体"/>
          <w:kern w:val="0"/>
          <w:sz w:val="28"/>
          <w:szCs w:val="28"/>
        </w:rPr>
      </w:pPr>
      <w:r>
        <w:rPr>
          <w:rFonts w:hint="eastAsia" w:ascii="黑体" w:hAnsi="黑体" w:eastAsia="黑体" w:cs="黑体"/>
          <w:kern w:val="0"/>
          <w:sz w:val="28"/>
          <w:szCs w:val="28"/>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3C6833CA">
      <w:pPr>
        <w:spacing w:line="420" w:lineRule="exact"/>
        <w:rPr>
          <w:rFonts w:ascii="黑体" w:hAnsi="黑体" w:eastAsia="黑体" w:cs="Times New Roman"/>
          <w:sz w:val="28"/>
          <w:szCs w:val="28"/>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比选人相关职能部门计量检定</w:t>
      </w:r>
      <w:r>
        <w:rPr>
          <w:rFonts w:hint="eastAsia" w:ascii="黑体" w:hAnsi="黑体" w:eastAsia="黑体" w:cs="宋体"/>
          <w:kern w:val="0"/>
          <w:sz w:val="28"/>
          <w:szCs w:val="28"/>
        </w:rPr>
        <w:t>。</w:t>
      </w:r>
    </w:p>
    <w:p w14:paraId="36A292A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r>
        <w:rPr>
          <w:rFonts w:hint="eastAsia" w:ascii="黑体" w:hAnsi="黑体" w:eastAsia="黑体" w:cs="宋体"/>
          <w:kern w:val="0"/>
          <w:sz w:val="28"/>
          <w:szCs w:val="28"/>
          <w:lang w:val="en-US" w:eastAsia="zh-CN"/>
        </w:rPr>
        <w:t>技术咨询电话：王江13700903942</w:t>
      </w:r>
    </w:p>
    <w:p w14:paraId="102465BA">
      <w:pPr>
        <w:spacing w:line="420" w:lineRule="exact"/>
        <w:rPr>
          <w:rFonts w:hint="default" w:ascii="黑体" w:hAnsi="黑体" w:eastAsia="黑体" w:cs="宋体"/>
          <w:kern w:val="0"/>
          <w:sz w:val="28"/>
          <w:szCs w:val="28"/>
          <w:lang w:val="en-US" w:eastAsia="zh-CN"/>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6349F8D">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什邡磷化工分公司</w:t>
      </w:r>
    </w:p>
    <w:p w14:paraId="2A7A58D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2025年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w:t>
      </w:r>
      <w:r>
        <w:rPr>
          <w:rFonts w:hint="eastAsia" w:ascii="黑体" w:hAnsi="黑体" w:eastAsia="黑体" w:cs="宋体"/>
          <w:kern w:val="0"/>
          <w:sz w:val="28"/>
          <w:szCs w:val="28"/>
        </w:rPr>
        <w:t>日</w:t>
      </w:r>
    </w:p>
    <w:p w14:paraId="104BB685">
      <w:pPr>
        <w:spacing w:line="420" w:lineRule="exact"/>
        <w:rPr>
          <w:rFonts w:hint="eastAsia" w:ascii="黑体" w:hAnsi="黑体" w:eastAsia="黑体" w:cs="宋体"/>
          <w:b/>
          <w:kern w:val="0"/>
          <w:sz w:val="28"/>
          <w:szCs w:val="28"/>
        </w:rPr>
      </w:pPr>
    </w:p>
    <w:p w14:paraId="30CD93A4">
      <w:pPr>
        <w:spacing w:line="420" w:lineRule="exact"/>
        <w:rPr>
          <w:rFonts w:hint="eastAsia" w:ascii="黑体" w:hAnsi="黑体" w:eastAsia="黑体" w:cs="宋体"/>
          <w:b/>
          <w:kern w:val="0"/>
          <w:sz w:val="28"/>
          <w:szCs w:val="28"/>
        </w:rPr>
      </w:pPr>
    </w:p>
    <w:p w14:paraId="75976ECC">
      <w:pPr>
        <w:spacing w:line="420" w:lineRule="exact"/>
        <w:rPr>
          <w:rFonts w:hint="eastAsia" w:ascii="黑体" w:hAnsi="黑体" w:eastAsia="黑体" w:cs="宋体"/>
          <w:b/>
          <w:kern w:val="0"/>
          <w:sz w:val="28"/>
          <w:szCs w:val="28"/>
        </w:rPr>
      </w:pPr>
    </w:p>
    <w:p w14:paraId="081B650A">
      <w:pPr>
        <w:spacing w:line="420" w:lineRule="exact"/>
        <w:rPr>
          <w:rFonts w:hint="eastAsia" w:ascii="黑体" w:hAnsi="黑体" w:eastAsia="黑体" w:cs="宋体"/>
          <w:b/>
          <w:kern w:val="0"/>
          <w:sz w:val="28"/>
          <w:szCs w:val="28"/>
        </w:rPr>
      </w:pPr>
    </w:p>
    <w:p w14:paraId="4427BAC7">
      <w:pPr>
        <w:spacing w:line="420" w:lineRule="exact"/>
        <w:rPr>
          <w:rFonts w:hint="eastAsia" w:ascii="黑体" w:hAnsi="黑体" w:eastAsia="黑体" w:cs="宋体"/>
          <w:b/>
          <w:kern w:val="0"/>
          <w:sz w:val="28"/>
          <w:szCs w:val="28"/>
        </w:rPr>
      </w:pPr>
    </w:p>
    <w:p w14:paraId="5F7A4909">
      <w:pPr>
        <w:spacing w:line="420" w:lineRule="exact"/>
        <w:rPr>
          <w:rFonts w:hint="eastAsia" w:ascii="黑体" w:hAnsi="黑体" w:eastAsia="黑体" w:cs="宋体"/>
          <w:b/>
          <w:kern w:val="0"/>
          <w:sz w:val="28"/>
          <w:szCs w:val="28"/>
        </w:rPr>
      </w:pPr>
    </w:p>
    <w:p w14:paraId="12331C79">
      <w:pPr>
        <w:pStyle w:val="50"/>
        <w:rPr>
          <w:rFonts w:hint="eastAsia"/>
        </w:rPr>
      </w:pPr>
    </w:p>
    <w:p w14:paraId="444EDB62">
      <w:pPr>
        <w:spacing w:line="360" w:lineRule="exact"/>
        <w:rPr>
          <w:rFonts w:hint="eastAsia" w:ascii="黑体" w:hAnsi="黑体" w:eastAsia="黑体" w:cs="宋体"/>
          <w:b/>
          <w:kern w:val="0"/>
          <w:sz w:val="28"/>
          <w:szCs w:val="28"/>
        </w:rPr>
      </w:pPr>
    </w:p>
    <w:p w14:paraId="438F7E06">
      <w:pPr>
        <w:widowControl/>
        <w:jc w:val="left"/>
        <w:rPr>
          <w:rFonts w:hint="eastAsia" w:ascii="宋体" w:hAnsi="宋体" w:cs="仿宋" w:eastAsiaTheme="minorEastAsia"/>
          <w:color w:val="auto"/>
          <w:sz w:val="24"/>
          <w:szCs w:val="24"/>
          <w:lang w:val="en-US" w:eastAsia="zh-CN"/>
        </w:rPr>
      </w:pPr>
      <w:bookmarkStart w:id="2" w:name="_Toc275019290"/>
      <w:bookmarkStart w:id="3" w:name="_Toc269113527"/>
      <w:bookmarkStart w:id="4" w:name="_Toc274596702"/>
      <w:bookmarkStart w:id="5" w:name="_Toc16684"/>
      <w:bookmarkStart w:id="6" w:name="_Toc274236999"/>
      <w:bookmarkStart w:id="7" w:name="_Toc303149804"/>
      <w:bookmarkStart w:id="8" w:name="_Toc238552273"/>
      <w:bookmarkStart w:id="9" w:name="_Toc275019684"/>
      <w:bookmarkStart w:id="10" w:name="_Toc275019836"/>
      <w:bookmarkStart w:id="11" w:name="_Toc238797630"/>
      <w:bookmarkStart w:id="12" w:name="_Toc318986166"/>
      <w:bookmarkStart w:id="13" w:name="_Toc268793030"/>
      <w:bookmarkStart w:id="14" w:name="_Toc275014947"/>
    </w:p>
    <w:p w14:paraId="6E1C554D">
      <w:pPr>
        <w:widowControl/>
        <w:jc w:val="left"/>
        <w:rPr>
          <w:rFonts w:hint="eastAsia" w:ascii="宋体" w:hAnsi="宋体" w:cs="仿宋" w:eastAsiaTheme="minorEastAsia"/>
          <w:color w:val="auto"/>
          <w:sz w:val="24"/>
          <w:szCs w:val="24"/>
          <w:lang w:val="en-US" w:eastAsia="zh-CN"/>
        </w:rPr>
      </w:pPr>
    </w:p>
    <w:p w14:paraId="69E63954">
      <w:pPr>
        <w:widowControl/>
        <w:jc w:val="left"/>
        <w:rPr>
          <w:rFonts w:hint="eastAsia" w:ascii="宋体" w:hAnsi="宋体" w:cs="仿宋" w:eastAsiaTheme="minorEastAsia"/>
          <w:color w:val="auto"/>
          <w:sz w:val="24"/>
          <w:szCs w:val="24"/>
          <w:lang w:val="en-US" w:eastAsia="zh-CN"/>
        </w:rPr>
      </w:pPr>
    </w:p>
    <w:p w14:paraId="5348DFD0">
      <w:pPr>
        <w:widowControl/>
        <w:jc w:val="left"/>
        <w:rPr>
          <w:rFonts w:hint="eastAsia" w:ascii="宋体" w:hAnsi="宋体" w:cs="仿宋" w:eastAsiaTheme="minorEastAsia"/>
          <w:color w:val="auto"/>
          <w:sz w:val="24"/>
          <w:szCs w:val="24"/>
          <w:lang w:val="en-US" w:eastAsia="zh-CN"/>
        </w:rPr>
      </w:pPr>
    </w:p>
    <w:p w14:paraId="15F0303D">
      <w:pPr>
        <w:widowControl/>
        <w:jc w:val="left"/>
        <w:rPr>
          <w:rFonts w:hint="eastAsia" w:ascii="宋体" w:hAnsi="宋体" w:cs="仿宋" w:eastAsiaTheme="minorEastAsia"/>
          <w:color w:val="auto"/>
          <w:sz w:val="24"/>
          <w:szCs w:val="24"/>
          <w:lang w:val="en-US" w:eastAsia="zh-CN"/>
        </w:rPr>
      </w:pPr>
    </w:p>
    <w:p w14:paraId="6A0AE2ED">
      <w:pPr>
        <w:widowControl/>
        <w:jc w:val="left"/>
        <w:rPr>
          <w:rFonts w:hint="eastAsia" w:ascii="宋体" w:hAnsi="宋体" w:cs="仿宋" w:eastAsiaTheme="minorEastAsia"/>
          <w:color w:val="auto"/>
          <w:sz w:val="24"/>
          <w:szCs w:val="24"/>
          <w:lang w:val="en-US" w:eastAsia="zh-CN"/>
        </w:rPr>
      </w:pPr>
    </w:p>
    <w:p w14:paraId="1419C8D4">
      <w:pPr>
        <w:widowControl/>
        <w:jc w:val="left"/>
        <w:rPr>
          <w:rFonts w:hint="eastAsia" w:ascii="宋体" w:hAnsi="宋体" w:cs="仿宋" w:eastAsiaTheme="minorEastAsia"/>
          <w:color w:val="auto"/>
          <w:sz w:val="24"/>
          <w:szCs w:val="24"/>
          <w:lang w:val="en-US" w:eastAsia="zh-CN"/>
        </w:rPr>
      </w:pPr>
    </w:p>
    <w:p w14:paraId="0BFE8E4A">
      <w:pPr>
        <w:widowControl/>
        <w:jc w:val="left"/>
        <w:rPr>
          <w:rFonts w:hint="eastAsia" w:ascii="宋体" w:hAnsi="宋体" w:cs="仿宋" w:eastAsiaTheme="minorEastAsia"/>
          <w:color w:val="auto"/>
          <w:sz w:val="24"/>
          <w:szCs w:val="24"/>
          <w:lang w:val="en-US" w:eastAsia="zh-CN"/>
        </w:rPr>
      </w:pPr>
    </w:p>
    <w:p w14:paraId="1B6DDC21">
      <w:pPr>
        <w:widowControl/>
        <w:jc w:val="left"/>
        <w:rPr>
          <w:rFonts w:hint="eastAsia" w:ascii="宋体" w:hAnsi="宋体" w:cs="仿宋" w:eastAsiaTheme="minorEastAsia"/>
          <w:color w:val="auto"/>
          <w:sz w:val="24"/>
          <w:szCs w:val="24"/>
          <w:lang w:val="en-US" w:eastAsia="zh-CN"/>
        </w:rPr>
      </w:pPr>
    </w:p>
    <w:p w14:paraId="2E42A223">
      <w:pPr>
        <w:widowControl/>
        <w:jc w:val="left"/>
        <w:rPr>
          <w:rFonts w:hint="eastAsia" w:ascii="宋体" w:hAnsi="宋体" w:cs="仿宋" w:eastAsiaTheme="minorEastAsia"/>
          <w:color w:val="auto"/>
          <w:sz w:val="24"/>
          <w:szCs w:val="24"/>
          <w:lang w:val="en-US" w:eastAsia="zh-CN"/>
        </w:rPr>
      </w:pPr>
    </w:p>
    <w:p w14:paraId="3D54F31C">
      <w:pPr>
        <w:widowControl/>
        <w:jc w:val="left"/>
        <w:rPr>
          <w:rFonts w:hint="eastAsia" w:ascii="宋体" w:hAnsi="宋体" w:cs="仿宋" w:eastAsiaTheme="minorEastAsia"/>
          <w:color w:val="auto"/>
          <w:sz w:val="24"/>
          <w:szCs w:val="24"/>
          <w:lang w:val="en-US" w:eastAsia="zh-CN"/>
        </w:rPr>
      </w:pPr>
    </w:p>
    <w:p w14:paraId="3F8C39CF">
      <w:pPr>
        <w:widowControl/>
        <w:jc w:val="left"/>
        <w:rPr>
          <w:rFonts w:hint="eastAsia" w:ascii="宋体" w:hAnsi="宋体" w:cs="仿宋" w:eastAsiaTheme="minorEastAsia"/>
          <w:color w:val="auto"/>
          <w:sz w:val="24"/>
          <w:szCs w:val="24"/>
          <w:lang w:val="en-US" w:eastAsia="zh-CN"/>
        </w:rPr>
      </w:pPr>
    </w:p>
    <w:p w14:paraId="464BA814">
      <w:pPr>
        <w:widowControl/>
        <w:jc w:val="left"/>
        <w:rPr>
          <w:rFonts w:hint="eastAsia" w:ascii="宋体" w:hAnsi="宋体" w:cs="仿宋" w:eastAsiaTheme="minorEastAsia"/>
          <w:color w:val="auto"/>
          <w:sz w:val="24"/>
          <w:szCs w:val="24"/>
          <w:lang w:val="en-US" w:eastAsia="zh-CN"/>
        </w:rPr>
      </w:pPr>
    </w:p>
    <w:bookmarkEnd w:id="2"/>
    <w:bookmarkEnd w:id="3"/>
    <w:bookmarkEnd w:id="4"/>
    <w:bookmarkEnd w:id="5"/>
    <w:bookmarkEnd w:id="6"/>
    <w:bookmarkEnd w:id="7"/>
    <w:bookmarkEnd w:id="8"/>
    <w:bookmarkEnd w:id="9"/>
    <w:bookmarkEnd w:id="10"/>
    <w:bookmarkEnd w:id="11"/>
    <w:bookmarkEnd w:id="12"/>
    <w:bookmarkEnd w:id="13"/>
    <w:bookmarkEnd w:id="14"/>
    <w:p w14:paraId="5EE89FF4">
      <w:pPr>
        <w:widowControl/>
        <w:jc w:val="left"/>
        <w:rPr>
          <w:rFonts w:hint="eastAsia" w:ascii="宋体" w:hAnsi="宋体" w:cs="仿宋" w:eastAsiaTheme="minorEastAsia"/>
          <w:color w:val="auto"/>
          <w:szCs w:val="21"/>
          <w:lang w:val="en-US" w:eastAsia="zh-CN"/>
        </w:rPr>
      </w:pPr>
    </w:p>
    <w:p w14:paraId="6C2BAFEA">
      <w:p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2397A9B9">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0D784FD0">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8951453">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2CA0BDFC">
      <w:pPr>
        <w:kinsoku/>
        <w:overflowPunct/>
        <w:topLinePunct w:val="0"/>
        <w:bidi w:val="0"/>
        <w:ind w:left="0" w:leftChars="0" w:right="0" w:rightChars="0" w:firstLine="640" w:firstLineChars="200"/>
        <w:jc w:val="left"/>
        <w:rPr>
          <w:rFonts w:hint="eastAsia" w:ascii="黑体" w:hAnsi="宋体" w:eastAsia="黑体"/>
          <w:color w:val="auto"/>
          <w:sz w:val="32"/>
          <w:szCs w:val="32"/>
          <w:lang w:val="en-US" w:eastAsia="zh-CN"/>
        </w:rPr>
      </w:pPr>
    </w:p>
    <w:p w14:paraId="22901D94">
      <w:pPr>
        <w:kinsoku/>
        <w:overflowPunct/>
        <w:topLinePunct w:val="0"/>
        <w:bidi w:val="0"/>
        <w:ind w:left="0" w:leftChars="0" w:right="0" w:rightChars="0" w:firstLine="640" w:firstLineChars="200"/>
        <w:jc w:val="left"/>
        <w:rPr>
          <w:rFonts w:hint="eastAsia" w:ascii="黑体" w:hAnsi="宋体" w:eastAsia="黑体"/>
          <w:color w:val="auto"/>
          <w:sz w:val="32"/>
          <w:szCs w:val="32"/>
          <w:lang w:val="en-US" w:eastAsia="zh-CN"/>
        </w:rPr>
      </w:pPr>
    </w:p>
    <w:p w14:paraId="1240BA4E">
      <w:pPr>
        <w:kinsoku/>
        <w:overflowPunct/>
        <w:topLinePunct w:val="0"/>
        <w:bidi w:val="0"/>
        <w:ind w:left="0" w:leftChars="0" w:right="0" w:rightChars="0" w:firstLine="640" w:firstLineChars="200"/>
        <w:jc w:val="left"/>
        <w:rPr>
          <w:rFonts w:hint="eastAsia" w:ascii="黑体" w:hAnsi="宋体" w:eastAsia="黑体"/>
          <w:color w:val="auto"/>
          <w:sz w:val="32"/>
          <w:szCs w:val="32"/>
          <w:lang w:val="en-US" w:eastAsia="zh-CN"/>
        </w:rPr>
      </w:pPr>
    </w:p>
    <w:p w14:paraId="711C438E">
      <w:pPr>
        <w:kinsoku/>
        <w:overflowPunct/>
        <w:topLinePunct w:val="0"/>
        <w:bidi w:val="0"/>
        <w:ind w:left="0" w:leftChars="0" w:right="0" w:rightChars="0" w:firstLine="640" w:firstLineChars="200"/>
        <w:jc w:val="center"/>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第二章 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left="0" w:leftChars="0" w:right="0" w:rightChars="0" w:firstLine="800" w:firstLineChars="200"/>
        <w:jc w:val="center"/>
        <w:textAlignment w:val="bottom"/>
        <w:rPr>
          <w:rFonts w:ascii="黑体" w:hAnsi="黑体" w:eastAsia="黑体" w:cs="宋体"/>
          <w:color w:val="auto"/>
          <w:sz w:val="40"/>
          <w:szCs w:val="40"/>
        </w:rPr>
      </w:pPr>
      <w:r>
        <w:rPr>
          <w:rFonts w:hint="eastAsia" w:ascii="黑体" w:hAnsi="黑体" w:eastAsia="黑体" w:cs="宋体"/>
          <w:color w:val="auto"/>
          <w:sz w:val="40"/>
          <w:szCs w:val="40"/>
          <w:lang w:val="en-US" w:eastAsia="zh-CN"/>
        </w:rPr>
        <w:t>四川宏达股份有限公司变送器</w:t>
      </w:r>
      <w:r>
        <w:rPr>
          <w:rFonts w:hint="eastAsia" w:ascii="黑体" w:hAnsi="黑体" w:eastAsia="黑体" w:cs="宋体"/>
          <w:color w:val="auto"/>
          <w:sz w:val="40"/>
          <w:szCs w:val="40"/>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65B7478D">
      <w:pPr>
        <w:kinsoku/>
        <w:overflowPunct/>
        <w:topLinePunct w:val="0"/>
        <w:bidi w:val="0"/>
        <w:ind w:right="0" w:rightChars="0"/>
        <w:jc w:val="both"/>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7D44BC8C">
      <w:pPr>
        <w:keepNext w:val="0"/>
        <w:keepLines w:val="0"/>
        <w:pageBreakBefore w:val="0"/>
        <w:kinsoku/>
        <w:wordWrap/>
        <w:overflowPunct/>
        <w:topLinePunct w:val="0"/>
        <w:autoSpaceDE/>
        <w:autoSpaceDN/>
        <w:bidi w:val="0"/>
        <w:spacing w:line="560" w:lineRule="exact"/>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CA490EA">
      <w:pPr>
        <w:keepNext w:val="0"/>
        <w:keepLines w:val="0"/>
        <w:pageBreakBefore w:val="0"/>
        <w:kinsoku/>
        <w:wordWrap/>
        <w:overflowPunct/>
        <w:topLinePunct w:val="0"/>
        <w:autoSpaceDE/>
        <w:autoSpaceDN/>
        <w:bidi w:val="0"/>
        <w:spacing w:line="560" w:lineRule="exact"/>
        <w:jc w:val="both"/>
        <w:textAlignment w:val="auto"/>
        <w:rPr>
          <w:rFonts w:hint="eastAsia" w:asciiTheme="minorEastAsia" w:hAnsiTheme="minorEastAsia" w:eastAsiaTheme="minorEastAsia"/>
          <w:sz w:val="24"/>
          <w:szCs w:val="24"/>
          <w:highlight w:val="none"/>
        </w:rPr>
      </w:pPr>
    </w:p>
    <w:p w14:paraId="2DD774C9">
      <w:pPr>
        <w:keepNext w:val="0"/>
        <w:keepLines w:val="0"/>
        <w:pageBreakBefore w:val="0"/>
        <w:kinsoku/>
        <w:wordWrap/>
        <w:overflowPunct/>
        <w:topLinePunct w:val="0"/>
        <w:autoSpaceDE/>
        <w:autoSpaceDN/>
        <w:bidi w:val="0"/>
        <w:spacing w:line="560" w:lineRule="exact"/>
        <w:jc w:val="both"/>
        <w:textAlignment w:val="auto"/>
        <w:rPr>
          <w:rFonts w:hint="eastAsia" w:asciiTheme="minorEastAsia" w:hAnsiTheme="minorEastAsia" w:eastAsiaTheme="minorEastAsia"/>
          <w:sz w:val="24"/>
          <w:szCs w:val="24"/>
          <w:highlight w:val="none"/>
        </w:rPr>
      </w:pPr>
    </w:p>
    <w:p w14:paraId="18241011">
      <w:pPr>
        <w:keepNext w:val="0"/>
        <w:keepLines w:val="0"/>
        <w:pageBreakBefore w:val="0"/>
        <w:kinsoku/>
        <w:wordWrap/>
        <w:overflowPunct/>
        <w:topLinePunct w:val="0"/>
        <w:autoSpaceDE/>
        <w:autoSpaceDN/>
        <w:bidi w:val="0"/>
        <w:spacing w:line="560" w:lineRule="exact"/>
        <w:jc w:val="both"/>
        <w:textAlignment w:val="auto"/>
        <w:rPr>
          <w:rFonts w:hint="eastAsia" w:asciiTheme="minorEastAsia" w:hAnsiTheme="minorEastAsia" w:eastAsiaTheme="minorEastAsia"/>
          <w:sz w:val="24"/>
          <w:szCs w:val="24"/>
          <w:highlight w:val="none"/>
        </w:rPr>
      </w:pPr>
    </w:p>
    <w:p w14:paraId="0E564EC4">
      <w:pPr>
        <w:keepNext w:val="0"/>
        <w:keepLines w:val="0"/>
        <w:pageBreakBefore w:val="0"/>
        <w:kinsoku/>
        <w:wordWrap/>
        <w:overflowPunct/>
        <w:topLinePunct w:val="0"/>
        <w:autoSpaceDE/>
        <w:autoSpaceDN/>
        <w:bidi w:val="0"/>
        <w:spacing w:line="560" w:lineRule="exact"/>
        <w:jc w:val="both"/>
        <w:textAlignment w:val="auto"/>
        <w:rPr>
          <w:rFonts w:hint="eastAsia" w:asciiTheme="minorEastAsia" w:hAnsiTheme="minorEastAsia" w:eastAsiaTheme="minorEastAsia"/>
          <w:sz w:val="24"/>
          <w:szCs w:val="24"/>
          <w:highlight w:val="none"/>
        </w:rPr>
      </w:pPr>
    </w:p>
    <w:p w14:paraId="74666BC2">
      <w:pPr>
        <w:keepNext w:val="0"/>
        <w:keepLines w:val="0"/>
        <w:pageBreakBefore w:val="0"/>
        <w:kinsoku/>
        <w:wordWrap/>
        <w:overflowPunct/>
        <w:topLinePunct w:val="0"/>
        <w:autoSpaceDE/>
        <w:autoSpaceDN/>
        <w:bidi w:val="0"/>
        <w:spacing w:line="560" w:lineRule="exact"/>
        <w:jc w:val="both"/>
        <w:textAlignment w:val="auto"/>
        <w:rPr>
          <w:rFonts w:hint="eastAsia" w:asciiTheme="minorEastAsia" w:hAnsiTheme="minorEastAsia" w:eastAsiaTheme="minorEastAsia"/>
          <w:sz w:val="24"/>
          <w:szCs w:val="24"/>
          <w:highlight w:val="none"/>
        </w:rPr>
      </w:pPr>
    </w:p>
    <w:p w14:paraId="7FF0CDEC">
      <w:pPr>
        <w:keepNext w:val="0"/>
        <w:keepLines w:val="0"/>
        <w:pageBreakBefore w:val="0"/>
        <w:kinsoku/>
        <w:wordWrap/>
        <w:overflowPunct/>
        <w:topLinePunct w:val="0"/>
        <w:autoSpaceDE/>
        <w:autoSpaceDN/>
        <w:bidi w:val="0"/>
        <w:spacing w:line="560" w:lineRule="exact"/>
        <w:ind w:firstLine="5760" w:firstLineChars="24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01C32111">
      <w:pPr>
        <w:kinsoku/>
        <w:overflowPunct/>
        <w:topLinePunct w:val="0"/>
        <w:bidi w:val="0"/>
        <w:spacing w:line="360" w:lineRule="auto"/>
        <w:ind w:left="0" w:leftChars="0" w:right="0" w:rightChars="0" w:firstLine="480" w:firstLineChars="200"/>
        <w:rPr>
          <w:rFonts w:ascii="宋体" w:hAnsi="宋体"/>
          <w:color w:val="auto"/>
          <w:sz w:val="24"/>
        </w:rPr>
      </w:pPr>
    </w:p>
    <w:p w14:paraId="1C2AABFA">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78365C6">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lang w:val="en-US" w:eastAsia="zh-CN"/>
        </w:rPr>
        <w:t>（一）营业执照</w:t>
      </w:r>
    </w:p>
    <w:p w14:paraId="27531DC3">
      <w:pPr>
        <w:widowControl/>
        <w:kinsoku/>
        <w:overflowPunct/>
        <w:topLinePunct w:val="0"/>
        <w:bidi w:val="0"/>
        <w:spacing w:line="360" w:lineRule="auto"/>
        <w:ind w:left="0" w:leftChars="0" w:right="0" w:rightChars="0" w:firstLine="480" w:firstLineChars="200"/>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20D7E2B9">
      <w:pPr>
        <w:kinsoku/>
        <w:overflowPunct/>
        <w:topLinePunct w:val="0"/>
        <w:bidi w:val="0"/>
        <w:ind w:left="0" w:leftChars="0" w:right="0" w:rightChars="0" w:firstLine="562" w:firstLineChars="200"/>
        <w:jc w:val="both"/>
        <w:rPr>
          <w:rFonts w:ascii="宋体" w:hAnsi="宋体" w:cs="宋体"/>
          <w:b/>
          <w:bCs/>
          <w:color w:val="auto"/>
          <w:sz w:val="28"/>
          <w:szCs w:val="28"/>
        </w:rPr>
      </w:pPr>
      <w:r>
        <w:rPr>
          <w:rFonts w:hint="eastAsia" w:ascii="宋体" w:hAnsi="宋体" w:cs="宋体"/>
          <w:b/>
          <w:bCs/>
          <w:color w:val="auto"/>
          <w:sz w:val="28"/>
          <w:szCs w:val="28"/>
          <w:lang w:eastAsia="zh-CN"/>
        </w:rPr>
        <w:t>（</w:t>
      </w:r>
      <w:r>
        <w:rPr>
          <w:rFonts w:hint="eastAsia" w:ascii="宋体" w:hAnsi="宋体" w:cs="宋体"/>
          <w:b/>
          <w:bCs/>
          <w:color w:val="auto"/>
          <w:sz w:val="28"/>
          <w:szCs w:val="28"/>
          <w:lang w:val="en-US" w:eastAsia="zh-CN"/>
        </w:rPr>
        <w:t>二</w:t>
      </w:r>
      <w:r>
        <w:rPr>
          <w:rFonts w:hint="eastAsia" w:ascii="宋体" w:hAnsi="宋体" w:cs="宋体"/>
          <w:b/>
          <w:bCs/>
          <w:color w:val="auto"/>
          <w:sz w:val="28"/>
          <w:szCs w:val="28"/>
          <w:lang w:eastAsia="zh-CN"/>
        </w:rPr>
        <w:t>）</w:t>
      </w:r>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1E5612B8">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71E63C5">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F9933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0D202F2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513D16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A6C9148">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11B872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AAAAA8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BB6E1DD">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1F8C4F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254FFF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0EEB461">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4E308F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0E2618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0CC868E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31B5F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00B27B9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A38AD64">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A265CE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924740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AF5F8D1">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bookmarkStart w:id="15" w:name="_Toc4384"/>
      <w:bookmarkStart w:id="16" w:name="_Toc9978"/>
      <w:bookmarkStart w:id="17" w:name="_Toc30198"/>
      <w:r>
        <w:rPr>
          <w:rFonts w:hint="eastAsia" w:cs="黑体" w:asciiTheme="minorEastAsia" w:hAnsiTheme="minorEastAsia" w:eastAsia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zh-CN"/>
        </w:rPr>
        <w:t>）</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5"/>
      <w:bookmarkEnd w:id="16"/>
      <w:bookmarkEnd w:id="17"/>
    </w:p>
    <w:p w14:paraId="0A9D3313">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20237DD0">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val="en-US" w:eastAsia="zh-CN"/>
        </w:rPr>
        <w:t>交货</w:t>
      </w:r>
      <w:r>
        <w:rPr>
          <w:rFonts w:hint="eastAsia" w:asciiTheme="minorEastAsia" w:hAnsiTheme="minorEastAsia" w:eastAsiaTheme="minorEastAsia"/>
          <w:color w:val="auto"/>
          <w:highlight w:val="none"/>
        </w:rPr>
        <w:t>期</w:t>
      </w:r>
      <w:r>
        <w:rPr>
          <w:rFonts w:hint="eastAsia" w:asciiTheme="minorEastAsia" w:hAnsiTheme="minorEastAsia" w:eastAsiaTheme="minorEastAsia"/>
          <w:color w:val="auto"/>
          <w:highlight w:val="none"/>
          <w:lang w:val="en-US" w:eastAsia="zh-CN"/>
        </w:rPr>
        <w:t>限：</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，按比选文件规定的条件和要求承担合同规定的全部工作，并承担相关的责任，质量</w:t>
      </w:r>
      <w:r>
        <w:rPr>
          <w:rFonts w:hint="eastAsia" w:asciiTheme="minorEastAsia" w:hAnsiTheme="minorEastAsia"/>
          <w:color w:val="auto"/>
          <w:highlight w:val="none"/>
          <w:lang w:val="en-US" w:eastAsia="zh-CN"/>
        </w:rPr>
        <w:t>验收</w:t>
      </w:r>
      <w:r>
        <w:rPr>
          <w:rFonts w:hint="eastAsia" w:asciiTheme="minorEastAsia" w:hAnsiTheme="minorEastAsia" w:eastAsiaTheme="minorEastAsia"/>
          <w:color w:val="auto"/>
          <w:highlight w:val="none"/>
          <w:lang w:val="en-US" w:eastAsia="zh-CN"/>
        </w:rPr>
        <w:t>标准：</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p>
    <w:p w14:paraId="6E5D5DBB">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0FD788C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7CC11F31">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0BF1D91">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6840051B">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874D371">
      <w:pPr>
        <w:keepNext w:val="0"/>
        <w:keepLines w:val="0"/>
        <w:pageBreakBefore w:val="0"/>
        <w:kinsoku/>
        <w:wordWrap/>
        <w:overflowPunct/>
        <w:topLinePunct w:val="0"/>
        <w:autoSpaceDE/>
        <w:autoSpaceDN/>
        <w:bidi w:val="0"/>
        <w:spacing w:line="560" w:lineRule="exact"/>
        <w:ind w:firstLine="420" w:firstLineChars="200"/>
        <w:jc w:val="both"/>
        <w:textAlignment w:val="auto"/>
        <w:rPr>
          <w:rFonts w:asciiTheme="minorEastAsia" w:hAnsiTheme="minorEastAsia" w:eastAsiaTheme="minorEastAsia"/>
          <w:szCs w:val="21"/>
          <w:highlight w:val="none"/>
        </w:rPr>
      </w:pPr>
    </w:p>
    <w:p w14:paraId="6C5BB6C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06ABAF9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30863AE2">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6524F99C">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44AB1C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F8E9F6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01F67B75">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0F027A7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2042D2D">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C7E03FC">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81B3594">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9E6E945">
      <w:pPr>
        <w:pStyle w:val="51"/>
        <w:kinsoku/>
        <w:overflowPunct/>
        <w:topLinePunct w:val="0"/>
        <w:bidi w:val="0"/>
        <w:spacing w:line="360" w:lineRule="auto"/>
        <w:ind w:right="0" w:rightChars="0"/>
        <w:jc w:val="both"/>
        <w:rPr>
          <w:rFonts w:ascii="宋体" w:hAnsi="宋体" w:eastAsia="宋体"/>
          <w:b/>
          <w:color w:val="auto"/>
        </w:rPr>
      </w:pPr>
      <w:r>
        <w:rPr>
          <w:rFonts w:hint="eastAsia" w:ascii="宋体" w:hAnsi="宋体" w:eastAsia="宋体"/>
          <w:b/>
          <w:color w:val="auto"/>
        </w:rPr>
        <w:t>报价</w:t>
      </w:r>
      <w:r>
        <w:rPr>
          <w:rFonts w:hint="eastAsia" w:ascii="宋体" w:hAnsi="宋体" w:eastAsia="宋体"/>
          <w:b/>
          <w:color w:val="auto"/>
          <w:lang w:val="en-US" w:eastAsia="zh-CN"/>
        </w:rPr>
        <w:t>明细</w:t>
      </w:r>
      <w:r>
        <w:rPr>
          <w:rFonts w:hint="eastAsia" w:ascii="宋体" w:hAnsi="宋体" w:eastAsia="宋体"/>
          <w:b/>
          <w:color w:val="auto"/>
        </w:rPr>
        <w:t>表</w:t>
      </w:r>
    </w:p>
    <w:p w14:paraId="1541407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499"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570"/>
      </w:tblGrid>
      <w:tr w14:paraId="2D03133F">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3B36F18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4C7CF0">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8832DF6">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479D47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8173D2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6E1E726">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570"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58452A3">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4276F9DA">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AE1C7F6">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5F1177">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DBF913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5577F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E00A7BA">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730B2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不含税单价（元）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58B49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570"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67B8F7DA">
            <w:pPr>
              <w:jc w:val="left"/>
              <w:rPr>
                <w:rFonts w:hint="eastAsia" w:ascii="宋体" w:hAnsi="宋体" w:eastAsia="宋体" w:cs="宋体"/>
                <w:b/>
                <w:i w:val="0"/>
                <w:color w:val="auto"/>
                <w:sz w:val="18"/>
                <w:szCs w:val="18"/>
                <w:highlight w:val="none"/>
                <w:u w:val="none"/>
              </w:rPr>
            </w:pPr>
          </w:p>
        </w:tc>
      </w:tr>
      <w:tr w14:paraId="38783DCB">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46A0FD">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CFFDAD">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A4E28C">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65F2D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F2C1D8">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FD3DD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A8AA72">
            <w:pPr>
              <w:jc w:val="center"/>
              <w:rPr>
                <w:rFonts w:hint="eastAsia" w:ascii="宋体" w:hAnsi="宋体" w:eastAsia="宋体" w:cs="宋体"/>
                <w:i w:val="0"/>
                <w:color w:val="auto"/>
                <w:sz w:val="18"/>
                <w:szCs w:val="18"/>
                <w:highlight w:val="none"/>
                <w:u w:val="none"/>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3CBA7A0">
            <w:pPr>
              <w:jc w:val="center"/>
              <w:rPr>
                <w:rFonts w:hint="eastAsia" w:ascii="宋体" w:hAnsi="宋体" w:eastAsia="宋体" w:cs="宋体"/>
                <w:i w:val="0"/>
                <w:color w:val="auto"/>
                <w:sz w:val="18"/>
                <w:szCs w:val="18"/>
                <w:highlight w:val="none"/>
                <w:u w:val="none"/>
                <w:lang w:val="en-US" w:eastAsia="zh-CN"/>
              </w:rPr>
            </w:pPr>
            <w:r>
              <w:rPr>
                <w:rFonts w:hint="eastAsia" w:ascii="宋体" w:hAnsi="宋体" w:eastAsia="宋体" w:cs="宋体"/>
                <w:i w:val="0"/>
                <w:color w:val="auto"/>
                <w:sz w:val="18"/>
                <w:szCs w:val="18"/>
                <w:highlight w:val="none"/>
                <w:u w:val="none"/>
                <w:lang w:val="en-US" w:eastAsia="zh-CN"/>
              </w:rPr>
              <w:t>生产商</w:t>
            </w:r>
          </w:p>
        </w:tc>
      </w:tr>
      <w:tr w14:paraId="1CFA59F5">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378A1FD">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DD5D30">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C4DFF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5840A9">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465508">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1E239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48993">
            <w:pPr>
              <w:jc w:val="center"/>
              <w:rPr>
                <w:rFonts w:hint="eastAsia" w:ascii="宋体" w:hAnsi="宋体" w:eastAsia="宋体" w:cs="宋体"/>
                <w:i w:val="0"/>
                <w:color w:val="auto"/>
                <w:sz w:val="18"/>
                <w:szCs w:val="18"/>
                <w:highlight w:val="none"/>
                <w:u w:val="none"/>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D792E0D">
            <w:pPr>
              <w:rPr>
                <w:rFonts w:hint="eastAsia" w:ascii="宋体" w:hAnsi="宋体" w:eastAsia="宋体" w:cs="宋体"/>
                <w:i w:val="0"/>
                <w:color w:val="auto"/>
                <w:sz w:val="18"/>
                <w:szCs w:val="18"/>
                <w:highlight w:val="none"/>
                <w:u w:val="none"/>
              </w:rPr>
            </w:pPr>
          </w:p>
        </w:tc>
      </w:tr>
      <w:tr w14:paraId="5772B76D">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C0CBA4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A44DF0">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30023F">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74D739">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067A82">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AC3009">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A4C3F5">
            <w:pPr>
              <w:jc w:val="center"/>
              <w:rPr>
                <w:rFonts w:hint="eastAsia" w:ascii="宋体" w:hAnsi="宋体" w:eastAsia="宋体" w:cs="宋体"/>
                <w:i w:val="0"/>
                <w:color w:val="auto"/>
                <w:sz w:val="18"/>
                <w:szCs w:val="18"/>
                <w:highlight w:val="none"/>
                <w:u w:val="none"/>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1EEB2CF5">
            <w:pPr>
              <w:rPr>
                <w:rFonts w:hint="eastAsia" w:ascii="宋体" w:hAnsi="宋体" w:eastAsia="宋体" w:cs="宋体"/>
                <w:i w:val="0"/>
                <w:color w:val="auto"/>
                <w:sz w:val="18"/>
                <w:szCs w:val="18"/>
                <w:highlight w:val="none"/>
                <w:u w:val="none"/>
              </w:rPr>
            </w:pPr>
          </w:p>
        </w:tc>
      </w:tr>
      <w:tr w14:paraId="5CA8EE4F">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395F9FC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6473C9">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A77E8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9D023B">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6EFAF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E56E76">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3096D5">
            <w:pPr>
              <w:jc w:val="center"/>
              <w:rPr>
                <w:rFonts w:hint="eastAsia" w:ascii="宋体" w:hAnsi="宋体" w:eastAsia="宋体" w:cs="宋体"/>
                <w:i w:val="0"/>
                <w:color w:val="auto"/>
                <w:sz w:val="18"/>
                <w:szCs w:val="18"/>
                <w:highlight w:val="none"/>
                <w:u w:val="none"/>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656AC36C">
            <w:pPr>
              <w:rPr>
                <w:rFonts w:hint="eastAsia" w:ascii="宋体" w:hAnsi="宋体" w:eastAsia="宋体" w:cs="宋体"/>
                <w:i w:val="0"/>
                <w:color w:val="auto"/>
                <w:sz w:val="18"/>
                <w:szCs w:val="18"/>
                <w:highlight w:val="none"/>
                <w:u w:val="none"/>
              </w:rPr>
            </w:pPr>
          </w:p>
        </w:tc>
      </w:tr>
      <w:tr w14:paraId="0D9D056A">
        <w:tblPrEx>
          <w:tblCellMar>
            <w:top w:w="0" w:type="dxa"/>
            <w:left w:w="0" w:type="dxa"/>
            <w:bottom w:w="0" w:type="dxa"/>
            <w:right w:w="0" w:type="dxa"/>
          </w:tblCellMar>
        </w:tblPrEx>
        <w:trPr>
          <w:trHeight w:val="75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0B39CCA">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不含税合计</w:t>
            </w: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D52498">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6CF9F6">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6C4D10">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B0CC41">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5ECA00">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83FF903">
            <w:pPr>
              <w:rPr>
                <w:rFonts w:hint="eastAsia" w:ascii="宋体" w:hAnsi="宋体" w:eastAsia="宋体" w:cs="宋体"/>
                <w:i w:val="0"/>
                <w:color w:val="auto"/>
                <w:sz w:val="18"/>
                <w:szCs w:val="18"/>
                <w:highlight w:val="none"/>
                <w:u w:val="none"/>
              </w:rPr>
            </w:pPr>
          </w:p>
        </w:tc>
      </w:tr>
      <w:tr w14:paraId="0FED62D3">
        <w:tblPrEx>
          <w:tblCellMar>
            <w:top w:w="0" w:type="dxa"/>
            <w:left w:w="0" w:type="dxa"/>
            <w:bottom w:w="0" w:type="dxa"/>
            <w:right w:w="0" w:type="dxa"/>
          </w:tblCellMar>
        </w:tblPrEx>
        <w:trPr>
          <w:trHeight w:val="75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9F74B9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税金（税率  %）</w:t>
            </w: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1BE3E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138F0A">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A8ABD4">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72865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0D7EA0">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6EE5512F">
            <w:pPr>
              <w:rPr>
                <w:rFonts w:hint="eastAsia" w:ascii="宋体" w:hAnsi="宋体" w:eastAsia="宋体" w:cs="宋体"/>
                <w:i w:val="0"/>
                <w:color w:val="auto"/>
                <w:sz w:val="18"/>
                <w:szCs w:val="18"/>
                <w:highlight w:val="none"/>
                <w:u w:val="none"/>
              </w:rPr>
            </w:pPr>
          </w:p>
        </w:tc>
      </w:tr>
      <w:tr w14:paraId="321099C9">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AD9BD84">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50056F">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BBC1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D38D7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2979D4">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710B9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570"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6866CBA5">
            <w:pPr>
              <w:rPr>
                <w:rFonts w:hint="default" w:ascii="宋体" w:hAnsi="宋体" w:eastAsia="宋体" w:cs="宋体"/>
                <w:b/>
                <w:bCs/>
                <w:i w:val="0"/>
                <w:color w:val="auto"/>
                <w:sz w:val="18"/>
                <w:szCs w:val="18"/>
                <w:highlight w:val="none"/>
                <w:u w:val="none"/>
                <w:lang w:val="en-US" w:eastAsia="zh-CN"/>
              </w:rPr>
            </w:pPr>
          </w:p>
        </w:tc>
      </w:tr>
    </w:tbl>
    <w:p w14:paraId="6D5AF54D">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020FF48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F6A2FC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A7C5FD2">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A7B75C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E33D00">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6CC58E74">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费、试验检验费、包装费、装车费、运费、保险费、设计费、税金等。</w:t>
      </w:r>
      <w:r>
        <w:rPr>
          <w:rFonts w:hint="eastAsia"/>
          <w:color w:val="auto"/>
        </w:rPr>
        <w:t xml:space="preserve"> </w:t>
      </w:r>
      <w:r>
        <w:rPr>
          <w:rFonts w:hint="eastAsia" w:ascii="宋体" w:hAnsi="宋体"/>
          <w:color w:val="auto"/>
          <w:szCs w:val="21"/>
        </w:rPr>
        <w:t xml:space="preserve">                    </w:t>
      </w:r>
    </w:p>
    <w:p w14:paraId="14CA1E55">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eastAsia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技术规格书</w:t>
      </w:r>
      <w:bookmarkStart w:id="18" w:name="_GoBack"/>
      <w:bookmarkEnd w:id="18"/>
    </w:p>
    <w:p w14:paraId="2715DF53">
      <w:pPr>
        <w:shd w:val="clear" w:color="auto" w:fill="auto"/>
        <w:spacing w:line="360" w:lineRule="auto"/>
        <w:rPr>
          <w:rFonts w:hint="eastAsia"/>
          <w:color w:val="auto"/>
        </w:rPr>
      </w:pPr>
    </w:p>
    <w:p w14:paraId="4690E545">
      <w:pPr>
        <w:shd w:val="clear" w:color="auto" w:fill="auto"/>
        <w:spacing w:line="360" w:lineRule="auto"/>
        <w:rPr>
          <w:rFonts w:hint="eastAsia"/>
          <w:color w:val="auto"/>
        </w:rPr>
      </w:pPr>
    </w:p>
    <w:p w14:paraId="234DC82B">
      <w:pPr>
        <w:shd w:val="clear" w:color="auto" w:fill="auto"/>
        <w:spacing w:line="360" w:lineRule="auto"/>
        <w:rPr>
          <w:rFonts w:hint="eastAsia"/>
          <w:color w:val="auto"/>
        </w:rPr>
      </w:pPr>
    </w:p>
    <w:p w14:paraId="20299EAC">
      <w:pPr>
        <w:shd w:val="clear" w:color="auto" w:fill="auto"/>
        <w:spacing w:line="360" w:lineRule="auto"/>
        <w:rPr>
          <w:rFonts w:hint="eastAsia"/>
          <w:color w:val="auto"/>
        </w:rPr>
      </w:pPr>
    </w:p>
    <w:p w14:paraId="414266CA">
      <w:pPr>
        <w:shd w:val="clear" w:color="auto" w:fill="auto"/>
        <w:spacing w:line="360" w:lineRule="auto"/>
        <w:rPr>
          <w:rFonts w:hint="eastAsia"/>
          <w:color w:val="auto"/>
        </w:rPr>
      </w:pPr>
    </w:p>
    <w:p w14:paraId="2DD57FA0">
      <w:pPr>
        <w:shd w:val="clear" w:color="auto" w:fill="auto"/>
        <w:spacing w:line="360" w:lineRule="auto"/>
        <w:rPr>
          <w:rFonts w:hint="eastAsia"/>
          <w:color w:val="auto"/>
        </w:rPr>
      </w:pPr>
    </w:p>
    <w:p w14:paraId="4F320B41">
      <w:pPr>
        <w:shd w:val="clear" w:color="auto" w:fill="auto"/>
        <w:spacing w:line="360" w:lineRule="auto"/>
        <w:rPr>
          <w:rFonts w:hint="eastAsia"/>
          <w:color w:val="auto"/>
        </w:rPr>
      </w:pPr>
    </w:p>
    <w:p w14:paraId="716F1D3E">
      <w:pPr>
        <w:shd w:val="clear" w:color="auto" w:fill="auto"/>
        <w:spacing w:line="360" w:lineRule="auto"/>
        <w:rPr>
          <w:rFonts w:hint="eastAsia"/>
          <w:color w:val="auto"/>
        </w:rPr>
      </w:pPr>
    </w:p>
    <w:p w14:paraId="67F7FB26">
      <w:pPr>
        <w:shd w:val="clear" w:color="auto" w:fill="auto"/>
        <w:spacing w:line="360" w:lineRule="auto"/>
        <w:rPr>
          <w:rFonts w:hint="eastAsia"/>
          <w:color w:val="auto"/>
        </w:rPr>
      </w:pPr>
    </w:p>
    <w:p w14:paraId="12162202">
      <w:pPr>
        <w:shd w:val="clear" w:color="auto" w:fill="auto"/>
        <w:spacing w:line="360" w:lineRule="auto"/>
        <w:rPr>
          <w:rFonts w:hint="eastAsia"/>
          <w:color w:val="auto"/>
        </w:rPr>
      </w:pPr>
    </w:p>
    <w:p w14:paraId="09F18451">
      <w:pPr>
        <w:shd w:val="clear" w:color="auto" w:fill="auto"/>
        <w:spacing w:line="360" w:lineRule="auto"/>
        <w:rPr>
          <w:rFonts w:hint="eastAsia"/>
          <w:color w:val="auto"/>
        </w:rPr>
      </w:pPr>
    </w:p>
    <w:p w14:paraId="64D842B7">
      <w:pPr>
        <w:shd w:val="clear" w:color="auto" w:fill="auto"/>
        <w:spacing w:line="360" w:lineRule="auto"/>
        <w:rPr>
          <w:rFonts w:hint="eastAsia"/>
          <w:color w:val="auto"/>
        </w:rPr>
      </w:pPr>
    </w:p>
    <w:p w14:paraId="515D8459">
      <w:pPr>
        <w:shd w:val="clear" w:color="auto" w:fill="auto"/>
        <w:spacing w:line="360" w:lineRule="auto"/>
        <w:rPr>
          <w:rFonts w:hint="eastAsia"/>
          <w:color w:val="auto"/>
        </w:rPr>
      </w:pPr>
    </w:p>
    <w:p w14:paraId="0C0ADF9C">
      <w:pPr>
        <w:shd w:val="clear" w:color="auto" w:fill="auto"/>
        <w:spacing w:line="360" w:lineRule="auto"/>
        <w:rPr>
          <w:rFonts w:hint="eastAsia"/>
          <w:color w:val="auto"/>
        </w:rPr>
      </w:pPr>
    </w:p>
    <w:p w14:paraId="650DCE3E">
      <w:pPr>
        <w:shd w:val="clear" w:color="auto" w:fill="auto"/>
        <w:spacing w:line="360" w:lineRule="auto"/>
        <w:rPr>
          <w:rFonts w:hint="eastAsia"/>
          <w:color w:val="auto"/>
        </w:rPr>
      </w:pPr>
    </w:p>
    <w:p w14:paraId="03994CB7">
      <w:pPr>
        <w:shd w:val="clear" w:color="auto" w:fill="auto"/>
        <w:spacing w:line="360" w:lineRule="auto"/>
        <w:rPr>
          <w:rFonts w:hint="eastAsia"/>
          <w:color w:val="auto"/>
        </w:rPr>
      </w:pPr>
    </w:p>
    <w:p w14:paraId="664441B0">
      <w:pPr>
        <w:shd w:val="clear" w:color="auto" w:fill="auto"/>
        <w:spacing w:line="360" w:lineRule="auto"/>
        <w:rPr>
          <w:rFonts w:hint="eastAsia"/>
          <w:color w:val="auto"/>
        </w:rPr>
      </w:pPr>
    </w:p>
    <w:p w14:paraId="003B36DF">
      <w:pPr>
        <w:shd w:val="clear" w:color="auto" w:fill="auto"/>
        <w:spacing w:line="360" w:lineRule="auto"/>
        <w:rPr>
          <w:rFonts w:hint="eastAsia"/>
          <w:color w:val="auto"/>
        </w:rPr>
      </w:pPr>
    </w:p>
    <w:p w14:paraId="01E77E87">
      <w:pPr>
        <w:shd w:val="clear" w:color="auto" w:fill="auto"/>
        <w:spacing w:line="360" w:lineRule="auto"/>
        <w:rPr>
          <w:rFonts w:hint="eastAsia"/>
          <w:color w:val="auto"/>
        </w:rPr>
      </w:pPr>
    </w:p>
    <w:p w14:paraId="341319D6">
      <w:pPr>
        <w:shd w:val="clear" w:color="auto" w:fill="auto"/>
        <w:spacing w:line="360" w:lineRule="auto"/>
        <w:rPr>
          <w:rFonts w:hint="eastAsia"/>
          <w:color w:val="auto"/>
        </w:rPr>
      </w:pPr>
    </w:p>
    <w:p w14:paraId="1B1BC489">
      <w:pPr>
        <w:shd w:val="clear" w:color="auto" w:fill="auto"/>
        <w:spacing w:line="360" w:lineRule="auto"/>
        <w:rPr>
          <w:rFonts w:hint="eastAsia"/>
          <w:color w:val="auto"/>
        </w:rPr>
      </w:pPr>
    </w:p>
    <w:p w14:paraId="7B8E2AF0">
      <w:pPr>
        <w:shd w:val="clear" w:color="auto" w:fill="auto"/>
        <w:spacing w:line="360" w:lineRule="auto"/>
        <w:rPr>
          <w:rFonts w:hint="eastAsia"/>
          <w:color w:val="auto"/>
        </w:rPr>
      </w:pPr>
    </w:p>
    <w:p w14:paraId="3109E323">
      <w:pPr>
        <w:shd w:val="clear" w:color="auto" w:fill="auto"/>
        <w:spacing w:line="360" w:lineRule="auto"/>
        <w:rPr>
          <w:rFonts w:hint="eastAsia"/>
          <w:color w:val="auto"/>
        </w:rPr>
      </w:pPr>
    </w:p>
    <w:p w14:paraId="031A8EE4">
      <w:pPr>
        <w:shd w:val="clear" w:color="auto" w:fill="auto"/>
        <w:spacing w:line="360" w:lineRule="auto"/>
        <w:rPr>
          <w:rFonts w:hint="eastAsia"/>
          <w:color w:val="auto"/>
        </w:rPr>
      </w:pPr>
    </w:p>
    <w:p w14:paraId="0B7C848F">
      <w:pPr>
        <w:shd w:val="clear" w:color="auto" w:fill="auto"/>
        <w:spacing w:line="360" w:lineRule="auto"/>
        <w:rPr>
          <w:rFonts w:hint="eastAsia"/>
          <w:color w:val="auto"/>
        </w:rPr>
      </w:pPr>
    </w:p>
    <w:p w14:paraId="4784F6AC">
      <w:pPr>
        <w:shd w:val="clear" w:color="auto" w:fill="auto"/>
        <w:spacing w:line="360" w:lineRule="auto"/>
        <w:rPr>
          <w:rFonts w:hint="eastAsia"/>
          <w:color w:val="auto"/>
        </w:rPr>
      </w:pPr>
    </w:p>
    <w:p w14:paraId="77FEC9BB">
      <w:pPr>
        <w:shd w:val="clear" w:color="auto" w:fill="auto"/>
        <w:spacing w:line="360" w:lineRule="auto"/>
        <w:rPr>
          <w:rFonts w:hint="eastAsia"/>
          <w:color w:val="auto"/>
        </w:rPr>
      </w:pPr>
    </w:p>
    <w:p w14:paraId="326968D4">
      <w:pPr>
        <w:shd w:val="clear" w:color="auto" w:fill="auto"/>
        <w:spacing w:line="360" w:lineRule="auto"/>
        <w:rPr>
          <w:rFonts w:hint="eastAsia"/>
          <w:color w:val="auto"/>
        </w:rPr>
      </w:pPr>
    </w:p>
    <w:p w14:paraId="2B1FF813">
      <w:pPr>
        <w:shd w:val="clear" w:color="auto" w:fill="auto"/>
        <w:spacing w:line="360" w:lineRule="auto"/>
        <w:rPr>
          <w:rFonts w:hint="eastAsia"/>
          <w:color w:val="auto"/>
        </w:rPr>
      </w:pPr>
    </w:p>
    <w:p w14:paraId="2178E2D2">
      <w:pPr>
        <w:kinsoku/>
        <w:overflowPunct/>
        <w:topLinePunct w:val="0"/>
        <w:bidi w:val="0"/>
        <w:spacing w:line="360" w:lineRule="auto"/>
        <w:ind w:left="0" w:leftChars="0" w:right="0" w:rightChars="0" w:firstLine="562" w:firstLineChars="200"/>
        <w:jc w:val="center"/>
        <w:rPr>
          <w:rFonts w:hint="eastAsia" w:ascii="宋体" w:hAnsi="宋体"/>
          <w:b/>
          <w:color w:val="auto"/>
          <w:sz w:val="28"/>
        </w:rPr>
      </w:pPr>
      <w:r>
        <w:rPr>
          <w:rFonts w:hint="eastAsia" w:ascii="宋体" w:hAnsi="宋体" w:cs="宋体"/>
          <w:b/>
          <w:bCs/>
          <w:color w:val="auto"/>
          <w:sz w:val="28"/>
          <w:szCs w:val="28"/>
          <w:lang w:val="en-US" w:eastAsia="zh-CN"/>
        </w:rPr>
        <w:t>（五）</w:t>
      </w:r>
      <w:r>
        <w:rPr>
          <w:rFonts w:hint="eastAsia" w:ascii="宋体" w:hAnsi="宋体"/>
          <w:b/>
          <w:color w:val="auto"/>
          <w:sz w:val="28"/>
        </w:rPr>
        <w:t>承 诺</w:t>
      </w:r>
    </w:p>
    <w:p w14:paraId="0EE34C1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DDC2FA2">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22A6F23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71ECEC0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22FD0A84">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0056221">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507BC927">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8845A96">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0145BF81">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1FDC581C">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5991EEFA">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4BE7F9C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E454479">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43F26870">
      <w:pPr>
        <w:kinsoku/>
        <w:overflowPunct/>
        <w:topLinePunct w:val="0"/>
        <w:bidi w:val="0"/>
        <w:ind w:left="0" w:leftChars="0" w:right="0" w:rightChars="0" w:firstLine="600" w:firstLineChars="200"/>
        <w:jc w:val="both"/>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8317"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79"/>
        <w:gridCol w:w="1042"/>
        <w:gridCol w:w="855"/>
        <w:gridCol w:w="732"/>
        <w:gridCol w:w="1099"/>
        <w:gridCol w:w="732"/>
        <w:gridCol w:w="732"/>
        <w:gridCol w:w="977"/>
        <w:gridCol w:w="86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8" w:hRule="atLeast"/>
        </w:trPr>
        <w:tc>
          <w:tcPr>
            <w:tcW w:w="127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04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85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09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732"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977"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86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8" w:hRule="atLeast"/>
        </w:trPr>
        <w:tc>
          <w:tcPr>
            <w:tcW w:w="127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04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09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732"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977"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86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76" w:hRule="atLeast"/>
        </w:trPr>
        <w:tc>
          <w:tcPr>
            <w:tcW w:w="8317"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44E6EB5">
      <w:pPr>
        <w:spacing w:line="360" w:lineRule="exact"/>
        <w:rPr>
          <w:rFonts w:hint="eastAsia" w:ascii="黑体" w:hAnsi="黑体" w:eastAsia="黑体" w:cs="宋体"/>
          <w:b/>
          <w:kern w:val="0"/>
          <w:sz w:val="28"/>
          <w:szCs w:val="28"/>
          <w:lang w:val="en-US" w:eastAsia="zh-CN"/>
        </w:rPr>
      </w:pPr>
    </w:p>
    <w:p w14:paraId="7822A4FF">
      <w:pPr>
        <w:spacing w:line="360" w:lineRule="exact"/>
        <w:rPr>
          <w:rFonts w:hint="eastAsia" w:ascii="黑体" w:hAnsi="黑体" w:eastAsia="黑体" w:cs="宋体"/>
          <w:b/>
          <w:kern w:val="0"/>
          <w:sz w:val="28"/>
          <w:szCs w:val="28"/>
          <w:lang w:val="en-US" w:eastAsia="zh-CN"/>
        </w:rPr>
      </w:pPr>
    </w:p>
    <w:p w14:paraId="3FFF88D3">
      <w:pPr>
        <w:spacing w:line="360" w:lineRule="exact"/>
        <w:rPr>
          <w:rFonts w:hint="eastAsia" w:ascii="黑体" w:hAnsi="黑体" w:eastAsia="黑体" w:cs="宋体"/>
          <w:b/>
          <w:kern w:val="0"/>
          <w:sz w:val="28"/>
          <w:szCs w:val="28"/>
          <w:lang w:val="en-US" w:eastAsia="zh-CN"/>
        </w:rPr>
      </w:pPr>
    </w:p>
    <w:p w14:paraId="5477D0AD">
      <w:pPr>
        <w:spacing w:line="360" w:lineRule="exact"/>
        <w:rPr>
          <w:rFonts w:hint="eastAsia" w:ascii="黑体" w:hAnsi="黑体" w:eastAsia="黑体" w:cs="宋体"/>
          <w:b/>
          <w:kern w:val="0"/>
          <w:sz w:val="28"/>
          <w:szCs w:val="28"/>
          <w:lang w:val="en-US" w:eastAsia="zh-CN"/>
        </w:rPr>
      </w:pPr>
    </w:p>
    <w:p w14:paraId="2EA2DD03">
      <w:pPr>
        <w:spacing w:line="360" w:lineRule="exact"/>
        <w:rPr>
          <w:rFonts w:hint="eastAsia" w:ascii="黑体" w:hAnsi="黑体" w:eastAsia="黑体" w:cs="宋体"/>
          <w:b/>
          <w:kern w:val="0"/>
          <w:sz w:val="28"/>
          <w:szCs w:val="28"/>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p w14:paraId="235674A9">
      <w:pPr>
        <w:spacing w:line="360" w:lineRule="exact"/>
        <w:rPr>
          <w:rFonts w:hint="eastAsia" w:ascii="黑体" w:hAnsi="黑体" w:eastAsia="黑体" w:cs="宋体"/>
          <w:b/>
          <w:kern w:val="0"/>
          <w:sz w:val="28"/>
          <w:szCs w:val="28"/>
        </w:rPr>
      </w:pPr>
    </w:p>
    <w:sectPr>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B883">
    <w:pPr>
      <w:pStyle w:val="9"/>
      <w:framePr w:wrap="around" w:vAnchor="text" w:hAnchor="margin" w:xAlign="center" w:y="1"/>
      <w:rPr>
        <w:rStyle w:val="21"/>
      </w:rPr>
    </w:pPr>
    <w:r>
      <w:fldChar w:fldCharType="begin"/>
    </w:r>
    <w:r>
      <w:rPr>
        <w:rStyle w:val="21"/>
      </w:rPr>
      <w:instrText xml:space="preserve">PAGE  </w:instrText>
    </w:r>
    <w:r>
      <w:fldChar w:fldCharType="end"/>
    </w:r>
  </w:p>
  <w:p w14:paraId="4F0F150C">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91C9B">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3C746330">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D1736D"/>
    <w:rsid w:val="05573D16"/>
    <w:rsid w:val="057443B4"/>
    <w:rsid w:val="05965135"/>
    <w:rsid w:val="05C017FD"/>
    <w:rsid w:val="0687687D"/>
    <w:rsid w:val="06F2489E"/>
    <w:rsid w:val="070268E6"/>
    <w:rsid w:val="07501427"/>
    <w:rsid w:val="076636BD"/>
    <w:rsid w:val="094A00EB"/>
    <w:rsid w:val="094D7C7A"/>
    <w:rsid w:val="097507C7"/>
    <w:rsid w:val="097D22E2"/>
    <w:rsid w:val="09AD2157"/>
    <w:rsid w:val="0A0E5EE4"/>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7C91B5C"/>
    <w:rsid w:val="1898675D"/>
    <w:rsid w:val="190E59FE"/>
    <w:rsid w:val="19393A07"/>
    <w:rsid w:val="1A294B27"/>
    <w:rsid w:val="1A683441"/>
    <w:rsid w:val="1C4C57FF"/>
    <w:rsid w:val="1D64697C"/>
    <w:rsid w:val="1DD969AB"/>
    <w:rsid w:val="1ED14404"/>
    <w:rsid w:val="1EF74148"/>
    <w:rsid w:val="1FA15E62"/>
    <w:rsid w:val="1FDB7383"/>
    <w:rsid w:val="20A629C0"/>
    <w:rsid w:val="21196F94"/>
    <w:rsid w:val="21263865"/>
    <w:rsid w:val="213571AA"/>
    <w:rsid w:val="217D645B"/>
    <w:rsid w:val="21843C8D"/>
    <w:rsid w:val="2199230D"/>
    <w:rsid w:val="21F13065"/>
    <w:rsid w:val="22A07CA6"/>
    <w:rsid w:val="237F15B6"/>
    <w:rsid w:val="240E783E"/>
    <w:rsid w:val="246966F1"/>
    <w:rsid w:val="2470465E"/>
    <w:rsid w:val="24F6510A"/>
    <w:rsid w:val="24FA55ED"/>
    <w:rsid w:val="25CC5B88"/>
    <w:rsid w:val="25EA69AA"/>
    <w:rsid w:val="26933E36"/>
    <w:rsid w:val="26BC19A6"/>
    <w:rsid w:val="279E3E6D"/>
    <w:rsid w:val="27A73E71"/>
    <w:rsid w:val="27B8643F"/>
    <w:rsid w:val="28142669"/>
    <w:rsid w:val="28564D7B"/>
    <w:rsid w:val="289607B9"/>
    <w:rsid w:val="28F11C08"/>
    <w:rsid w:val="28F7661E"/>
    <w:rsid w:val="290166AE"/>
    <w:rsid w:val="2A494963"/>
    <w:rsid w:val="2A5A72A6"/>
    <w:rsid w:val="2A7A0382"/>
    <w:rsid w:val="2AAB5DE7"/>
    <w:rsid w:val="2AC075D6"/>
    <w:rsid w:val="2B307DC0"/>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6344B95"/>
    <w:rsid w:val="57193C9E"/>
    <w:rsid w:val="57541431"/>
    <w:rsid w:val="576C2775"/>
    <w:rsid w:val="586048F0"/>
    <w:rsid w:val="588549CE"/>
    <w:rsid w:val="58AE7DA1"/>
    <w:rsid w:val="58DD7D9A"/>
    <w:rsid w:val="59AD4E28"/>
    <w:rsid w:val="5B1D65E8"/>
    <w:rsid w:val="5C8C341B"/>
    <w:rsid w:val="5CB34E3A"/>
    <w:rsid w:val="5D152C97"/>
    <w:rsid w:val="5D2F2B1E"/>
    <w:rsid w:val="5DEF5A0F"/>
    <w:rsid w:val="5DF72B16"/>
    <w:rsid w:val="5ECA3D86"/>
    <w:rsid w:val="5F4D50E3"/>
    <w:rsid w:val="60303C60"/>
    <w:rsid w:val="61E15FB7"/>
    <w:rsid w:val="61FF08A1"/>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573E86"/>
    <w:rsid w:val="6DCF182B"/>
    <w:rsid w:val="6EC26D02"/>
    <w:rsid w:val="6F712728"/>
    <w:rsid w:val="6FF06CE8"/>
    <w:rsid w:val="71710FBA"/>
    <w:rsid w:val="72F9402A"/>
    <w:rsid w:val="730E1804"/>
    <w:rsid w:val="733A4279"/>
    <w:rsid w:val="74125240"/>
    <w:rsid w:val="74D06143"/>
    <w:rsid w:val="75284014"/>
    <w:rsid w:val="75D4756D"/>
    <w:rsid w:val="75E36E5B"/>
    <w:rsid w:val="761717A4"/>
    <w:rsid w:val="775744D2"/>
    <w:rsid w:val="77E24ED1"/>
    <w:rsid w:val="789E730E"/>
    <w:rsid w:val="79042BD4"/>
    <w:rsid w:val="7A450456"/>
    <w:rsid w:val="7AC516D6"/>
    <w:rsid w:val="7BBE5F26"/>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4321</Words>
  <Characters>4634</Characters>
  <Lines>16</Lines>
  <Paragraphs>4</Paragraphs>
  <TotalTime>2</TotalTime>
  <ScaleCrop>false</ScaleCrop>
  <LinksUpToDate>false</LinksUpToDate>
  <CharactersWithSpaces>5578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WPS_1670251159</cp:lastModifiedBy>
  <dcterms:modified xsi:type="dcterms:W3CDTF">2026-09-14T04:02:54Z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eyJoZGlkIjoiMGQwMGEwNjlkNTk0MzUyMTAwMDU0YjA2NTBmMGFhZGYiLCJ1c2VySWQiOiIxNDU2MzUxMzk1In0=</vt:lpwstr>
  </property>
  <property fmtid="{D5CDD505-2E9C-101B-9397-08002B2CF9AE}" pid="3" name="KSOProductBuildVer">
    <vt:lpwstr>2052-12.1.0.28505</vt:lpwstr>
  </property>
  <property fmtid="{D5CDD505-2E9C-101B-9397-08002B2CF9AE}" pid="4" name="ICV">
    <vt:lpwstr>E8A1E8667D774899986600B51764B063_13</vt:lpwstr>
  </property>
</Properties>
</file>