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EAA6D">
      <w:pPr>
        <w:autoSpaceDE w:val="0"/>
        <w:autoSpaceDN w:val="0"/>
        <w:adjustRightInd w:val="0"/>
        <w:spacing w:before="100" w:after="100"/>
        <w:jc w:val="center"/>
        <w:rPr>
          <w:rFonts w:ascii="宋体" w:hAnsi="宋体" w:eastAsia="宋体" w:cs="宋体"/>
          <w:b/>
          <w:bCs/>
          <w:color w:val="FF0000"/>
          <w:sz w:val="48"/>
          <w:szCs w:val="48"/>
        </w:rPr>
      </w:pPr>
      <w:r>
        <w:rPr>
          <w:rFonts w:hint="eastAsia" w:ascii="宋体" w:hAnsi="宋体" w:eastAsia="宋体" w:cs="宋体"/>
          <w:b/>
          <w:bCs/>
          <w:color w:val="FF0000"/>
          <w:sz w:val="48"/>
          <w:szCs w:val="48"/>
        </w:rPr>
        <w:t>四川宏达股份有限公司</w:t>
      </w:r>
    </w:p>
    <w:p w14:paraId="6A507896">
      <w:pPr>
        <w:autoSpaceDE w:val="0"/>
        <w:autoSpaceDN w:val="0"/>
        <w:adjustRightInd w:val="0"/>
        <w:spacing w:before="100" w:after="100"/>
        <w:jc w:val="center"/>
        <w:rPr>
          <w:rFonts w:ascii="宋体" w:hAnsi="宋体" w:eastAsia="宋体" w:cs="黑体"/>
          <w:color w:val="FF0000"/>
          <w:sz w:val="40"/>
          <w:szCs w:val="40"/>
          <w:lang w:val="zh-CN"/>
        </w:rPr>
      </w:pPr>
      <w:r>
        <w:rPr>
          <w:rFonts w:hint="eastAsia" w:ascii="宋体" w:hAnsi="宋体" w:eastAsia="宋体" w:cs="宋体"/>
          <w:b/>
          <w:bCs/>
          <w:color w:val="FF0000"/>
          <w:sz w:val="40"/>
          <w:szCs w:val="40"/>
          <w:lang w:val="en-US" w:eastAsia="zh-CN"/>
        </w:rPr>
        <w:t>什邡洛水镇-新疆阿拉尔市磷酸一铵汽车运输服务项目</w:t>
      </w:r>
    </w:p>
    <w:p w14:paraId="770427F8">
      <w:pPr>
        <w:widowControl/>
        <w:jc w:val="center"/>
        <w:rPr>
          <w:rFonts w:ascii="宋体" w:hAnsi="宋体" w:eastAsia="宋体" w:cs="Times New Roman"/>
          <w:b/>
          <w:kern w:val="0"/>
          <w:sz w:val="72"/>
          <w:szCs w:val="72"/>
        </w:rPr>
      </w:pPr>
    </w:p>
    <w:p w14:paraId="5B955601">
      <w:pPr>
        <w:widowControl/>
        <w:jc w:val="center"/>
        <w:rPr>
          <w:rFonts w:ascii="宋体" w:hAnsi="宋体" w:eastAsia="宋体" w:cs="Times New Roman"/>
          <w:b/>
          <w:kern w:val="0"/>
          <w:sz w:val="72"/>
          <w:szCs w:val="72"/>
        </w:rPr>
      </w:pPr>
    </w:p>
    <w:p w14:paraId="2B990575">
      <w:pPr>
        <w:widowControl/>
        <w:jc w:val="center"/>
        <w:rPr>
          <w:rFonts w:ascii="宋体" w:hAnsi="宋体" w:eastAsia="宋体" w:cs="Times New Roman"/>
          <w:b/>
          <w:kern w:val="0"/>
          <w:sz w:val="72"/>
          <w:szCs w:val="72"/>
        </w:rPr>
      </w:pPr>
    </w:p>
    <w:p w14:paraId="4B33DAF3">
      <w:pPr>
        <w:widowControl/>
        <w:jc w:val="center"/>
        <w:rPr>
          <w:rFonts w:ascii="宋体" w:hAnsi="宋体" w:eastAsia="宋体" w:cs="Times New Roman"/>
          <w:b/>
          <w:kern w:val="0"/>
          <w:sz w:val="72"/>
          <w:szCs w:val="72"/>
        </w:rPr>
      </w:pPr>
      <w:r>
        <w:rPr>
          <w:rFonts w:hint="eastAsia" w:ascii="宋体" w:hAnsi="宋体" w:eastAsia="宋体" w:cs="Times New Roman"/>
          <w:b/>
          <w:kern w:val="0"/>
          <w:sz w:val="72"/>
          <w:szCs w:val="72"/>
        </w:rPr>
        <w:t>比选文件</w:t>
      </w:r>
    </w:p>
    <w:p w14:paraId="74C91067">
      <w:pPr>
        <w:spacing w:line="360" w:lineRule="auto"/>
        <w:ind w:left="-2" w:leftChars="-1"/>
        <w:jc w:val="center"/>
        <w:rPr>
          <w:rFonts w:ascii="Times New Roman" w:hAnsi="Times New Roman" w:eastAsia="宋体" w:cs="Times New Roman"/>
          <w:sz w:val="24"/>
        </w:rPr>
      </w:pPr>
      <w:r>
        <w:rPr>
          <w:rFonts w:hint="eastAsia" w:ascii="黑体" w:hAnsi="黑体" w:eastAsia="黑体" w:cs="宋体"/>
          <w:b/>
          <w:color w:val="FF0000"/>
          <w:kern w:val="0"/>
          <w:sz w:val="32"/>
          <w:szCs w:val="32"/>
        </w:rPr>
        <w:t>编号：</w:t>
      </w:r>
      <w:r>
        <w:rPr>
          <w:rFonts w:hint="eastAsia" w:ascii="黑体" w:hAnsi="黑体" w:eastAsia="黑体" w:cs="宋体"/>
          <w:b/>
          <w:color w:val="FF0000"/>
          <w:kern w:val="0"/>
          <w:sz w:val="32"/>
          <w:szCs w:val="32"/>
          <w:lang w:val="en-US" w:eastAsia="zh-CN"/>
        </w:rPr>
        <w:t>L</w:t>
      </w:r>
      <w:r>
        <w:rPr>
          <w:rFonts w:hint="eastAsia" w:ascii="黑体" w:hAnsi="黑体" w:eastAsia="黑体" w:cs="宋体"/>
          <w:b/>
          <w:color w:val="FF0000"/>
          <w:kern w:val="0"/>
          <w:sz w:val="32"/>
          <w:szCs w:val="32"/>
        </w:rPr>
        <w:t>F-202</w:t>
      </w:r>
      <w:r>
        <w:rPr>
          <w:rFonts w:hint="eastAsia" w:ascii="黑体" w:hAnsi="黑体" w:eastAsia="黑体" w:cs="宋体"/>
          <w:b/>
          <w:color w:val="FF0000"/>
          <w:kern w:val="0"/>
          <w:sz w:val="32"/>
          <w:szCs w:val="32"/>
          <w:lang w:val="en-US" w:eastAsia="zh-CN"/>
        </w:rPr>
        <w:t>609</w:t>
      </w:r>
      <w:r>
        <w:rPr>
          <w:rFonts w:hint="eastAsia" w:ascii="黑体" w:hAnsi="黑体" w:eastAsia="黑体" w:cs="宋体"/>
          <w:b/>
          <w:color w:val="FF0000"/>
          <w:kern w:val="0"/>
          <w:sz w:val="32"/>
          <w:szCs w:val="32"/>
        </w:rPr>
        <w:t>-0</w:t>
      </w:r>
      <w:r>
        <w:rPr>
          <w:rFonts w:hint="eastAsia" w:ascii="黑体" w:hAnsi="黑体" w:eastAsia="黑体" w:cs="宋体"/>
          <w:b/>
          <w:color w:val="FF0000"/>
          <w:kern w:val="0"/>
          <w:sz w:val="32"/>
          <w:szCs w:val="32"/>
          <w:lang w:val="en-US" w:eastAsia="zh-CN"/>
        </w:rPr>
        <w:t>02</w:t>
      </w:r>
      <w:r>
        <w:rPr>
          <w:rFonts w:hint="eastAsia" w:ascii="黑体" w:hAnsi="黑体" w:eastAsia="黑体" w:cs="宋体"/>
          <w:b/>
          <w:color w:val="FF0000"/>
          <w:kern w:val="0"/>
          <w:sz w:val="32"/>
          <w:szCs w:val="32"/>
        </w:rPr>
        <w:t xml:space="preserve"> </w:t>
      </w:r>
    </w:p>
    <w:p w14:paraId="1215EABD">
      <w:pPr>
        <w:spacing w:line="480" w:lineRule="auto"/>
        <w:ind w:left="1050" w:leftChars="500" w:right="1050" w:rightChars="500"/>
        <w:jc w:val="center"/>
        <w:rPr>
          <w:rFonts w:ascii="宋体" w:hAnsi="宋体" w:eastAsia="宋体" w:cs="Times New Roman"/>
          <w:sz w:val="48"/>
          <w:szCs w:val="48"/>
          <w:lang w:val="zh-CN"/>
        </w:rPr>
      </w:pPr>
    </w:p>
    <w:p w14:paraId="0FDD9A47">
      <w:pPr>
        <w:spacing w:line="480" w:lineRule="auto"/>
        <w:ind w:left="1050" w:leftChars="500" w:right="1050" w:rightChars="500"/>
        <w:jc w:val="center"/>
        <w:rPr>
          <w:rFonts w:ascii="宋体" w:hAnsi="宋体" w:eastAsia="宋体" w:cs="Times New Roman"/>
          <w:sz w:val="48"/>
          <w:szCs w:val="48"/>
          <w:lang w:val="zh-CN"/>
        </w:rPr>
      </w:pPr>
    </w:p>
    <w:p w14:paraId="1ED2AE19">
      <w:pPr>
        <w:spacing w:line="480" w:lineRule="auto"/>
        <w:ind w:left="1050" w:leftChars="500" w:right="1050" w:rightChars="500"/>
        <w:jc w:val="center"/>
        <w:rPr>
          <w:rFonts w:ascii="宋体" w:hAnsi="宋体" w:eastAsia="宋体" w:cs="Times New Roman"/>
          <w:sz w:val="48"/>
          <w:szCs w:val="48"/>
          <w:lang w:val="zh-CN"/>
        </w:rPr>
      </w:pPr>
    </w:p>
    <w:p w14:paraId="0D91C735">
      <w:pPr>
        <w:spacing w:line="480" w:lineRule="auto"/>
        <w:ind w:left="1050" w:leftChars="500" w:right="1050" w:rightChars="500"/>
        <w:jc w:val="center"/>
        <w:rPr>
          <w:rFonts w:ascii="宋体" w:hAnsi="宋体" w:eastAsia="宋体" w:cs="Times New Roman"/>
          <w:b/>
          <w:bCs/>
          <w:color w:val="000000"/>
          <w:sz w:val="30"/>
          <w:szCs w:val="30"/>
          <w:u w:val="single"/>
        </w:rPr>
      </w:pPr>
      <w:r>
        <w:rPr>
          <w:rFonts w:hint="eastAsia" w:ascii="宋体" w:hAnsi="宋体" w:eastAsia="宋体" w:cs="Times New Roman"/>
          <w:b/>
          <w:bCs/>
          <w:sz w:val="30"/>
          <w:szCs w:val="30"/>
        </w:rPr>
        <w:t>比选人</w:t>
      </w:r>
      <w:r>
        <w:rPr>
          <w:rFonts w:hint="eastAsia" w:ascii="宋体" w:hAnsi="宋体" w:eastAsia="宋体" w:cs="Times New Roman"/>
          <w:b/>
          <w:bCs/>
          <w:color w:val="000000"/>
          <w:sz w:val="30"/>
          <w:szCs w:val="30"/>
        </w:rPr>
        <w:t>：</w:t>
      </w:r>
      <w:r>
        <w:rPr>
          <w:rFonts w:hint="eastAsia" w:ascii="宋体" w:hAnsi="宋体" w:eastAsia="宋体" w:cs="Times New Roman"/>
          <w:b/>
          <w:bCs/>
          <w:color w:val="000000"/>
          <w:sz w:val="30"/>
          <w:szCs w:val="30"/>
          <w:u w:val="single"/>
        </w:rPr>
        <w:t>四川宏达股份有限公司</w:t>
      </w:r>
    </w:p>
    <w:p w14:paraId="03DFDB77">
      <w:pPr>
        <w:autoSpaceDE w:val="0"/>
        <w:autoSpaceDN w:val="0"/>
        <w:adjustRightInd w:val="0"/>
        <w:spacing w:line="480" w:lineRule="auto"/>
        <w:jc w:val="center"/>
        <w:rPr>
          <w:rFonts w:hint="eastAsia" w:ascii="宋体" w:hAnsi="宋体" w:eastAsia="宋体" w:cs="黑体"/>
          <w:b/>
          <w:bCs/>
          <w:sz w:val="30"/>
          <w:szCs w:val="30"/>
        </w:rPr>
      </w:pPr>
      <w:r>
        <w:rPr>
          <w:rFonts w:hint="eastAsia" w:ascii="宋体" w:hAnsi="宋体" w:eastAsia="宋体" w:cs="黑体"/>
          <w:b/>
          <w:bCs/>
          <w:sz w:val="30"/>
          <w:szCs w:val="30"/>
          <w:lang w:val="zh-CN"/>
        </w:rPr>
        <w:t>20</w:t>
      </w:r>
      <w:r>
        <w:rPr>
          <w:rFonts w:hint="eastAsia" w:ascii="宋体" w:hAnsi="宋体" w:eastAsia="宋体" w:cs="黑体"/>
          <w:b/>
          <w:bCs/>
          <w:sz w:val="30"/>
          <w:szCs w:val="30"/>
        </w:rPr>
        <w:t>2</w:t>
      </w:r>
      <w:r>
        <w:rPr>
          <w:rFonts w:hint="eastAsia" w:ascii="宋体" w:hAnsi="宋体" w:eastAsia="宋体" w:cs="黑体"/>
          <w:b/>
          <w:bCs/>
          <w:sz w:val="30"/>
          <w:szCs w:val="30"/>
          <w:lang w:val="en-US" w:eastAsia="zh-CN"/>
        </w:rPr>
        <w:t xml:space="preserve">6 </w:t>
      </w:r>
      <w:r>
        <w:rPr>
          <w:rFonts w:hint="eastAsia" w:ascii="宋体" w:hAnsi="宋体" w:eastAsia="宋体" w:cs="黑体"/>
          <w:b/>
          <w:bCs/>
          <w:sz w:val="30"/>
          <w:szCs w:val="30"/>
          <w:lang w:val="zh-CN"/>
        </w:rPr>
        <w:t>年</w:t>
      </w:r>
      <w:r>
        <w:rPr>
          <w:rFonts w:hint="eastAsia" w:ascii="宋体" w:hAnsi="宋体" w:eastAsia="宋体" w:cs="黑体"/>
          <w:b/>
          <w:bCs/>
          <w:sz w:val="30"/>
          <w:szCs w:val="30"/>
        </w:rPr>
        <w:t xml:space="preserve"> </w:t>
      </w:r>
      <w:r>
        <w:rPr>
          <w:rFonts w:hint="eastAsia" w:ascii="宋体" w:hAnsi="宋体" w:eastAsia="宋体" w:cs="黑体"/>
          <w:b/>
          <w:bCs/>
          <w:sz w:val="30"/>
          <w:szCs w:val="30"/>
          <w:lang w:val="en-US" w:eastAsia="zh-CN"/>
        </w:rPr>
        <w:t>9</w:t>
      </w:r>
      <w:r>
        <w:rPr>
          <w:rFonts w:hint="eastAsia" w:ascii="宋体" w:hAnsi="宋体" w:eastAsia="宋体" w:cs="黑体"/>
          <w:b/>
          <w:bCs/>
          <w:sz w:val="30"/>
          <w:szCs w:val="30"/>
        </w:rPr>
        <w:t xml:space="preserve"> 月 </w:t>
      </w:r>
      <w:r>
        <w:rPr>
          <w:rFonts w:hint="eastAsia" w:ascii="宋体" w:hAnsi="宋体" w:eastAsia="宋体" w:cs="黑体"/>
          <w:b/>
          <w:bCs/>
          <w:sz w:val="30"/>
          <w:szCs w:val="30"/>
          <w:lang w:val="en-US" w:eastAsia="zh-CN"/>
        </w:rPr>
        <w:t>10</w:t>
      </w:r>
      <w:r>
        <w:rPr>
          <w:rFonts w:hint="eastAsia" w:ascii="宋体" w:hAnsi="宋体" w:eastAsia="宋体" w:cs="黑体"/>
          <w:b/>
          <w:bCs/>
          <w:sz w:val="30"/>
          <w:szCs w:val="30"/>
        </w:rPr>
        <w:t xml:space="preserve"> 日</w:t>
      </w:r>
    </w:p>
    <w:p w14:paraId="21A73B0F">
      <w:pPr>
        <w:autoSpaceDE w:val="0"/>
        <w:autoSpaceDN w:val="0"/>
        <w:adjustRightInd w:val="0"/>
        <w:spacing w:line="480" w:lineRule="auto"/>
        <w:jc w:val="center"/>
        <w:rPr>
          <w:rFonts w:hint="eastAsia" w:ascii="宋体" w:hAnsi="宋体" w:eastAsia="宋体" w:cs="黑体"/>
          <w:b/>
          <w:bCs/>
          <w:sz w:val="30"/>
          <w:szCs w:val="30"/>
        </w:rPr>
      </w:pPr>
    </w:p>
    <w:p w14:paraId="46390529">
      <w:pPr>
        <w:autoSpaceDE w:val="0"/>
        <w:autoSpaceDN w:val="0"/>
        <w:adjustRightInd w:val="0"/>
        <w:spacing w:line="480" w:lineRule="auto"/>
        <w:jc w:val="center"/>
        <w:rPr>
          <w:rFonts w:hint="eastAsia" w:ascii="宋体" w:hAnsi="宋体" w:eastAsia="宋体" w:cs="黑体"/>
          <w:b/>
          <w:bCs/>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p>
    <w:p w14:paraId="330DAEFB">
      <w:pPr>
        <w:widowControl/>
        <w:shd w:val="clear" w:color="auto" w:fill="FFFFFF"/>
        <w:spacing w:line="400" w:lineRule="exact"/>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670C944">
      <w:pPr>
        <w:jc w:val="center"/>
        <w:rPr>
          <w:rFonts w:ascii="黑体" w:hAnsi="黑体" w:eastAsia="黑体" w:cs="宋体"/>
          <w:b/>
          <w:color w:val="333333"/>
          <w:kern w:val="0"/>
          <w:sz w:val="28"/>
          <w:szCs w:val="28"/>
        </w:rPr>
      </w:pPr>
      <w:r>
        <w:rPr>
          <w:rFonts w:hint="eastAsia" w:ascii="黑体" w:hAnsi="黑体" w:eastAsia="黑体" w:cs="宋体"/>
          <w:b/>
          <w:color w:val="333333"/>
          <w:kern w:val="0"/>
          <w:sz w:val="28"/>
          <w:szCs w:val="28"/>
          <w:lang w:val="en-US" w:eastAsia="zh-CN"/>
        </w:rPr>
        <w:t>什邡洛水镇--新疆阿拉尔市磷酸一铵汽车运输服务项目</w:t>
      </w:r>
      <w:r>
        <w:rPr>
          <w:rFonts w:hint="eastAsia" w:ascii="黑体" w:hAnsi="黑体" w:eastAsia="黑体" w:cs="宋体"/>
          <w:b/>
          <w:color w:val="333333"/>
          <w:kern w:val="0"/>
          <w:sz w:val="28"/>
          <w:szCs w:val="28"/>
        </w:rPr>
        <w:t>比选文件</w:t>
      </w:r>
    </w:p>
    <w:p w14:paraId="424E7A9A">
      <w:pPr>
        <w:spacing w:line="360" w:lineRule="auto"/>
        <w:jc w:val="center"/>
        <w:rPr>
          <w:rFonts w:hint="default" w:ascii="Times New Roman" w:hAnsi="Times New Roman" w:eastAsia="宋体" w:cs="Times New Roman"/>
          <w:szCs w:val="21"/>
          <w:lang w:val="en-US"/>
        </w:rPr>
      </w:pPr>
      <w:r>
        <w:rPr>
          <w:rFonts w:hint="eastAsia" w:ascii="黑体" w:hAnsi="黑体" w:eastAsia="黑体" w:cs="宋体"/>
          <w:b/>
          <w:color w:val="FF0000"/>
          <w:kern w:val="0"/>
          <w:szCs w:val="21"/>
        </w:rPr>
        <w:t>编号：</w:t>
      </w:r>
      <w:r>
        <w:rPr>
          <w:rFonts w:hint="eastAsia" w:ascii="黑体" w:hAnsi="黑体" w:eastAsia="黑体" w:cs="宋体"/>
          <w:b/>
          <w:color w:val="FF0000"/>
          <w:kern w:val="0"/>
          <w:szCs w:val="21"/>
          <w:lang w:val="en-US" w:eastAsia="zh-CN"/>
        </w:rPr>
        <w:t>L</w:t>
      </w:r>
      <w:r>
        <w:rPr>
          <w:rFonts w:hint="eastAsia" w:ascii="黑体" w:hAnsi="黑体" w:eastAsia="黑体" w:cs="宋体"/>
          <w:b/>
          <w:color w:val="FF0000"/>
          <w:kern w:val="0"/>
          <w:szCs w:val="21"/>
        </w:rPr>
        <w:t>F-202</w:t>
      </w:r>
      <w:r>
        <w:rPr>
          <w:rFonts w:hint="eastAsia" w:ascii="黑体" w:hAnsi="黑体" w:eastAsia="黑体" w:cs="宋体"/>
          <w:b/>
          <w:color w:val="FF0000"/>
          <w:kern w:val="0"/>
          <w:szCs w:val="21"/>
          <w:lang w:val="en-US" w:eastAsia="zh-CN"/>
        </w:rPr>
        <w:t>609</w:t>
      </w:r>
      <w:r>
        <w:rPr>
          <w:rFonts w:hint="eastAsia" w:ascii="黑体" w:hAnsi="黑体" w:eastAsia="黑体" w:cs="宋体"/>
          <w:b/>
          <w:color w:val="FF0000"/>
          <w:kern w:val="0"/>
          <w:szCs w:val="21"/>
        </w:rPr>
        <w:t>-0</w:t>
      </w:r>
      <w:r>
        <w:rPr>
          <w:rFonts w:hint="eastAsia" w:ascii="黑体" w:hAnsi="黑体" w:eastAsia="黑体" w:cs="宋体"/>
          <w:b/>
          <w:color w:val="FF0000"/>
          <w:kern w:val="0"/>
          <w:szCs w:val="21"/>
          <w:lang w:val="en-US" w:eastAsia="zh-CN"/>
        </w:rPr>
        <w:t>02</w:t>
      </w:r>
    </w:p>
    <w:p w14:paraId="041C332E">
      <w:pPr>
        <w:spacing w:line="360" w:lineRule="exact"/>
        <w:rPr>
          <w:rFonts w:ascii="黑体" w:hAnsi="黑体" w:eastAsia="黑体" w:cs="Times New Roman"/>
          <w:b/>
          <w:szCs w:val="21"/>
        </w:rPr>
      </w:pPr>
      <w:r>
        <w:rPr>
          <w:rFonts w:hint="eastAsia" w:ascii="黑体" w:hAnsi="黑体" w:eastAsia="黑体" w:cs="Times New Roman"/>
          <w:b/>
          <w:szCs w:val="21"/>
        </w:rPr>
        <w:t>各</w:t>
      </w:r>
      <w:r>
        <w:rPr>
          <w:rFonts w:hint="eastAsia" w:ascii="黑体" w:hAnsi="黑体" w:eastAsia="黑体" w:cs="Times New Roman"/>
          <w:b/>
          <w:szCs w:val="21"/>
          <w:lang w:val="en-US" w:eastAsia="zh-CN"/>
        </w:rPr>
        <w:t>承运</w:t>
      </w:r>
      <w:r>
        <w:rPr>
          <w:rFonts w:hint="eastAsia" w:ascii="黑体" w:hAnsi="黑体" w:eastAsia="黑体" w:cs="Times New Roman"/>
          <w:b/>
          <w:szCs w:val="21"/>
        </w:rPr>
        <w:t>单位：</w:t>
      </w:r>
    </w:p>
    <w:p w14:paraId="1A5B40FC">
      <w:pPr>
        <w:spacing w:line="360" w:lineRule="exact"/>
        <w:ind w:firstLine="420" w:firstLineChars="200"/>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四川宏达股份有限公司</w:t>
      </w:r>
      <w:r>
        <w:rPr>
          <w:rFonts w:hint="eastAsia" w:ascii="微软雅黑" w:hAnsi="微软雅黑" w:eastAsia="微软雅黑" w:cs="微软雅黑"/>
          <w:kern w:val="0"/>
          <w:sz w:val="21"/>
          <w:szCs w:val="21"/>
          <w:lang w:val="en-US" w:eastAsia="zh-CN"/>
        </w:rPr>
        <w:t>磷肥销售中心</w:t>
      </w:r>
      <w:r>
        <w:rPr>
          <w:rFonts w:hint="eastAsia" w:ascii="微软雅黑" w:hAnsi="微软雅黑" w:eastAsia="微软雅黑" w:cs="微软雅黑"/>
          <w:kern w:val="0"/>
          <w:sz w:val="21"/>
          <w:szCs w:val="21"/>
        </w:rPr>
        <w:t>因有</w:t>
      </w:r>
      <w:r>
        <w:rPr>
          <w:rFonts w:hint="eastAsia" w:ascii="微软雅黑" w:hAnsi="微软雅黑" w:eastAsia="微软雅黑" w:cs="微软雅黑"/>
          <w:kern w:val="0"/>
          <w:sz w:val="21"/>
          <w:szCs w:val="21"/>
          <w:lang w:val="en-US" w:eastAsia="zh-CN"/>
        </w:rPr>
        <w:t>2200</w:t>
      </w:r>
      <w:r>
        <w:rPr>
          <w:rFonts w:hint="eastAsia" w:ascii="微软雅黑" w:hAnsi="微软雅黑" w:eastAsia="微软雅黑" w:cs="微软雅黑"/>
          <w:kern w:val="0"/>
          <w:sz w:val="21"/>
          <w:szCs w:val="21"/>
        </w:rPr>
        <w:t>吨</w:t>
      </w:r>
      <w:r>
        <w:rPr>
          <w:rFonts w:hint="eastAsia" w:ascii="微软雅黑" w:hAnsi="微软雅黑" w:eastAsia="微软雅黑" w:cs="微软雅黑"/>
          <w:kern w:val="0"/>
          <w:sz w:val="21"/>
          <w:szCs w:val="21"/>
          <w:lang w:val="en-US" w:eastAsia="zh-CN"/>
        </w:rPr>
        <w:t>55</w:t>
      </w:r>
      <w:r>
        <w:rPr>
          <w:rFonts w:hint="eastAsia" w:ascii="微软雅黑" w:hAnsi="微软雅黑" w:eastAsia="微软雅黑" w:cs="微软雅黑"/>
          <w:kern w:val="0"/>
          <w:sz w:val="21"/>
          <w:szCs w:val="21"/>
        </w:rPr>
        <w:t>%</w:t>
      </w:r>
      <w:r>
        <w:rPr>
          <w:rFonts w:hint="eastAsia" w:ascii="微软雅黑" w:hAnsi="微软雅黑" w:eastAsia="微软雅黑" w:cs="微软雅黑"/>
          <w:kern w:val="0"/>
          <w:sz w:val="21"/>
          <w:szCs w:val="21"/>
          <w:lang w:eastAsia="zh-CN"/>
        </w:rPr>
        <w:t>、</w:t>
      </w:r>
      <w:r>
        <w:rPr>
          <w:rFonts w:hint="eastAsia" w:ascii="微软雅黑" w:hAnsi="微软雅黑" w:eastAsia="微软雅黑" w:cs="微软雅黑"/>
          <w:kern w:val="0"/>
          <w:sz w:val="21"/>
          <w:szCs w:val="21"/>
          <w:lang w:val="en-US" w:eastAsia="zh-CN"/>
        </w:rPr>
        <w:t>60%粉状磷酸</w:t>
      </w:r>
      <w:r>
        <w:rPr>
          <w:rFonts w:hint="eastAsia" w:ascii="微软雅黑" w:hAnsi="微软雅黑" w:eastAsia="微软雅黑" w:cs="微软雅黑"/>
          <w:kern w:val="0"/>
          <w:sz w:val="21"/>
          <w:szCs w:val="21"/>
        </w:rPr>
        <w:t>一铵产品需要从</w:t>
      </w:r>
      <w:r>
        <w:rPr>
          <w:rFonts w:hint="eastAsia" w:ascii="微软雅黑" w:hAnsi="微软雅黑" w:eastAsia="微软雅黑" w:cs="微软雅黑"/>
          <w:kern w:val="0"/>
          <w:sz w:val="21"/>
          <w:szCs w:val="21"/>
          <w:lang w:val="en-US" w:eastAsia="zh-CN"/>
        </w:rPr>
        <w:t>什邡洛水镇运输至新疆阿拉尔市，具体运输路线如下：由四川宏达股份有限公司什邡磷化工分公司磷铵库房--新疆阿拉尔市供销惠垦肥业</w:t>
      </w:r>
      <w:r>
        <w:rPr>
          <w:rFonts w:hint="eastAsia" w:ascii="微软雅黑" w:hAnsi="微软雅黑" w:eastAsia="微软雅黑" w:cs="微软雅黑"/>
          <w:i w:val="0"/>
          <w:iCs w:val="0"/>
          <w:caps w:val="0"/>
          <w:color w:val="111111"/>
          <w:spacing w:val="0"/>
          <w:sz w:val="21"/>
          <w:szCs w:val="21"/>
        </w:rPr>
        <w:t>有限</w:t>
      </w:r>
      <w:r>
        <w:rPr>
          <w:rFonts w:hint="eastAsia" w:ascii="微软雅黑" w:hAnsi="微软雅黑" w:eastAsia="微软雅黑" w:cs="微软雅黑"/>
          <w:i w:val="0"/>
          <w:iCs w:val="0"/>
          <w:caps w:val="0"/>
          <w:color w:val="111111"/>
          <w:spacing w:val="0"/>
          <w:sz w:val="21"/>
          <w:szCs w:val="21"/>
          <w:lang w:val="en-US" w:eastAsia="zh-CN"/>
        </w:rPr>
        <w:t>责任</w:t>
      </w:r>
      <w:r>
        <w:rPr>
          <w:rFonts w:hint="eastAsia" w:ascii="微软雅黑" w:hAnsi="微软雅黑" w:eastAsia="微软雅黑" w:cs="微软雅黑"/>
          <w:i w:val="0"/>
          <w:iCs w:val="0"/>
          <w:caps w:val="0"/>
          <w:color w:val="111111"/>
          <w:spacing w:val="0"/>
          <w:sz w:val="21"/>
          <w:szCs w:val="21"/>
        </w:rPr>
        <w:t>公司</w:t>
      </w:r>
      <w:r>
        <w:rPr>
          <w:rFonts w:hint="eastAsia" w:ascii="微软雅黑" w:hAnsi="微软雅黑" w:eastAsia="微软雅黑" w:cs="微软雅黑"/>
          <w:kern w:val="0"/>
          <w:sz w:val="21"/>
          <w:szCs w:val="21"/>
          <w:lang w:val="en-US" w:eastAsia="zh-CN"/>
        </w:rPr>
        <w:t>。</w:t>
      </w:r>
      <w:r>
        <w:rPr>
          <w:rFonts w:hint="eastAsia" w:ascii="微软雅黑" w:hAnsi="微软雅黑" w:eastAsia="微软雅黑" w:cs="微软雅黑"/>
          <w:kern w:val="0"/>
          <w:sz w:val="21"/>
          <w:szCs w:val="21"/>
        </w:rPr>
        <w:t>本着“公开、公平、公正”的原则，现对</w:t>
      </w:r>
      <w:r>
        <w:rPr>
          <w:rFonts w:hint="eastAsia" w:ascii="微软雅黑" w:hAnsi="微软雅黑" w:eastAsia="微软雅黑" w:cs="微软雅黑"/>
          <w:kern w:val="0"/>
          <w:sz w:val="21"/>
          <w:szCs w:val="21"/>
          <w:lang w:val="en-US" w:eastAsia="zh-CN"/>
        </w:rPr>
        <w:t>什邡落水镇运输至新疆阿拉尔市</w:t>
      </w:r>
      <w:r>
        <w:rPr>
          <w:rFonts w:hint="eastAsia" w:ascii="微软雅黑" w:hAnsi="微软雅黑" w:eastAsia="微软雅黑" w:cs="微软雅黑"/>
          <w:kern w:val="0"/>
          <w:sz w:val="21"/>
          <w:szCs w:val="21"/>
        </w:rPr>
        <w:t>磷酸一铵汽车运输服务</w:t>
      </w:r>
      <w:r>
        <w:rPr>
          <w:rFonts w:hint="eastAsia" w:ascii="微软雅黑" w:hAnsi="微软雅黑" w:eastAsia="微软雅黑" w:cs="微软雅黑"/>
          <w:kern w:val="0"/>
          <w:sz w:val="21"/>
          <w:szCs w:val="21"/>
          <w:lang w:val="en-US" w:eastAsia="zh-CN"/>
        </w:rPr>
        <w:t>项目</w:t>
      </w:r>
      <w:r>
        <w:rPr>
          <w:rFonts w:hint="eastAsia" w:ascii="微软雅黑" w:hAnsi="微软雅黑" w:eastAsia="微软雅黑" w:cs="微软雅黑"/>
          <w:kern w:val="0"/>
          <w:sz w:val="21"/>
          <w:szCs w:val="21"/>
        </w:rPr>
        <w:t>进行公开比选。欢迎贵公司前来报价，现将相关事项公告如下：</w:t>
      </w:r>
    </w:p>
    <w:p w14:paraId="45CB5834">
      <w:pPr>
        <w:numPr>
          <w:ilvl w:val="0"/>
          <w:numId w:val="1"/>
        </w:numPr>
        <w:spacing w:line="360" w:lineRule="exact"/>
        <w:rPr>
          <w:rFonts w:ascii="微软雅黑" w:hAnsi="微软雅黑" w:eastAsia="微软雅黑" w:cs="宋体"/>
          <w:kern w:val="0"/>
          <w:szCs w:val="21"/>
        </w:rPr>
      </w:pPr>
      <w:r>
        <w:rPr>
          <w:rFonts w:hint="eastAsia" w:ascii="微软雅黑" w:hAnsi="微软雅黑" w:eastAsia="微软雅黑" w:cs="宋体"/>
          <w:kern w:val="0"/>
          <w:szCs w:val="21"/>
          <w:lang w:val="en-US" w:eastAsia="zh-CN"/>
        </w:rPr>
        <w:t>服务内容</w:t>
      </w:r>
      <w:r>
        <w:rPr>
          <w:rFonts w:hint="eastAsia" w:ascii="微软雅黑" w:hAnsi="微软雅黑" w:eastAsia="微软雅黑" w:cs="宋体"/>
          <w:kern w:val="0"/>
          <w:szCs w:val="21"/>
        </w:rPr>
        <w:t>：</w:t>
      </w:r>
    </w:p>
    <w:p w14:paraId="6805D91A">
      <w:pPr>
        <w:numPr>
          <w:ilvl w:val="0"/>
          <w:numId w:val="0"/>
        </w:numPr>
        <w:spacing w:line="360" w:lineRule="exact"/>
        <w:ind w:leftChars="0"/>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1、运输产品名称</w:t>
      </w:r>
      <w:r>
        <w:rPr>
          <w:rFonts w:hint="eastAsia" w:ascii="宋体" w:hAnsi="宋体" w:eastAsia="宋体" w:cs="宋体"/>
          <w:kern w:val="0"/>
          <w:szCs w:val="21"/>
        </w:rPr>
        <w:t>：</w:t>
      </w:r>
      <w:r>
        <w:rPr>
          <w:rFonts w:hint="eastAsia" w:ascii="宋体" w:hAnsi="宋体" w:eastAsia="宋体" w:cs="宋体"/>
          <w:kern w:val="0"/>
          <w:szCs w:val="21"/>
          <w:lang w:val="en-US" w:eastAsia="zh-CN"/>
        </w:rPr>
        <w:t>55</w:t>
      </w:r>
      <w:r>
        <w:rPr>
          <w:rFonts w:hint="eastAsia" w:eastAsia="宋体" w:cs="宋体" w:asciiTheme="minorEastAsia" w:hAnsiTheme="minorEastAsia"/>
          <w:kern w:val="0"/>
          <w:szCs w:val="21"/>
          <w:lang w:val="en-US" w:eastAsia="zh-CN"/>
        </w:rPr>
        <w:t>%、60%粉状磷酸一铵</w:t>
      </w:r>
    </w:p>
    <w:p w14:paraId="62BFF7CC">
      <w:pPr>
        <w:numPr>
          <w:ilvl w:val="0"/>
          <w:numId w:val="0"/>
        </w:numPr>
        <w:spacing w:line="360" w:lineRule="exact"/>
        <w:ind w:leftChars="0"/>
        <w:rPr>
          <w:rFonts w:hint="eastAsia" w:ascii="宋体" w:hAnsi="宋体" w:eastAsia="宋体" w:cs="宋体"/>
          <w:kern w:val="0"/>
          <w:szCs w:val="21"/>
        </w:rPr>
      </w:pPr>
      <w:r>
        <w:rPr>
          <w:rFonts w:hint="eastAsia" w:ascii="宋体" w:hAnsi="宋体" w:eastAsia="宋体" w:cs="宋体"/>
          <w:kern w:val="0"/>
          <w:szCs w:val="21"/>
          <w:lang w:val="en-US" w:eastAsia="zh-CN"/>
        </w:rPr>
        <w:t>2、</w:t>
      </w:r>
      <w:r>
        <w:rPr>
          <w:rFonts w:hint="eastAsia" w:ascii="宋体" w:hAnsi="宋体" w:eastAsia="宋体" w:cs="宋体"/>
          <w:kern w:val="0"/>
          <w:szCs w:val="21"/>
        </w:rPr>
        <w:t>数量：</w:t>
      </w:r>
      <w:r>
        <w:rPr>
          <w:rFonts w:hint="eastAsia" w:ascii="宋体" w:hAnsi="宋体" w:eastAsia="宋体" w:cs="宋体"/>
          <w:kern w:val="0"/>
          <w:szCs w:val="21"/>
          <w:lang w:val="en-US" w:eastAsia="zh-CN"/>
        </w:rPr>
        <w:t>2200</w:t>
      </w:r>
      <w:r>
        <w:rPr>
          <w:rFonts w:hint="eastAsia" w:ascii="宋体" w:hAnsi="宋体" w:eastAsia="宋体" w:cs="宋体"/>
          <w:kern w:val="0"/>
          <w:szCs w:val="21"/>
        </w:rPr>
        <w:t>吨</w:t>
      </w:r>
    </w:p>
    <w:p w14:paraId="01FED53F">
      <w:pPr>
        <w:numPr>
          <w:ilvl w:val="0"/>
          <w:numId w:val="0"/>
        </w:numPr>
        <w:spacing w:line="360" w:lineRule="exact"/>
        <w:ind w:leftChars="0"/>
        <w:jc w:val="left"/>
        <w:rPr>
          <w:rFonts w:hint="eastAsia" w:ascii="宋体" w:hAnsi="宋体" w:eastAsia="微软雅黑" w:cs="宋体"/>
          <w:kern w:val="0"/>
          <w:szCs w:val="21"/>
          <w:lang w:val="en-US" w:eastAsia="zh-CN"/>
        </w:rPr>
      </w:pPr>
      <w:r>
        <w:rPr>
          <w:rFonts w:hint="eastAsia" w:ascii="宋体" w:hAnsi="宋体" w:eastAsia="宋体" w:cs="宋体"/>
          <w:kern w:val="0"/>
          <w:szCs w:val="21"/>
          <w:lang w:val="en-US" w:eastAsia="zh-CN"/>
        </w:rPr>
        <w:t>3、运输路线：</w:t>
      </w:r>
      <w:r>
        <w:rPr>
          <w:rFonts w:hint="eastAsia" w:ascii="微软雅黑" w:hAnsi="微软雅黑" w:eastAsia="微软雅黑" w:cs="微软雅黑"/>
          <w:kern w:val="0"/>
          <w:sz w:val="21"/>
          <w:szCs w:val="21"/>
          <w:lang w:val="en-US" w:eastAsia="zh-CN"/>
        </w:rPr>
        <w:t>由四川宏达股份有限公司什邡磷化工分公司磷铵库房--新疆阿拉尔市供销惠垦肥业有限责任</w:t>
      </w:r>
      <w:r>
        <w:rPr>
          <w:rFonts w:hint="eastAsia" w:ascii="微软雅黑" w:hAnsi="微软雅黑" w:eastAsia="微软雅黑" w:cs="微软雅黑"/>
          <w:i w:val="0"/>
          <w:iCs w:val="0"/>
          <w:caps w:val="0"/>
          <w:color w:val="111111"/>
          <w:spacing w:val="0"/>
          <w:sz w:val="21"/>
          <w:szCs w:val="21"/>
        </w:rPr>
        <w:t>公司</w:t>
      </w:r>
      <w:r>
        <w:rPr>
          <w:rFonts w:hint="eastAsia" w:ascii="微软雅黑" w:hAnsi="微软雅黑" w:eastAsia="微软雅黑" w:cs="微软雅黑"/>
          <w:i w:val="0"/>
          <w:iCs w:val="0"/>
          <w:caps w:val="0"/>
          <w:color w:val="111111"/>
          <w:spacing w:val="0"/>
          <w:sz w:val="21"/>
          <w:szCs w:val="21"/>
          <w:lang w:val="en-US" w:eastAsia="zh-CN"/>
        </w:rPr>
        <w:t>.</w:t>
      </w:r>
    </w:p>
    <w:p w14:paraId="689D83C0">
      <w:pPr>
        <w:spacing w:line="360" w:lineRule="exact"/>
        <w:rPr>
          <w:rFonts w:ascii="微软雅黑" w:hAnsi="微软雅黑" w:eastAsia="微软雅黑" w:cs="宋体"/>
          <w:kern w:val="0"/>
          <w:szCs w:val="21"/>
        </w:rPr>
      </w:pPr>
      <w:r>
        <w:rPr>
          <w:rFonts w:hint="eastAsia" w:ascii="微软雅黑" w:hAnsi="微软雅黑" w:eastAsia="微软雅黑" w:cs="宋体"/>
          <w:kern w:val="0"/>
          <w:szCs w:val="21"/>
        </w:rPr>
        <w:t>二、比选人：</w:t>
      </w:r>
      <w:r>
        <w:rPr>
          <w:rFonts w:hint="eastAsia" w:ascii="宋体" w:hAnsi="宋体" w:eastAsia="宋体" w:cs="宋体"/>
          <w:kern w:val="0"/>
          <w:szCs w:val="21"/>
        </w:rPr>
        <w:t xml:space="preserve">四川宏达股份有限公司 </w:t>
      </w:r>
      <w:r>
        <w:rPr>
          <w:rFonts w:hint="eastAsia" w:ascii="微软雅黑" w:hAnsi="微软雅黑" w:eastAsia="微软雅黑" w:cs="宋体"/>
          <w:kern w:val="0"/>
          <w:szCs w:val="21"/>
        </w:rPr>
        <w:t xml:space="preserve"> </w:t>
      </w:r>
    </w:p>
    <w:p w14:paraId="2FDE152D">
      <w:pPr>
        <w:spacing w:line="360" w:lineRule="exact"/>
        <w:rPr>
          <w:rFonts w:ascii="微软雅黑" w:hAnsi="微软雅黑" w:eastAsia="微软雅黑" w:cs="宋体"/>
          <w:kern w:val="0"/>
          <w:szCs w:val="21"/>
        </w:rPr>
      </w:pPr>
      <w:r>
        <w:rPr>
          <w:rFonts w:hint="eastAsia" w:ascii="微软雅黑" w:hAnsi="微软雅黑" w:eastAsia="微软雅黑" w:cs="宋体"/>
          <w:kern w:val="0"/>
          <w:szCs w:val="21"/>
        </w:rPr>
        <w:t>三、具体内容及要求：</w:t>
      </w:r>
    </w:p>
    <w:p w14:paraId="419B8A66">
      <w:pPr>
        <w:spacing w:line="360" w:lineRule="exact"/>
        <w:rPr>
          <w:rStyle w:val="9"/>
          <w:rFonts w:hint="eastAsia" w:ascii="宋体" w:hAnsi="宋体" w:eastAsia="宋体" w:cs="宋体"/>
          <w:szCs w:val="21"/>
        </w:rPr>
      </w:pPr>
      <w:r>
        <w:rPr>
          <w:rFonts w:hint="eastAsia" w:ascii="微软雅黑" w:hAnsi="微软雅黑" w:eastAsia="微软雅黑" w:cs="宋体"/>
          <w:kern w:val="0"/>
          <w:szCs w:val="21"/>
        </w:rPr>
        <w:t>1</w:t>
      </w:r>
      <w:r>
        <w:rPr>
          <w:rFonts w:hint="eastAsia" w:ascii="微软雅黑" w:hAnsi="微软雅黑" w:eastAsia="微软雅黑" w:cs="宋体"/>
          <w:kern w:val="0"/>
          <w:szCs w:val="21"/>
          <w:lang w:eastAsia="zh-CN"/>
        </w:rPr>
        <w:t>、</w:t>
      </w:r>
      <w:r>
        <w:rPr>
          <w:rFonts w:hint="eastAsia" w:ascii="微软雅黑" w:hAnsi="微软雅黑" w:eastAsia="微软雅黑" w:cs="宋体"/>
          <w:kern w:val="0"/>
          <w:szCs w:val="21"/>
          <w:lang w:val="en-US" w:eastAsia="zh-CN"/>
        </w:rPr>
        <w:t>服务期限</w:t>
      </w:r>
      <w:r>
        <w:rPr>
          <w:rFonts w:hint="eastAsia" w:ascii="微软雅黑" w:hAnsi="微软雅黑" w:eastAsia="微软雅黑" w:cs="宋体"/>
          <w:kern w:val="0"/>
          <w:szCs w:val="21"/>
        </w:rPr>
        <w:t>：</w:t>
      </w:r>
      <w:r>
        <w:rPr>
          <w:rFonts w:hint="eastAsia" w:ascii="宋体" w:hAnsi="宋体" w:eastAsia="宋体" w:cs="宋体"/>
          <w:kern w:val="0"/>
          <w:szCs w:val="21"/>
          <w:lang w:val="en-US" w:eastAsia="zh-CN"/>
        </w:rPr>
        <w:t>该批货物需在2026年9月30日前</w:t>
      </w:r>
      <w:r>
        <w:rPr>
          <w:rStyle w:val="9"/>
          <w:rFonts w:hint="eastAsia" w:ascii="宋体" w:hAnsi="宋体" w:eastAsia="宋体" w:cs="宋体"/>
          <w:szCs w:val="21"/>
        </w:rPr>
        <w:t>完成全部标的物运输。</w:t>
      </w:r>
    </w:p>
    <w:p w14:paraId="024C746A">
      <w:pPr>
        <w:keepNext w:val="0"/>
        <w:keepLines w:val="0"/>
        <w:pageBreakBefore w:val="0"/>
        <w:widowControl w:val="0"/>
        <w:kinsoku/>
        <w:wordWrap/>
        <w:overflowPunct/>
        <w:topLinePunct w:val="0"/>
        <w:autoSpaceDE/>
        <w:autoSpaceDN/>
        <w:bidi w:val="0"/>
        <w:adjustRightInd/>
        <w:snapToGrid/>
        <w:spacing w:line="240" w:lineRule="auto"/>
        <w:textAlignment w:val="auto"/>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lang w:val="en-US" w:eastAsia="zh-CN"/>
        </w:rPr>
        <w:t>2</w:t>
      </w:r>
      <w:r>
        <w:rPr>
          <w:rFonts w:hint="eastAsia" w:ascii="微软雅黑" w:hAnsi="微软雅黑" w:eastAsia="微软雅黑" w:cs="宋体"/>
          <w:color w:val="000000"/>
          <w:kern w:val="0"/>
          <w:szCs w:val="21"/>
        </w:rPr>
        <w:t>、交货地点及方式：</w:t>
      </w:r>
    </w:p>
    <w:p w14:paraId="5AD8E3C5">
      <w:pPr>
        <w:widowControl/>
        <w:numPr>
          <w:ilvl w:val="0"/>
          <w:numId w:val="2"/>
        </w:numPr>
        <w:spacing w:before="75" w:after="75"/>
        <w:ind w:left="425" w:leftChars="0" w:hanging="425" w:firstLineChars="0"/>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rPr>
        <w:t>交货</w:t>
      </w:r>
      <w:r>
        <w:rPr>
          <w:rFonts w:hint="eastAsia" w:ascii="宋体" w:hAnsi="宋体" w:eastAsia="宋体" w:cs="宋体"/>
          <w:color w:val="000000"/>
          <w:kern w:val="0"/>
          <w:szCs w:val="21"/>
          <w:lang w:val="en-US" w:eastAsia="zh-CN"/>
        </w:rPr>
        <w:t>地点</w:t>
      </w:r>
      <w:r>
        <w:rPr>
          <w:rFonts w:hint="eastAsia" w:ascii="宋体" w:hAnsi="宋体" w:eastAsia="宋体" w:cs="宋体"/>
          <w:color w:val="000000"/>
          <w:kern w:val="0"/>
          <w:szCs w:val="21"/>
        </w:rPr>
        <w:t>：</w:t>
      </w:r>
      <w:r>
        <w:rPr>
          <w:rFonts w:hint="eastAsia" w:ascii="宋体" w:hAnsi="宋体" w:eastAsia="宋体" w:cs="宋体"/>
          <w:color w:val="000000"/>
          <w:kern w:val="0"/>
          <w:szCs w:val="21"/>
          <w:lang w:val="en-US" w:eastAsia="zh-CN"/>
        </w:rPr>
        <w:t>新疆阿拉尔市供销惠垦肥业</w:t>
      </w:r>
      <w:r>
        <w:rPr>
          <w:rFonts w:hint="eastAsia" w:ascii="宋体" w:hAnsi="宋体" w:eastAsia="宋体" w:cs="宋体"/>
          <w:i w:val="0"/>
          <w:iCs w:val="0"/>
          <w:caps w:val="0"/>
          <w:color w:val="111111"/>
          <w:spacing w:val="0"/>
          <w:sz w:val="21"/>
          <w:szCs w:val="21"/>
        </w:rPr>
        <w:t>有限</w:t>
      </w:r>
      <w:r>
        <w:rPr>
          <w:rFonts w:hint="eastAsia" w:ascii="宋体" w:hAnsi="宋体" w:eastAsia="宋体" w:cs="宋体"/>
          <w:i w:val="0"/>
          <w:iCs w:val="0"/>
          <w:caps w:val="0"/>
          <w:color w:val="111111"/>
          <w:spacing w:val="0"/>
          <w:sz w:val="21"/>
          <w:szCs w:val="21"/>
          <w:lang w:val="en-US" w:eastAsia="zh-CN"/>
        </w:rPr>
        <w:t>责任</w:t>
      </w:r>
      <w:r>
        <w:rPr>
          <w:rFonts w:hint="eastAsia" w:ascii="宋体" w:hAnsi="宋体" w:eastAsia="宋体" w:cs="宋体"/>
          <w:i w:val="0"/>
          <w:iCs w:val="0"/>
          <w:caps w:val="0"/>
          <w:color w:val="111111"/>
          <w:spacing w:val="0"/>
          <w:sz w:val="21"/>
          <w:szCs w:val="21"/>
        </w:rPr>
        <w:t>公司</w:t>
      </w:r>
      <w:r>
        <w:rPr>
          <w:rFonts w:hint="eastAsia" w:ascii="宋体" w:hAnsi="宋体" w:eastAsia="宋体" w:cs="宋体"/>
          <w:color w:val="000000"/>
          <w:kern w:val="0"/>
          <w:szCs w:val="21"/>
          <w:lang w:val="en-US" w:eastAsia="zh-CN"/>
        </w:rPr>
        <w:t>。</w:t>
      </w:r>
    </w:p>
    <w:p w14:paraId="1C14573C">
      <w:pPr>
        <w:widowControl/>
        <w:numPr>
          <w:ilvl w:val="0"/>
          <w:numId w:val="2"/>
        </w:numPr>
        <w:spacing w:before="75" w:after="75"/>
        <w:ind w:left="425" w:leftChars="0" w:hanging="425" w:firstLineChars="0"/>
        <w:jc w:val="left"/>
        <w:rPr>
          <w:rFonts w:hint="eastAsia" w:ascii="宋体" w:hAnsi="宋体" w:eastAsia="宋体" w:cs="宋体"/>
          <w:color w:val="000000"/>
          <w:kern w:val="0"/>
          <w:szCs w:val="21"/>
        </w:rPr>
      </w:pPr>
      <w:r>
        <w:rPr>
          <w:rFonts w:hint="eastAsia" w:ascii="宋体" w:hAnsi="宋体" w:eastAsia="宋体" w:cs="宋体"/>
          <w:color w:val="000000"/>
          <w:kern w:val="0"/>
          <w:szCs w:val="21"/>
          <w:lang w:val="en-US" w:eastAsia="zh-CN"/>
        </w:rPr>
        <w:t>交货方式：</w:t>
      </w:r>
      <w:r>
        <w:rPr>
          <w:rFonts w:hint="eastAsia" w:ascii="宋体" w:hAnsi="宋体" w:eastAsia="宋体" w:cs="宋体"/>
          <w:color w:val="000000"/>
          <w:kern w:val="0"/>
          <w:szCs w:val="21"/>
        </w:rPr>
        <w:t>乙方送货到</w:t>
      </w:r>
      <w:r>
        <w:rPr>
          <w:rFonts w:hint="eastAsia" w:ascii="宋体" w:hAnsi="宋体" w:eastAsia="宋体" w:cs="宋体"/>
          <w:color w:val="000000"/>
          <w:kern w:val="0"/>
          <w:szCs w:val="21"/>
          <w:lang w:val="en-US" w:eastAsia="zh-CN"/>
        </w:rPr>
        <w:t>新疆阿拉尔市供销惠垦肥业</w:t>
      </w:r>
      <w:r>
        <w:rPr>
          <w:rFonts w:hint="eastAsia" w:ascii="宋体" w:hAnsi="宋体" w:eastAsia="宋体" w:cs="宋体"/>
          <w:i w:val="0"/>
          <w:iCs w:val="0"/>
          <w:caps w:val="0"/>
          <w:color w:val="111111"/>
          <w:spacing w:val="0"/>
          <w:sz w:val="21"/>
          <w:szCs w:val="21"/>
        </w:rPr>
        <w:t>有限</w:t>
      </w:r>
      <w:r>
        <w:rPr>
          <w:rFonts w:hint="eastAsia" w:ascii="宋体" w:hAnsi="宋体" w:eastAsia="宋体" w:cs="宋体"/>
          <w:i w:val="0"/>
          <w:iCs w:val="0"/>
          <w:caps w:val="0"/>
          <w:color w:val="111111"/>
          <w:spacing w:val="0"/>
          <w:sz w:val="21"/>
          <w:szCs w:val="21"/>
          <w:lang w:val="en-US" w:eastAsia="zh-CN"/>
        </w:rPr>
        <w:t>责任</w:t>
      </w:r>
      <w:r>
        <w:rPr>
          <w:rFonts w:hint="eastAsia" w:ascii="宋体" w:hAnsi="宋体" w:eastAsia="宋体" w:cs="宋体"/>
          <w:i w:val="0"/>
          <w:iCs w:val="0"/>
          <w:caps w:val="0"/>
          <w:color w:val="111111"/>
          <w:spacing w:val="0"/>
          <w:sz w:val="21"/>
          <w:szCs w:val="21"/>
        </w:rPr>
        <w:t>公司</w:t>
      </w:r>
      <w:r>
        <w:rPr>
          <w:rFonts w:hint="eastAsia" w:ascii="宋体" w:hAnsi="宋体" w:eastAsia="宋体" w:cs="宋体"/>
          <w:color w:val="000000"/>
          <w:kern w:val="0"/>
          <w:szCs w:val="21"/>
        </w:rPr>
        <w:t>，并根据甲方安排的承运数量，组织运输。</w:t>
      </w:r>
    </w:p>
    <w:p w14:paraId="4383B737">
      <w:pPr>
        <w:widowControl/>
        <w:numPr>
          <w:ilvl w:val="0"/>
          <w:numId w:val="3"/>
        </w:numPr>
        <w:spacing w:before="75" w:after="75"/>
        <w:ind w:leftChars="0"/>
        <w:jc w:val="left"/>
        <w:rPr>
          <w:rFonts w:hint="eastAsia" w:ascii="微软雅黑" w:hAnsi="微软雅黑" w:eastAsia="微软雅黑" w:cs="微软雅黑"/>
          <w:color w:val="000000"/>
          <w:kern w:val="0"/>
          <w:szCs w:val="21"/>
          <w:lang w:val="en-US" w:eastAsia="zh-CN"/>
        </w:rPr>
      </w:pPr>
      <w:r>
        <w:rPr>
          <w:rFonts w:hint="eastAsia" w:ascii="微软雅黑" w:hAnsi="微软雅黑" w:eastAsia="微软雅黑" w:cs="微软雅黑"/>
          <w:color w:val="000000"/>
          <w:kern w:val="0"/>
          <w:szCs w:val="21"/>
          <w:lang w:val="en-US" w:eastAsia="zh-CN"/>
        </w:rPr>
        <w:t>运输方式：</w:t>
      </w:r>
    </w:p>
    <w:p w14:paraId="68C66D19">
      <w:pPr>
        <w:widowControl/>
        <w:numPr>
          <w:ilvl w:val="0"/>
          <w:numId w:val="0"/>
        </w:numPr>
        <w:spacing w:before="75" w:after="75"/>
        <w:jc w:val="left"/>
        <w:rPr>
          <w:rFonts w:hint="eastAsia" w:ascii="宋体" w:hAnsi="宋体" w:eastAsia="宋体" w:cs="宋体"/>
          <w:color w:val="000000"/>
          <w:kern w:val="0"/>
          <w:szCs w:val="21"/>
          <w:lang w:val="en-US" w:eastAsia="zh-CN"/>
        </w:rPr>
      </w:pPr>
      <w:r>
        <w:rPr>
          <w:rFonts w:hint="eastAsia" w:ascii="宋体" w:hAnsi="宋体" w:eastAsia="宋体" w:cs="宋体"/>
          <w:color w:val="000000"/>
          <w:kern w:val="0"/>
          <w:szCs w:val="21"/>
          <w:lang w:val="en-US" w:eastAsia="zh-CN"/>
        </w:rPr>
        <w:t>运输方式：汽车运输</w:t>
      </w:r>
    </w:p>
    <w:p w14:paraId="1C2092F5">
      <w:pPr>
        <w:widowControl/>
        <w:numPr>
          <w:ilvl w:val="0"/>
          <w:numId w:val="3"/>
        </w:numPr>
        <w:spacing w:before="75" w:after="75"/>
        <w:ind w:left="0" w:leftChars="0" w:firstLine="0" w:firstLineChars="0"/>
        <w:jc w:val="left"/>
        <w:rPr>
          <w:rFonts w:hint="eastAsia" w:ascii="微软雅黑" w:hAnsi="微软雅黑" w:eastAsia="微软雅黑" w:cs="微软雅黑"/>
          <w:color w:val="000000"/>
          <w:kern w:val="0"/>
          <w:szCs w:val="21"/>
          <w:lang w:val="en-US" w:eastAsia="zh-CN"/>
        </w:rPr>
      </w:pPr>
      <w:r>
        <w:rPr>
          <w:rFonts w:hint="eastAsia" w:ascii="微软雅黑" w:hAnsi="微软雅黑" w:eastAsia="微软雅黑" w:cs="微软雅黑"/>
          <w:color w:val="000000"/>
          <w:kern w:val="0"/>
          <w:szCs w:val="21"/>
          <w:lang w:val="en-US" w:eastAsia="zh-CN"/>
        </w:rPr>
        <w:t>标的物验收</w:t>
      </w:r>
    </w:p>
    <w:p w14:paraId="6687AC90">
      <w:pPr>
        <w:widowControl/>
        <w:numPr>
          <w:ilvl w:val="0"/>
          <w:numId w:val="0"/>
        </w:numPr>
        <w:spacing w:before="75" w:after="75"/>
        <w:ind w:leftChars="0"/>
        <w:jc w:val="left"/>
        <w:rPr>
          <w:rFonts w:hint="default" w:ascii="微软雅黑" w:hAnsi="微软雅黑" w:eastAsia="微软雅黑" w:cs="微软雅黑"/>
          <w:color w:val="000000"/>
          <w:kern w:val="0"/>
          <w:szCs w:val="21"/>
          <w:lang w:val="en-US" w:eastAsia="zh-CN"/>
        </w:rPr>
      </w:pPr>
      <w:r>
        <w:rPr>
          <w:rFonts w:hint="eastAsia" w:ascii="宋体" w:hAnsi="宋体" w:eastAsia="宋体" w:cs="宋体"/>
          <w:color w:val="000000"/>
          <w:kern w:val="0"/>
          <w:szCs w:val="21"/>
          <w:lang w:val="en-US" w:eastAsia="zh-CN"/>
        </w:rPr>
        <w:t>标的物数量验收以甲方地磅计量数据为准。</w:t>
      </w:r>
    </w:p>
    <w:p w14:paraId="06E5E0EB">
      <w:pPr>
        <w:widowControl/>
        <w:spacing w:before="75" w:after="75"/>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lang w:val="en-US" w:eastAsia="zh-CN"/>
        </w:rPr>
        <w:t>5</w:t>
      </w:r>
      <w:r>
        <w:rPr>
          <w:rFonts w:hint="eastAsia" w:ascii="微软雅黑" w:hAnsi="微软雅黑" w:eastAsia="微软雅黑" w:cs="宋体"/>
          <w:color w:val="000000"/>
          <w:kern w:val="0"/>
          <w:szCs w:val="21"/>
        </w:rPr>
        <w:t>、付款方式及发票：</w:t>
      </w:r>
    </w:p>
    <w:p w14:paraId="7A218DA9">
      <w:pPr>
        <w:widowControl/>
        <w:spacing w:before="75" w:after="75"/>
        <w:jc w:val="left"/>
        <w:rPr>
          <w:rFonts w:hint="eastAsia" w:ascii="宋体" w:hAnsi="宋体" w:eastAsia="宋体" w:cs="宋体"/>
          <w:color w:val="000000"/>
          <w:kern w:val="0"/>
          <w:szCs w:val="21"/>
        </w:rPr>
      </w:pPr>
      <w:r>
        <w:rPr>
          <w:rFonts w:hint="eastAsia" w:ascii="宋体" w:hAnsi="宋体" w:eastAsia="宋体" w:cs="宋体"/>
          <w:color w:val="000000"/>
          <w:kern w:val="0"/>
          <w:szCs w:val="21"/>
        </w:rPr>
        <w:t>(1)付款方式：先货后款，</w:t>
      </w:r>
      <w:r>
        <w:rPr>
          <w:rFonts w:hint="eastAsia" w:ascii="宋体" w:hAnsi="宋体" w:eastAsia="宋体" w:cs="宋体"/>
          <w:color w:val="000000"/>
          <w:kern w:val="0"/>
          <w:szCs w:val="21"/>
          <w:lang w:val="en-US" w:eastAsia="zh-CN"/>
        </w:rPr>
        <w:t>承兑/现汇</w:t>
      </w:r>
      <w:r>
        <w:rPr>
          <w:rFonts w:hint="eastAsia" w:ascii="宋体" w:hAnsi="宋体" w:eastAsia="宋体" w:cs="宋体"/>
          <w:color w:val="000000"/>
          <w:kern w:val="0"/>
          <w:szCs w:val="21"/>
        </w:rPr>
        <w:t xml:space="preserve">支付。乙方应向甲方出具合法等额按国家规定的运输行业增值税专用发票（税率为9%），若乙方未按要求出具发票的，甲方有权拒绝付款并不承担任何违约责任。（如有异议，请在报价函中另作说明） </w:t>
      </w:r>
    </w:p>
    <w:p w14:paraId="0A117B55">
      <w:pPr>
        <w:widowControl/>
        <w:spacing w:before="75" w:after="75"/>
        <w:jc w:val="left"/>
        <w:rPr>
          <w:rFonts w:hint="eastAsia" w:ascii="宋体" w:hAnsi="宋体" w:eastAsia="宋体" w:cs="宋体"/>
          <w:color w:val="000000"/>
          <w:kern w:val="0"/>
          <w:szCs w:val="21"/>
        </w:rPr>
      </w:pPr>
      <w:r>
        <w:rPr>
          <w:rFonts w:hint="eastAsia" w:ascii="宋体" w:hAnsi="宋体" w:eastAsia="宋体" w:cs="宋体"/>
          <w:color w:val="000000"/>
          <w:kern w:val="0"/>
          <w:szCs w:val="21"/>
        </w:rPr>
        <w:t>(2)一票制，乙方开具全额增值税专用发票(税率9%)。</w:t>
      </w:r>
    </w:p>
    <w:p w14:paraId="64931C7F">
      <w:pPr>
        <w:widowControl/>
        <w:spacing w:before="75" w:after="75"/>
        <w:jc w:val="left"/>
        <w:rPr>
          <w:rFonts w:hint="eastAsia" w:ascii="宋体" w:hAnsi="宋体" w:eastAsia="宋体" w:cs="宋体"/>
          <w:color w:val="000000"/>
          <w:kern w:val="0"/>
          <w:szCs w:val="21"/>
        </w:rPr>
      </w:pPr>
    </w:p>
    <w:p w14:paraId="581AEF45">
      <w:pPr>
        <w:widowControl/>
        <w:spacing w:before="75" w:after="75"/>
        <w:jc w:val="left"/>
        <w:rPr>
          <w:rFonts w:hint="eastAsia" w:ascii="宋体" w:hAnsi="宋体" w:eastAsia="宋体" w:cs="宋体"/>
          <w:color w:val="000000"/>
          <w:kern w:val="0"/>
          <w:szCs w:val="21"/>
        </w:rPr>
      </w:pPr>
    </w:p>
    <w:p w14:paraId="50D96B61">
      <w:pPr>
        <w:widowControl/>
        <w:spacing w:before="75" w:after="75"/>
        <w:jc w:val="left"/>
        <w:rPr>
          <w:rFonts w:hint="eastAsia" w:ascii="宋体" w:hAnsi="宋体" w:eastAsia="宋体" w:cs="宋体"/>
          <w:color w:val="000000"/>
          <w:kern w:val="0"/>
          <w:szCs w:val="21"/>
        </w:rPr>
      </w:pPr>
    </w:p>
    <w:p w14:paraId="21C8422E">
      <w:pPr>
        <w:widowControl/>
        <w:spacing w:before="75" w:after="75"/>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lang w:val="en-US" w:eastAsia="zh-CN"/>
        </w:rPr>
        <w:t>6</w:t>
      </w:r>
      <w:r>
        <w:rPr>
          <w:rFonts w:hint="eastAsia" w:ascii="微软雅黑" w:hAnsi="微软雅黑" w:eastAsia="微软雅黑" w:cs="宋体"/>
          <w:color w:val="000000"/>
          <w:kern w:val="0"/>
          <w:szCs w:val="21"/>
        </w:rPr>
        <w:t>、比选文件的获取：</w:t>
      </w:r>
    </w:p>
    <w:p w14:paraId="3B7BFEE0">
      <w:pPr>
        <w:widowControl/>
        <w:spacing w:before="75" w:after="75"/>
        <w:jc w:val="left"/>
        <w:rPr>
          <w:rFonts w:ascii="宋体" w:hAnsi="宋体" w:eastAsia="宋体" w:cs="宋体"/>
          <w:kern w:val="0"/>
          <w:szCs w:val="21"/>
        </w:rPr>
      </w:pPr>
      <w:r>
        <w:rPr>
          <w:rFonts w:hint="eastAsia" w:ascii="Times New Roman" w:hAnsi="Times New Roman" w:eastAsia="宋体" w:cs="Times New Roman"/>
          <w:kern w:val="0"/>
          <w:szCs w:val="21"/>
        </w:rPr>
        <w:t>获取方式为：自 202</w:t>
      </w:r>
      <w:r>
        <w:rPr>
          <w:rFonts w:hint="eastAsia" w:ascii="Times New Roman" w:hAnsi="Times New Roman" w:eastAsia="宋体" w:cs="Times New Roman"/>
          <w:kern w:val="0"/>
          <w:szCs w:val="21"/>
          <w:lang w:val="en-US" w:eastAsia="zh-CN"/>
        </w:rPr>
        <w:t>6</w:t>
      </w:r>
      <w:r>
        <w:rPr>
          <w:rFonts w:hint="eastAsia" w:ascii="Times New Roman" w:hAnsi="Times New Roman" w:eastAsia="宋体" w:cs="Times New Roman"/>
          <w:kern w:val="0"/>
          <w:szCs w:val="21"/>
        </w:rPr>
        <w:t xml:space="preserve">年 </w:t>
      </w:r>
      <w:r>
        <w:rPr>
          <w:rFonts w:hint="eastAsia" w:ascii="Times New Roman" w:hAnsi="Times New Roman" w:eastAsia="宋体" w:cs="Times New Roman"/>
          <w:kern w:val="0"/>
          <w:szCs w:val="21"/>
          <w:lang w:val="en-US" w:eastAsia="zh-CN"/>
        </w:rPr>
        <w:t>9</w:t>
      </w:r>
      <w:r>
        <w:rPr>
          <w:rFonts w:hint="eastAsia" w:ascii="Times New Roman" w:hAnsi="Times New Roman" w:eastAsia="宋体" w:cs="Times New Roman"/>
          <w:kern w:val="0"/>
          <w:szCs w:val="21"/>
        </w:rPr>
        <w:t xml:space="preserve">月 </w:t>
      </w:r>
      <w:r>
        <w:rPr>
          <w:rFonts w:hint="eastAsia" w:ascii="Times New Roman" w:hAnsi="Times New Roman" w:eastAsia="宋体" w:cs="Times New Roman"/>
          <w:kern w:val="0"/>
          <w:szCs w:val="21"/>
          <w:lang w:val="en-US" w:eastAsia="zh-CN"/>
        </w:rPr>
        <w:t>10</w:t>
      </w:r>
      <w:r>
        <w:rPr>
          <w:rFonts w:hint="eastAsia" w:ascii="Times New Roman" w:hAnsi="Times New Roman" w:eastAsia="宋体" w:cs="Times New Roman"/>
          <w:kern w:val="0"/>
          <w:szCs w:val="21"/>
        </w:rPr>
        <w:t xml:space="preserve"> 日 </w:t>
      </w:r>
      <w:r>
        <w:rPr>
          <w:rFonts w:hint="eastAsia" w:ascii="Times New Roman" w:hAnsi="Times New Roman" w:eastAsia="宋体" w:cs="Times New Roman"/>
          <w:kern w:val="0"/>
          <w:szCs w:val="21"/>
          <w:lang w:val="en-US" w:eastAsia="zh-CN"/>
        </w:rPr>
        <w:t>15</w:t>
      </w:r>
      <w:r>
        <w:rPr>
          <w:rFonts w:hint="eastAsia" w:ascii="Times New Roman" w:hAnsi="Times New Roman" w:eastAsia="宋体" w:cs="Times New Roman"/>
          <w:kern w:val="0"/>
          <w:szCs w:val="21"/>
        </w:rPr>
        <w:t xml:space="preserve"> 时 </w:t>
      </w:r>
      <w:r>
        <w:rPr>
          <w:rFonts w:hint="eastAsia" w:ascii="Times New Roman" w:hAnsi="Times New Roman" w:eastAsia="宋体" w:cs="Times New Roman"/>
          <w:kern w:val="0"/>
          <w:szCs w:val="21"/>
          <w:lang w:val="en-US" w:eastAsia="zh-CN"/>
        </w:rPr>
        <w:t>3</w:t>
      </w:r>
      <w:r>
        <w:rPr>
          <w:rFonts w:hint="eastAsia" w:ascii="Times New Roman" w:hAnsi="Times New Roman" w:eastAsia="宋体" w:cs="Times New Roman"/>
          <w:kern w:val="0"/>
          <w:szCs w:val="21"/>
        </w:rPr>
        <w:t>0 分至 202</w:t>
      </w:r>
      <w:r>
        <w:rPr>
          <w:rFonts w:hint="eastAsia" w:ascii="Times New Roman" w:hAnsi="Times New Roman" w:eastAsia="宋体" w:cs="Times New Roman"/>
          <w:kern w:val="0"/>
          <w:szCs w:val="21"/>
          <w:lang w:val="en-US" w:eastAsia="zh-CN"/>
        </w:rPr>
        <w:t>6</w:t>
      </w:r>
      <w:r>
        <w:rPr>
          <w:rFonts w:hint="eastAsia" w:ascii="Times New Roman" w:hAnsi="Times New Roman" w:eastAsia="宋体" w:cs="Times New Roman"/>
          <w:kern w:val="0"/>
          <w:szCs w:val="21"/>
        </w:rPr>
        <w:t>年</w:t>
      </w:r>
      <w:r>
        <w:rPr>
          <w:rFonts w:hint="eastAsia" w:ascii="Times New Roman" w:hAnsi="Times New Roman" w:eastAsia="宋体" w:cs="Times New Roman"/>
          <w:kern w:val="0"/>
          <w:szCs w:val="21"/>
          <w:lang w:val="en-US" w:eastAsia="zh-CN"/>
        </w:rPr>
        <w:t>9</w:t>
      </w:r>
      <w:r>
        <w:rPr>
          <w:rFonts w:hint="eastAsia" w:ascii="Times New Roman" w:hAnsi="Times New Roman" w:eastAsia="宋体" w:cs="Times New Roman"/>
          <w:kern w:val="0"/>
          <w:szCs w:val="21"/>
        </w:rPr>
        <w:t>月</w:t>
      </w:r>
      <w:r>
        <w:rPr>
          <w:rFonts w:hint="eastAsia" w:ascii="Times New Roman" w:hAnsi="Times New Roman" w:eastAsia="宋体" w:cs="Times New Roman"/>
          <w:kern w:val="0"/>
          <w:szCs w:val="21"/>
          <w:lang w:val="en-US" w:eastAsia="zh-CN"/>
        </w:rPr>
        <w:t>14</w:t>
      </w:r>
      <w:r>
        <w:rPr>
          <w:rFonts w:hint="eastAsia" w:ascii="Times New Roman" w:hAnsi="Times New Roman" w:eastAsia="宋体" w:cs="Times New Roman"/>
          <w:kern w:val="0"/>
          <w:szCs w:val="21"/>
        </w:rPr>
        <w:t>日</w:t>
      </w:r>
      <w:r>
        <w:rPr>
          <w:rFonts w:hint="eastAsia" w:ascii="Times New Roman" w:hAnsi="Times New Roman" w:eastAsia="宋体" w:cs="Times New Roman"/>
          <w:kern w:val="0"/>
          <w:szCs w:val="21"/>
          <w:lang w:val="en-US" w:eastAsia="zh-CN"/>
        </w:rPr>
        <w:t>14</w:t>
      </w:r>
      <w:r>
        <w:rPr>
          <w:rFonts w:hint="eastAsia" w:ascii="Times New Roman" w:hAnsi="Times New Roman" w:eastAsia="宋体" w:cs="Times New Roman"/>
          <w:kern w:val="0"/>
          <w:szCs w:val="21"/>
        </w:rPr>
        <w:t>时</w:t>
      </w:r>
      <w:r>
        <w:rPr>
          <w:rFonts w:hint="eastAsia" w:ascii="Times New Roman" w:hAnsi="Times New Roman" w:eastAsia="宋体" w:cs="Times New Roman"/>
          <w:kern w:val="0"/>
          <w:szCs w:val="21"/>
          <w:lang w:val="en-US" w:eastAsia="zh-CN"/>
        </w:rPr>
        <w:t>30</w:t>
      </w:r>
      <w:r>
        <w:rPr>
          <w:rFonts w:hint="eastAsia" w:ascii="Times New Roman" w:hAnsi="Times New Roman" w:eastAsia="宋体" w:cs="Times New Roman"/>
          <w:kern w:val="0"/>
          <w:szCs w:val="21"/>
        </w:rPr>
        <w:t xml:space="preserve">分通过四川宏达股份有限公司集采中心招投标平台(以下简称“ 宏达股份集采平台”）（http://jc.sichuanhongda.com/）进行注册并登录后下载比选文件，参与投标。 </w:t>
      </w:r>
    </w:p>
    <w:p w14:paraId="07257095">
      <w:pPr>
        <w:widowControl/>
        <w:spacing w:before="75" w:after="75"/>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lang w:val="en-US" w:eastAsia="zh-CN"/>
        </w:rPr>
        <w:t>7</w:t>
      </w:r>
      <w:r>
        <w:rPr>
          <w:rFonts w:hint="eastAsia" w:ascii="微软雅黑" w:hAnsi="微软雅黑" w:eastAsia="微软雅黑" w:cs="宋体"/>
          <w:color w:val="000000"/>
          <w:kern w:val="0"/>
          <w:szCs w:val="21"/>
        </w:rPr>
        <w:t>、响应性文件的递交：</w:t>
      </w:r>
    </w:p>
    <w:p w14:paraId="237A3F21">
      <w:pPr>
        <w:widowControl/>
        <w:spacing w:before="75" w:after="75"/>
        <w:jc w:val="left"/>
        <w:rPr>
          <w:rFonts w:ascii="宋体" w:hAnsi="宋体" w:eastAsia="宋体" w:cs="宋体"/>
          <w:kern w:val="0"/>
          <w:szCs w:val="21"/>
        </w:rPr>
      </w:pPr>
      <w:r>
        <w:rPr>
          <w:rFonts w:hint="eastAsia" w:ascii="Times New Roman" w:hAnsi="Times New Roman" w:eastAsia="宋体" w:cs="Times New Roman"/>
          <w:kern w:val="0"/>
          <w:szCs w:val="21"/>
        </w:rPr>
        <w:t>递交截止时间：202</w:t>
      </w:r>
      <w:r>
        <w:rPr>
          <w:rFonts w:hint="eastAsia" w:ascii="Times New Roman" w:hAnsi="Times New Roman" w:eastAsia="宋体" w:cs="Times New Roman"/>
          <w:kern w:val="0"/>
          <w:szCs w:val="21"/>
          <w:lang w:val="en-US" w:eastAsia="zh-CN"/>
        </w:rPr>
        <w:t>6</w:t>
      </w:r>
      <w:r>
        <w:rPr>
          <w:rFonts w:hint="eastAsia" w:ascii="Times New Roman" w:hAnsi="Times New Roman" w:eastAsia="宋体" w:cs="Times New Roman"/>
          <w:kern w:val="0"/>
          <w:szCs w:val="21"/>
        </w:rPr>
        <w:t>年</w:t>
      </w:r>
      <w:r>
        <w:rPr>
          <w:rFonts w:hint="eastAsia" w:ascii="Times New Roman" w:hAnsi="Times New Roman" w:eastAsia="宋体" w:cs="Times New Roman"/>
          <w:kern w:val="0"/>
          <w:szCs w:val="21"/>
          <w:lang w:val="en-US" w:eastAsia="zh-CN"/>
        </w:rPr>
        <w:t>9</w:t>
      </w:r>
      <w:r>
        <w:rPr>
          <w:rFonts w:hint="eastAsia" w:ascii="Times New Roman" w:hAnsi="Times New Roman" w:eastAsia="宋体" w:cs="Times New Roman"/>
          <w:kern w:val="0"/>
          <w:szCs w:val="21"/>
        </w:rPr>
        <w:t>月</w:t>
      </w:r>
      <w:r>
        <w:rPr>
          <w:rFonts w:hint="eastAsia" w:ascii="Times New Roman" w:hAnsi="Times New Roman" w:eastAsia="宋体" w:cs="Times New Roman"/>
          <w:kern w:val="0"/>
          <w:szCs w:val="21"/>
          <w:lang w:val="en-US" w:eastAsia="zh-CN"/>
        </w:rPr>
        <w:t>14</w:t>
      </w:r>
      <w:r>
        <w:rPr>
          <w:rFonts w:hint="eastAsia" w:ascii="Times New Roman" w:hAnsi="Times New Roman" w:eastAsia="宋体" w:cs="Times New Roman"/>
          <w:kern w:val="0"/>
          <w:szCs w:val="21"/>
        </w:rPr>
        <w:t>日</w:t>
      </w:r>
      <w:r>
        <w:rPr>
          <w:rFonts w:hint="eastAsia" w:ascii="Times New Roman" w:hAnsi="Times New Roman" w:eastAsia="宋体" w:cs="Times New Roman"/>
          <w:kern w:val="0"/>
          <w:szCs w:val="21"/>
          <w:lang w:val="en-US" w:eastAsia="zh-CN"/>
        </w:rPr>
        <w:t>14</w:t>
      </w:r>
      <w:r>
        <w:rPr>
          <w:rFonts w:hint="eastAsia" w:ascii="Times New Roman" w:hAnsi="Times New Roman" w:eastAsia="宋体" w:cs="Times New Roman"/>
          <w:kern w:val="0"/>
          <w:szCs w:val="21"/>
        </w:rPr>
        <w:t xml:space="preserve">时 </w:t>
      </w:r>
      <w:r>
        <w:rPr>
          <w:rFonts w:hint="eastAsia" w:ascii="Times New Roman" w:hAnsi="Times New Roman" w:eastAsia="宋体" w:cs="Times New Roman"/>
          <w:kern w:val="0"/>
          <w:szCs w:val="21"/>
          <w:lang w:val="en-US" w:eastAsia="zh-CN"/>
        </w:rPr>
        <w:t>3</w:t>
      </w:r>
      <w:r>
        <w:rPr>
          <w:rFonts w:hint="eastAsia" w:ascii="Times New Roman" w:hAnsi="Times New Roman" w:eastAsia="宋体" w:cs="Times New Roman"/>
          <w:kern w:val="0"/>
          <w:szCs w:val="21"/>
        </w:rPr>
        <w:t>0 分。</w:t>
      </w:r>
    </w:p>
    <w:p w14:paraId="72FB16A0">
      <w:pPr>
        <w:widowControl/>
        <w:spacing w:before="75" w:after="75"/>
        <w:jc w:val="left"/>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比选申请人按本比选文件</w:t>
      </w:r>
      <w:r>
        <w:rPr>
          <w:rFonts w:hint="eastAsia" w:ascii="Times New Roman" w:hAnsi="Times New Roman" w:eastAsia="宋体" w:cs="Times New Roman"/>
          <w:color w:val="EE0000"/>
          <w:kern w:val="0"/>
          <w:szCs w:val="21"/>
        </w:rPr>
        <w:t>第三章响应性文件格式</w:t>
      </w:r>
      <w:r>
        <w:rPr>
          <w:rFonts w:hint="eastAsia" w:ascii="Times New Roman" w:hAnsi="Times New Roman" w:eastAsia="宋体" w:cs="Times New Roman"/>
          <w:kern w:val="0"/>
          <w:szCs w:val="21"/>
        </w:rPr>
        <w:t>制作报价文件，注明</w:t>
      </w:r>
      <w:r>
        <w:rPr>
          <w:rFonts w:hint="eastAsia" w:ascii="Times New Roman" w:hAnsi="Times New Roman" w:eastAsia="宋体" w:cs="Times New Roman"/>
          <w:kern w:val="0"/>
          <w:szCs w:val="21"/>
          <w:lang w:val="en-US" w:eastAsia="zh-CN"/>
        </w:rPr>
        <w:t>服务期限</w:t>
      </w:r>
      <w:r>
        <w:rPr>
          <w:rFonts w:hint="eastAsia" w:ascii="Times New Roman" w:hAnsi="Times New Roman" w:eastAsia="宋体" w:cs="Times New Roman"/>
          <w:kern w:val="0"/>
          <w:szCs w:val="21"/>
        </w:rPr>
        <w:t>、数量、单价（到厂价）、交货期、付款方式等（若询价约定的标的物交货期、付款方式</w:t>
      </w:r>
      <w:r>
        <w:rPr>
          <w:rFonts w:hint="eastAsia" w:ascii="Times New Roman" w:hAnsi="Times New Roman" w:eastAsia="宋体" w:cs="Times New Roman"/>
          <w:kern w:val="0"/>
          <w:szCs w:val="21"/>
          <w:lang w:eastAsia="zh-CN"/>
        </w:rPr>
        <w:t>、</w:t>
      </w:r>
      <w:r>
        <w:rPr>
          <w:rFonts w:hint="eastAsia" w:ascii="Times New Roman" w:hAnsi="Times New Roman" w:eastAsia="宋体" w:cs="Times New Roman"/>
          <w:kern w:val="0"/>
          <w:szCs w:val="21"/>
          <w:lang w:val="en-US" w:eastAsia="zh-CN"/>
        </w:rPr>
        <w:t>质保期</w:t>
      </w:r>
      <w:r>
        <w:rPr>
          <w:rFonts w:hint="eastAsia" w:ascii="Times New Roman" w:hAnsi="Times New Roman" w:eastAsia="宋体" w:cs="Times New Roman"/>
          <w:kern w:val="0"/>
          <w:szCs w:val="21"/>
        </w:rPr>
        <w:t>等有异议，请在报价文件中另作说明）。所有上述资料组成响应性文件，比选申请人需将响应性文件打印盖章后，以电子文件方式（PDF、扫描文件等）上传至宏达股份集采平台。</w:t>
      </w:r>
    </w:p>
    <w:p w14:paraId="0EDE33CA">
      <w:pPr>
        <w:widowControl/>
        <w:numPr>
          <w:ilvl w:val="0"/>
          <w:numId w:val="4"/>
        </w:numPr>
        <w:spacing w:before="75" w:after="75"/>
        <w:jc w:val="left"/>
        <w:rPr>
          <w:rFonts w:hint="eastAsia" w:ascii="微软雅黑" w:hAnsi="微软雅黑" w:eastAsia="微软雅黑" w:cs="微软雅黑"/>
          <w:kern w:val="0"/>
          <w:szCs w:val="21"/>
          <w:lang w:val="en-US" w:eastAsia="zh-CN"/>
        </w:rPr>
      </w:pPr>
      <w:r>
        <w:rPr>
          <w:rFonts w:hint="eastAsia" w:ascii="微软雅黑" w:hAnsi="微软雅黑" w:eastAsia="微软雅黑" w:cs="微软雅黑"/>
          <w:kern w:val="0"/>
          <w:szCs w:val="21"/>
          <w:lang w:val="en-US" w:eastAsia="zh-CN"/>
        </w:rPr>
        <w:t>响应性文件的要求</w:t>
      </w:r>
    </w:p>
    <w:p w14:paraId="290CE3E5">
      <w:pPr>
        <w:widowControl/>
        <w:numPr>
          <w:ilvl w:val="0"/>
          <w:numId w:val="5"/>
        </w:numPr>
        <w:spacing w:before="75" w:after="75"/>
        <w:ind w:left="425" w:leftChars="0" w:hanging="425" w:firstLineChars="0"/>
        <w:jc w:val="left"/>
        <w:rPr>
          <w:rFonts w:hint="eastAsia" w:ascii="宋体" w:hAnsi="宋体" w:eastAsia="宋体" w:cs="宋体"/>
          <w:color w:val="FF0000"/>
          <w:kern w:val="0"/>
          <w:sz w:val="21"/>
          <w:szCs w:val="21"/>
          <w:lang w:val="en-US" w:eastAsia="zh-CN"/>
        </w:rPr>
      </w:pPr>
      <w:r>
        <w:rPr>
          <w:rFonts w:hint="eastAsia" w:ascii="宋体" w:hAnsi="宋体" w:eastAsia="宋体" w:cs="宋体"/>
          <w:kern w:val="0"/>
          <w:sz w:val="21"/>
          <w:szCs w:val="21"/>
          <w:lang w:val="en-US" w:eastAsia="zh-CN"/>
        </w:rPr>
        <w:t>比选申请人需提供营业执照（三证合一）、中华人民共和国道路运输经营许可证（经营范围：道路普通货物运输）。</w:t>
      </w:r>
    </w:p>
    <w:p w14:paraId="4D7679D0">
      <w:pPr>
        <w:widowControl/>
        <w:numPr>
          <w:ilvl w:val="0"/>
          <w:numId w:val="5"/>
        </w:numPr>
        <w:spacing w:before="75" w:after="75"/>
        <w:ind w:left="425" w:leftChars="0" w:hanging="425" w:firstLineChars="0"/>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比选申请人须于2026年9月14日14时30分前缴纳投标保证金20000元，以比选申请人基本账户对公转账至以下账户：</w:t>
      </w:r>
    </w:p>
    <w:p w14:paraId="05748A1A">
      <w:pPr>
        <w:widowControl/>
        <w:numPr>
          <w:ilvl w:val="0"/>
          <w:numId w:val="0"/>
        </w:numPr>
        <w:spacing w:before="75" w:after="75"/>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 xml:space="preserve">开户银行：四川宏达股份有限公司中国银行什邡支行营业部                                                                                                                 </w:t>
      </w:r>
    </w:p>
    <w:p w14:paraId="7EC9C558">
      <w:pPr>
        <w:widowControl/>
        <w:numPr>
          <w:ilvl w:val="0"/>
          <w:numId w:val="0"/>
        </w:numPr>
        <w:spacing w:before="75" w:after="75"/>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开户账号：121203636202</w:t>
      </w:r>
    </w:p>
    <w:p w14:paraId="1F9EBA93">
      <w:pPr>
        <w:widowControl/>
        <w:numPr>
          <w:ilvl w:val="0"/>
          <w:numId w:val="0"/>
        </w:numPr>
        <w:spacing w:before="75" w:after="75"/>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投标人需备注：什邡洛水镇--新疆阿拉尔市磷酸一铵汽车运输服务项目投标保证金（可自行简写）。</w:t>
      </w:r>
    </w:p>
    <w:p w14:paraId="67CA5709">
      <w:pPr>
        <w:widowControl/>
        <w:numPr>
          <w:ilvl w:val="0"/>
          <w:numId w:val="0"/>
        </w:numPr>
        <w:spacing w:before="75" w:after="75"/>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保证金的退还：未中标人缴纳的投标保证金于中标通知书发出后5个工作日内退还，中标人缴纳的投标保证金自动转为履约保证金，待合同履行完毕后，退还至中标人指定账户。中标人若在履约过程中拒不履行合同或部分履行合同，履约保证金将不予退还。</w:t>
      </w:r>
    </w:p>
    <w:p w14:paraId="45F9CBDE">
      <w:pPr>
        <w:widowControl/>
        <w:numPr>
          <w:ilvl w:val="0"/>
          <w:numId w:val="0"/>
        </w:numPr>
        <w:spacing w:before="75" w:after="75"/>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有下列情形之一的，投标保证金将不予退还：</w:t>
      </w:r>
    </w:p>
    <w:p w14:paraId="6B06C26C">
      <w:pPr>
        <w:widowControl/>
        <w:numPr>
          <w:ilvl w:val="0"/>
          <w:numId w:val="0"/>
        </w:numPr>
        <w:spacing w:before="75" w:after="75"/>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 xml:space="preserve"> （1）比选申请人在投标有效期内撤销比选申请文件；</w:t>
      </w:r>
    </w:p>
    <w:p w14:paraId="4D56DF5C">
      <w:pPr>
        <w:widowControl/>
        <w:numPr>
          <w:ilvl w:val="0"/>
          <w:numId w:val="0"/>
        </w:numPr>
        <w:spacing w:before="75" w:after="75"/>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 xml:space="preserve"> （2）中标人在收到中标通知书后，无正当理由不与比选人订立合同，在签订合同时向比选人提出附加条件；</w:t>
      </w:r>
    </w:p>
    <w:p w14:paraId="649F8A2D">
      <w:pPr>
        <w:widowControl/>
        <w:numPr>
          <w:ilvl w:val="0"/>
          <w:numId w:val="0"/>
        </w:numPr>
        <w:spacing w:before="75" w:after="75"/>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 xml:space="preserve"> （3）发生比选申请人规定的其他可以不予退还比选保证金的情形。：</w:t>
      </w:r>
    </w:p>
    <w:p w14:paraId="3E2602F1">
      <w:pPr>
        <w:widowControl/>
        <w:numPr>
          <w:ilvl w:val="0"/>
          <w:numId w:val="6"/>
        </w:numPr>
        <w:spacing w:before="75" w:after="75"/>
        <w:ind w:left="0" w:leftChars="0" w:firstLine="420" w:firstLineChars="200"/>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比选申请人在投标有效期内撤销比选申请文件；</w:t>
      </w:r>
    </w:p>
    <w:p w14:paraId="6D964734">
      <w:pPr>
        <w:widowControl/>
        <w:numPr>
          <w:ilvl w:val="0"/>
          <w:numId w:val="6"/>
        </w:numPr>
        <w:spacing w:before="75" w:after="75"/>
        <w:ind w:left="0" w:leftChars="0" w:firstLine="420" w:firstLineChars="200"/>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中选人在收到中标通知书后，无正当理由不与比选人订立合同，在签订合同时向比选人提出附加条件；</w:t>
      </w:r>
    </w:p>
    <w:p w14:paraId="5703EA78">
      <w:pPr>
        <w:widowControl/>
        <w:numPr>
          <w:ilvl w:val="0"/>
          <w:numId w:val="6"/>
        </w:numPr>
        <w:spacing w:before="75" w:after="75"/>
        <w:ind w:left="0" w:leftChars="0" w:firstLine="420" w:firstLineChars="200"/>
        <w:jc w:val="left"/>
        <w:rPr>
          <w:rFonts w:hint="eastAsia" w:ascii="宋体" w:hAnsi="宋体" w:eastAsia="宋体" w:cs="宋体"/>
          <w:color w:val="FF0000"/>
          <w:kern w:val="0"/>
          <w:sz w:val="21"/>
          <w:szCs w:val="21"/>
          <w:lang w:val="en-US" w:eastAsia="zh-CN"/>
        </w:rPr>
      </w:pPr>
      <w:r>
        <w:rPr>
          <w:rFonts w:hint="eastAsia" w:ascii="宋体" w:hAnsi="宋体" w:eastAsia="宋体" w:cs="宋体"/>
          <w:color w:val="FF0000"/>
          <w:kern w:val="0"/>
          <w:sz w:val="21"/>
          <w:szCs w:val="21"/>
          <w:lang w:val="en-US" w:eastAsia="zh-CN"/>
        </w:rPr>
        <w:t>发生比选申请人规定的其他可以不予退还比选保证金的情形。</w:t>
      </w:r>
    </w:p>
    <w:p w14:paraId="6D5C1B8D">
      <w:pPr>
        <w:widowControl/>
        <w:spacing w:before="75" w:after="75"/>
        <w:jc w:val="left"/>
        <w:rPr>
          <w:rFonts w:hint="eastAsia" w:ascii="微软雅黑" w:hAnsi="微软雅黑" w:eastAsia="微软雅黑" w:cs="宋体"/>
          <w:color w:val="FF0000"/>
          <w:kern w:val="0"/>
          <w:szCs w:val="21"/>
        </w:rPr>
      </w:pPr>
      <w:r>
        <w:rPr>
          <w:rFonts w:hint="eastAsia" w:ascii="微软雅黑" w:hAnsi="微软雅黑" w:eastAsia="微软雅黑" w:cs="宋体"/>
          <w:kern w:val="0"/>
          <w:szCs w:val="21"/>
        </w:rPr>
        <w:t>9</w:t>
      </w:r>
      <w:r>
        <w:rPr>
          <w:rFonts w:hint="eastAsia" w:ascii="微软雅黑" w:hAnsi="微软雅黑" w:eastAsia="微软雅黑" w:cs="宋体"/>
          <w:color w:val="000000"/>
          <w:kern w:val="0"/>
          <w:szCs w:val="21"/>
        </w:rPr>
        <w:t>、比选时不保证最低价中选，但充分注意合理的最低报价。</w:t>
      </w:r>
      <w:r>
        <w:rPr>
          <w:rFonts w:hint="eastAsia" w:ascii="微软雅黑" w:hAnsi="微软雅黑" w:eastAsia="微软雅黑" w:cs="宋体"/>
          <w:color w:val="FF0000"/>
          <w:kern w:val="0"/>
          <w:szCs w:val="21"/>
        </w:rPr>
        <w:t>不进行二次议价！</w:t>
      </w:r>
    </w:p>
    <w:p w14:paraId="42899047">
      <w:pPr>
        <w:widowControl/>
        <w:spacing w:before="75" w:after="75"/>
        <w:jc w:val="left"/>
        <w:rPr>
          <w:rFonts w:ascii="微软雅黑" w:hAnsi="微软雅黑" w:eastAsia="微软雅黑" w:cs="宋体"/>
          <w:color w:val="000000"/>
          <w:kern w:val="0"/>
          <w:szCs w:val="21"/>
        </w:rPr>
      </w:pPr>
      <w:r>
        <w:rPr>
          <w:rFonts w:hint="eastAsia" w:ascii="微软雅黑" w:hAnsi="微软雅黑" w:eastAsia="微软雅黑" w:cs="宋体"/>
          <w:color w:val="000000"/>
          <w:kern w:val="0"/>
          <w:szCs w:val="21"/>
        </w:rPr>
        <w:t>1</w:t>
      </w:r>
      <w:r>
        <w:rPr>
          <w:rFonts w:hint="eastAsia" w:ascii="微软雅黑" w:hAnsi="微软雅黑" w:eastAsia="微软雅黑" w:cs="宋体"/>
          <w:color w:val="000000"/>
          <w:kern w:val="0"/>
          <w:szCs w:val="21"/>
          <w:lang w:val="en-US" w:eastAsia="zh-CN"/>
        </w:rPr>
        <w:t>0</w:t>
      </w:r>
      <w:r>
        <w:rPr>
          <w:rFonts w:hint="eastAsia" w:ascii="微软雅黑" w:hAnsi="微软雅黑" w:eastAsia="微软雅黑" w:cs="宋体"/>
          <w:color w:val="000000"/>
          <w:kern w:val="0"/>
          <w:szCs w:val="21"/>
        </w:rPr>
        <w:t>、交送报价文件前，</w:t>
      </w:r>
      <w:r>
        <w:rPr>
          <w:rFonts w:hint="eastAsia" w:ascii="微软雅黑" w:hAnsi="微软雅黑" w:eastAsia="微软雅黑" w:cs="宋体"/>
          <w:color w:val="000000"/>
          <w:kern w:val="0"/>
          <w:szCs w:val="21"/>
          <w:lang w:val="en-US" w:eastAsia="zh-CN"/>
        </w:rPr>
        <w:t>承运单位</w:t>
      </w:r>
      <w:r>
        <w:rPr>
          <w:rFonts w:hint="eastAsia" w:ascii="微软雅黑" w:hAnsi="微软雅黑" w:eastAsia="微软雅黑" w:cs="宋体"/>
          <w:color w:val="000000"/>
          <w:kern w:val="0"/>
          <w:szCs w:val="21"/>
        </w:rPr>
        <w:t>可自愿前来我公司进行实地考查、技术交流或咨询。</w:t>
      </w:r>
    </w:p>
    <w:p w14:paraId="3A9278C3">
      <w:pPr>
        <w:jc w:val="right"/>
        <w:rPr>
          <w:rFonts w:hint="eastAsia" w:ascii="宋体" w:hAnsi="宋体" w:eastAsia="宋体" w:cs="宋体"/>
          <w:kern w:val="0"/>
          <w:szCs w:val="21"/>
        </w:rPr>
      </w:pPr>
    </w:p>
    <w:p w14:paraId="09E1413E">
      <w:pPr>
        <w:jc w:val="right"/>
        <w:rPr>
          <w:rFonts w:hint="eastAsia" w:ascii="宋体" w:hAnsi="宋体" w:eastAsia="宋体" w:cs="宋体"/>
          <w:kern w:val="0"/>
          <w:sz w:val="28"/>
          <w:szCs w:val="28"/>
          <w:lang w:val="en-US" w:eastAsia="zh-CN"/>
        </w:rPr>
      </w:pPr>
    </w:p>
    <w:p w14:paraId="7BB1F251">
      <w:pPr>
        <w:jc w:val="right"/>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磷肥销售中心（</w:t>
      </w:r>
      <w:r>
        <w:rPr>
          <w:rFonts w:hint="eastAsia" w:ascii="宋体" w:hAnsi="宋体" w:eastAsia="宋体" w:cs="宋体"/>
          <w:kern w:val="0"/>
          <w:sz w:val="28"/>
          <w:szCs w:val="28"/>
        </w:rPr>
        <w:t>联系人</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李斌13980118021</w:t>
      </w:r>
    </w:p>
    <w:p w14:paraId="009ADC9E">
      <w:pPr>
        <w:adjustRightInd w:val="0"/>
        <w:spacing w:line="420" w:lineRule="exact"/>
        <w:jc w:val="right"/>
        <w:rPr>
          <w:rFonts w:ascii="宋体" w:hAnsi="宋体" w:eastAsia="宋体" w:cs="宋体"/>
          <w:kern w:val="0"/>
          <w:szCs w:val="21"/>
        </w:rPr>
      </w:pPr>
      <w:r>
        <w:rPr>
          <w:rFonts w:hint="eastAsia" w:ascii="宋体" w:hAnsi="宋体" w:eastAsia="宋体" w:cs="宋体"/>
          <w:kern w:val="0"/>
          <w:sz w:val="28"/>
          <w:szCs w:val="28"/>
        </w:rPr>
        <w:t>地 址：四川省德阳市什邡市洛水镇          邮 编：618401</w:t>
      </w:r>
      <w:r>
        <w:rPr>
          <w:rFonts w:hint="eastAsia" w:ascii="宋体" w:hAnsi="宋体" w:eastAsia="宋体" w:cs="宋体"/>
          <w:kern w:val="0"/>
          <w:szCs w:val="21"/>
        </w:rPr>
        <w:t xml:space="preserve">           </w:t>
      </w:r>
    </w:p>
    <w:p w14:paraId="38ACED94">
      <w:pPr>
        <w:adjustRightInd w:val="0"/>
        <w:spacing w:line="420" w:lineRule="exact"/>
        <w:jc w:val="left"/>
        <w:rPr>
          <w:rFonts w:ascii="黑体" w:hAnsi="黑体" w:eastAsia="黑体" w:cs="宋体"/>
          <w:kern w:val="0"/>
          <w:sz w:val="28"/>
          <w:szCs w:val="28"/>
        </w:rPr>
      </w:pPr>
    </w:p>
    <w:p w14:paraId="7933083C">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16C43937">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日</w:t>
      </w:r>
    </w:p>
    <w:p w14:paraId="14A77551">
      <w:pPr>
        <w:spacing w:line="360" w:lineRule="exact"/>
        <w:rPr>
          <w:rFonts w:ascii="黑体" w:hAnsi="黑体" w:eastAsia="黑体" w:cs="宋体"/>
          <w:b/>
          <w:kern w:val="0"/>
          <w:sz w:val="28"/>
          <w:szCs w:val="28"/>
        </w:rPr>
      </w:pPr>
    </w:p>
    <w:p w14:paraId="36EEFE58">
      <w:pPr>
        <w:jc w:val="center"/>
        <w:rPr>
          <w:rFonts w:hint="eastAsia" w:ascii="宋体" w:hAnsi="宋体" w:eastAsia="宋体" w:cs="宋体"/>
          <w:b/>
          <w:bCs/>
          <w:sz w:val="36"/>
          <w:szCs w:val="36"/>
        </w:rPr>
      </w:pPr>
      <w:bookmarkStart w:id="0" w:name="_Hlk155791057"/>
      <w:bookmarkStart w:id="1" w:name="_Toc318986166"/>
      <w:bookmarkStart w:id="2" w:name="_Toc275019290"/>
      <w:bookmarkStart w:id="3" w:name="_Toc275019836"/>
      <w:bookmarkStart w:id="4" w:name="_Toc303149804"/>
      <w:bookmarkStart w:id="5" w:name="_Toc16684"/>
      <w:bookmarkStart w:id="6" w:name="_Toc269113527"/>
      <w:bookmarkStart w:id="7" w:name="_Toc275014947"/>
      <w:bookmarkStart w:id="8" w:name="_Toc274596702"/>
      <w:bookmarkStart w:id="9" w:name="_Toc274236999"/>
      <w:bookmarkStart w:id="10" w:name="_Toc238552273"/>
      <w:bookmarkStart w:id="11" w:name="_Toc275019684"/>
      <w:bookmarkStart w:id="12" w:name="_Toc268793030"/>
      <w:bookmarkStart w:id="13" w:name="_Toc238797630"/>
    </w:p>
    <w:p w14:paraId="75C84140">
      <w:pPr>
        <w:jc w:val="center"/>
        <w:rPr>
          <w:rFonts w:hint="eastAsia" w:ascii="宋体" w:hAnsi="宋体" w:eastAsia="宋体" w:cs="宋体"/>
          <w:b/>
          <w:bCs/>
          <w:sz w:val="36"/>
          <w:szCs w:val="36"/>
        </w:rPr>
      </w:pPr>
    </w:p>
    <w:p w14:paraId="1D26C238">
      <w:pPr>
        <w:jc w:val="center"/>
        <w:rPr>
          <w:rFonts w:hint="eastAsia" w:ascii="宋体" w:hAnsi="宋体" w:eastAsia="宋体" w:cs="宋体"/>
          <w:b/>
          <w:bCs/>
          <w:sz w:val="36"/>
          <w:szCs w:val="36"/>
        </w:rPr>
      </w:pPr>
    </w:p>
    <w:p w14:paraId="4540B92D">
      <w:pPr>
        <w:jc w:val="center"/>
        <w:rPr>
          <w:rFonts w:hint="eastAsia" w:ascii="宋体" w:hAnsi="宋体" w:eastAsia="宋体" w:cs="宋体"/>
          <w:b/>
          <w:bCs/>
          <w:sz w:val="36"/>
          <w:szCs w:val="36"/>
        </w:rPr>
      </w:pPr>
    </w:p>
    <w:p w14:paraId="17EE52B4">
      <w:pPr>
        <w:jc w:val="center"/>
        <w:rPr>
          <w:rFonts w:hint="eastAsia" w:ascii="宋体" w:hAnsi="宋体" w:eastAsia="宋体" w:cs="宋体"/>
          <w:b/>
          <w:bCs/>
          <w:sz w:val="36"/>
          <w:szCs w:val="36"/>
        </w:rPr>
      </w:pPr>
    </w:p>
    <w:p w14:paraId="49AD5E83">
      <w:pPr>
        <w:jc w:val="center"/>
        <w:rPr>
          <w:rFonts w:hint="eastAsia" w:ascii="宋体" w:hAnsi="宋体" w:eastAsia="宋体" w:cs="宋体"/>
          <w:b/>
          <w:bCs/>
          <w:sz w:val="36"/>
          <w:szCs w:val="36"/>
        </w:rPr>
      </w:pPr>
    </w:p>
    <w:p w14:paraId="2E1D5B49">
      <w:pPr>
        <w:jc w:val="center"/>
        <w:rPr>
          <w:rFonts w:hint="eastAsia" w:ascii="宋体" w:hAnsi="宋体" w:eastAsia="宋体" w:cs="宋体"/>
          <w:b/>
          <w:bCs/>
          <w:sz w:val="36"/>
          <w:szCs w:val="36"/>
        </w:rPr>
      </w:pPr>
    </w:p>
    <w:p w14:paraId="498C1DD4">
      <w:pPr>
        <w:jc w:val="center"/>
        <w:rPr>
          <w:rFonts w:hint="eastAsia" w:ascii="宋体" w:hAnsi="宋体" w:eastAsia="宋体" w:cs="宋体"/>
          <w:b/>
          <w:bCs/>
          <w:sz w:val="36"/>
          <w:szCs w:val="36"/>
        </w:rPr>
      </w:pPr>
    </w:p>
    <w:p w14:paraId="1EEADD8D">
      <w:pPr>
        <w:jc w:val="center"/>
        <w:rPr>
          <w:rFonts w:hint="eastAsia" w:ascii="宋体" w:hAnsi="宋体" w:eastAsia="宋体" w:cs="宋体"/>
          <w:b/>
          <w:bCs/>
          <w:sz w:val="36"/>
          <w:szCs w:val="36"/>
        </w:rPr>
      </w:pPr>
    </w:p>
    <w:p w14:paraId="77BD86B2">
      <w:pPr>
        <w:jc w:val="center"/>
        <w:rPr>
          <w:rFonts w:hint="eastAsia" w:ascii="宋体" w:hAnsi="宋体" w:eastAsia="宋体" w:cs="宋体"/>
          <w:b/>
          <w:bCs/>
          <w:sz w:val="36"/>
          <w:szCs w:val="36"/>
        </w:rPr>
      </w:pPr>
    </w:p>
    <w:p w14:paraId="576664D4">
      <w:pPr>
        <w:jc w:val="center"/>
        <w:rPr>
          <w:rFonts w:hint="eastAsia" w:ascii="宋体" w:hAnsi="宋体" w:eastAsia="宋体" w:cs="宋体"/>
          <w:b/>
          <w:bCs/>
          <w:sz w:val="36"/>
          <w:szCs w:val="36"/>
        </w:rPr>
      </w:pPr>
    </w:p>
    <w:p w14:paraId="0F827577">
      <w:pPr>
        <w:jc w:val="center"/>
        <w:rPr>
          <w:rFonts w:hint="eastAsia" w:ascii="宋体" w:hAnsi="宋体" w:eastAsia="宋体" w:cs="宋体"/>
          <w:b/>
          <w:bCs/>
          <w:sz w:val="36"/>
          <w:szCs w:val="36"/>
        </w:rPr>
      </w:pPr>
    </w:p>
    <w:p w14:paraId="14921D37">
      <w:pPr>
        <w:jc w:val="center"/>
        <w:rPr>
          <w:rFonts w:hint="eastAsia" w:ascii="宋体" w:hAnsi="宋体" w:eastAsia="宋体" w:cs="宋体"/>
          <w:b/>
          <w:bCs/>
          <w:sz w:val="36"/>
          <w:szCs w:val="36"/>
        </w:rPr>
      </w:pPr>
    </w:p>
    <w:p w14:paraId="0BADAD03">
      <w:pPr>
        <w:jc w:val="center"/>
        <w:rPr>
          <w:rFonts w:hint="eastAsia" w:ascii="宋体" w:hAnsi="宋体" w:eastAsia="宋体" w:cs="宋体"/>
          <w:b/>
          <w:bCs/>
          <w:sz w:val="36"/>
          <w:szCs w:val="36"/>
        </w:rPr>
      </w:pPr>
    </w:p>
    <w:p w14:paraId="65E0A1F2">
      <w:pPr>
        <w:jc w:val="center"/>
        <w:rPr>
          <w:rFonts w:hint="eastAsia" w:ascii="宋体" w:hAnsi="宋体" w:eastAsia="宋体" w:cs="宋体"/>
          <w:b/>
          <w:bCs/>
          <w:sz w:val="36"/>
          <w:szCs w:val="36"/>
        </w:rPr>
      </w:pPr>
    </w:p>
    <w:p w14:paraId="7634BCEA">
      <w:pPr>
        <w:jc w:val="center"/>
        <w:rPr>
          <w:rFonts w:hint="eastAsia" w:ascii="宋体" w:hAnsi="宋体" w:eastAsia="宋体" w:cs="宋体"/>
          <w:b/>
          <w:bCs/>
          <w:sz w:val="36"/>
          <w:szCs w:val="36"/>
        </w:rPr>
      </w:pPr>
    </w:p>
    <w:p w14:paraId="75F245AC">
      <w:pPr>
        <w:jc w:val="center"/>
        <w:rPr>
          <w:rFonts w:hint="eastAsia" w:ascii="宋体" w:hAnsi="宋体" w:eastAsia="宋体" w:cs="宋体"/>
          <w:b/>
          <w:bCs/>
          <w:sz w:val="36"/>
          <w:szCs w:val="36"/>
        </w:rPr>
      </w:pPr>
    </w:p>
    <w:p w14:paraId="160D6F90">
      <w:pPr>
        <w:jc w:val="center"/>
        <w:rPr>
          <w:rFonts w:hint="eastAsia" w:ascii="宋体" w:hAnsi="宋体" w:eastAsia="宋体" w:cs="宋体"/>
          <w:b/>
          <w:bCs/>
          <w:sz w:val="36"/>
          <w:szCs w:val="36"/>
        </w:rPr>
      </w:pPr>
    </w:p>
    <w:p w14:paraId="77B91520">
      <w:pPr>
        <w:jc w:val="center"/>
        <w:rPr>
          <w:rFonts w:ascii="宋体" w:hAnsi="宋体" w:eastAsia="宋体" w:cs="宋体"/>
          <w:b/>
          <w:bCs/>
          <w:sz w:val="36"/>
          <w:szCs w:val="36"/>
        </w:rPr>
      </w:pPr>
      <w:r>
        <w:rPr>
          <w:rFonts w:hint="eastAsia" w:ascii="宋体" w:hAnsi="宋体" w:eastAsia="宋体" w:cs="宋体"/>
          <w:b/>
          <w:bCs/>
          <w:sz w:val="36"/>
          <w:szCs w:val="36"/>
        </w:rPr>
        <w:t>第二章</w:t>
      </w:r>
    </w:p>
    <w:p w14:paraId="7299224F">
      <w:pPr>
        <w:jc w:val="center"/>
        <w:rPr>
          <w:rFonts w:ascii="宋体" w:hAnsi="宋体" w:eastAsia="宋体" w:cs="宋体"/>
          <w:b/>
          <w:bCs/>
          <w:sz w:val="36"/>
          <w:szCs w:val="36"/>
        </w:rPr>
      </w:pPr>
      <w:bookmarkStart w:id="19" w:name="_GoBack"/>
      <w:r>
        <w:rPr>
          <w:rFonts w:hint="eastAsia" w:ascii="宋体" w:hAnsi="宋体" w:eastAsia="宋体" w:cs="宋体"/>
          <w:b/>
          <w:bCs/>
          <w:sz w:val="36"/>
          <w:szCs w:val="36"/>
        </w:rPr>
        <w:t>合同条款及格</w:t>
      </w:r>
      <w:bookmarkEnd w:id="19"/>
      <w:r>
        <w:rPr>
          <w:rFonts w:hint="eastAsia" w:ascii="宋体" w:hAnsi="宋体" w:eastAsia="宋体" w:cs="宋体"/>
          <w:b/>
          <w:bCs/>
          <w:sz w:val="36"/>
          <w:szCs w:val="36"/>
        </w:rPr>
        <w:t>式</w:t>
      </w:r>
    </w:p>
    <w:p w14:paraId="74336069">
      <w:pPr>
        <w:jc w:val="left"/>
        <w:rPr>
          <w:rFonts w:ascii="宋体" w:hAnsi="宋体" w:eastAsia="宋体" w:cs="宋体"/>
          <w:b/>
          <w:bCs/>
          <w:sz w:val="28"/>
          <w:szCs w:val="28"/>
        </w:rPr>
      </w:pPr>
      <w:r>
        <w:rPr>
          <w:rFonts w:hint="eastAsia" w:ascii="宋体" w:hAnsi="宋体" w:eastAsia="宋体" w:cs="宋体"/>
          <w:b/>
          <w:bCs/>
          <w:sz w:val="28"/>
          <w:szCs w:val="28"/>
        </w:rPr>
        <w:t>详见：</w:t>
      </w:r>
    </w:p>
    <w:bookmarkEnd w:id="0"/>
    <w:p w14:paraId="767A1EE3">
      <w:pPr>
        <w:keepNext w:val="0"/>
        <w:keepLines w:val="0"/>
        <w:pageBreakBefore w:val="0"/>
        <w:widowControl/>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宋体" w:cs="Times New Roman"/>
          <w:b w:val="0"/>
          <w:bCs/>
          <w:sz w:val="24"/>
          <w:lang w:val="zh-CN" w:eastAsia="zh-CN"/>
        </w:rPr>
      </w:pPr>
      <w:r>
        <w:rPr>
          <w:rFonts w:hint="eastAsia" w:ascii="宋体" w:hAnsi="宋体" w:eastAsia="宋体" w:cs="Times New Roman"/>
          <w:color w:val="FF0000"/>
          <w:kern w:val="0"/>
          <w:szCs w:val="21"/>
        </w:rPr>
        <w:t xml:space="preserve"> </w:t>
      </w:r>
      <w:r>
        <w:rPr>
          <w:rFonts w:hint="default" w:ascii="Times New Roman" w:hAnsi="Times New Roman" w:eastAsia="黑体" w:cs="Times New Roman"/>
          <w:b w:val="0"/>
          <w:bCs/>
          <w:sz w:val="32"/>
          <w:lang w:val="zh-CN" w:eastAsia="zh-CN"/>
        </w:rPr>
        <w:t>运输合同</w:t>
      </w:r>
    </w:p>
    <w:p w14:paraId="1A4F298A">
      <w:pPr>
        <w:keepNext w:val="0"/>
        <w:keepLines w:val="0"/>
        <w:pageBreakBefore w:val="0"/>
        <w:widowControl/>
        <w:kinsoku/>
        <w:wordWrap/>
        <w:overflowPunct/>
        <w:topLinePunct w:val="0"/>
        <w:autoSpaceDE/>
        <w:autoSpaceDN/>
        <w:bidi w:val="0"/>
        <w:adjustRightInd/>
        <w:snapToGrid/>
        <w:spacing w:after="0" w:line="440" w:lineRule="exact"/>
        <w:jc w:val="right"/>
        <w:textAlignment w:val="auto"/>
        <w:rPr>
          <w:rFonts w:hint="default" w:ascii="Times New Roman" w:hAnsi="Times New Roman" w:eastAsia="宋体" w:cs="Times New Roman"/>
          <w:b w:val="0"/>
          <w:sz w:val="24"/>
          <w:lang w:val="zh-CN" w:eastAsia="zh-CN"/>
        </w:rPr>
      </w:pPr>
    </w:p>
    <w:p w14:paraId="3F5648D5">
      <w:pPr>
        <w:keepNext w:val="0"/>
        <w:keepLines w:val="0"/>
        <w:pageBreakBefore w:val="0"/>
        <w:widowControl/>
        <w:kinsoku/>
        <w:wordWrap/>
        <w:overflowPunct/>
        <w:topLinePunct w:val="0"/>
        <w:autoSpaceDE/>
        <w:autoSpaceDN/>
        <w:bidi w:val="0"/>
        <w:adjustRightInd/>
        <w:snapToGrid/>
        <w:spacing w:after="0" w:line="440" w:lineRule="exact"/>
        <w:jc w:val="right"/>
        <w:textAlignment w:val="auto"/>
        <w:rPr>
          <w:rFonts w:hint="default" w:ascii="Times New Roman" w:hAnsi="Times New Roman" w:eastAsia="宋体" w:cs="Times New Roman"/>
          <w:b w:val="0"/>
          <w:sz w:val="24"/>
          <w:lang w:val="zh-CN" w:eastAsia="zh-CN"/>
        </w:rPr>
      </w:pPr>
      <w:r>
        <w:rPr>
          <w:rFonts w:hint="default" w:ascii="Times New Roman" w:hAnsi="Times New Roman" w:eastAsia="宋体" w:cs="Times New Roman"/>
          <w:b w:val="0"/>
          <w:sz w:val="24"/>
          <w:lang w:val="zh-CN" w:eastAsia="zh-CN"/>
        </w:rPr>
        <w:t>合同编号：</w:t>
      </w:r>
      <w:r>
        <w:rPr>
          <w:rFonts w:hint="default" w:ascii="Times New Roman" w:hAnsi="Times New Roman" w:cs="Times New Roman"/>
          <w:b w:val="0"/>
          <w:sz w:val="24"/>
          <w:lang w:val="zh-CN" w:eastAsia="zh-CN"/>
        </w:rPr>
        <w:t>【】</w:t>
      </w:r>
    </w:p>
    <w:p w14:paraId="4387C451">
      <w:pPr>
        <w:keepNext w:val="0"/>
        <w:keepLines w:val="0"/>
        <w:pageBreakBefore w:val="0"/>
        <w:widowControl/>
        <w:kinsoku/>
        <w:wordWrap/>
        <w:overflowPunct/>
        <w:topLinePunct w:val="0"/>
        <w:autoSpaceDE/>
        <w:autoSpaceDN/>
        <w:bidi w:val="0"/>
        <w:adjustRightInd/>
        <w:snapToGrid/>
        <w:spacing w:after="0" w:line="440" w:lineRule="exact"/>
        <w:jc w:val="right"/>
        <w:textAlignment w:val="auto"/>
        <w:rPr>
          <w:rFonts w:hint="default" w:ascii="Times New Roman" w:hAnsi="Times New Roman" w:eastAsia="宋体" w:cs="Times New Roman"/>
          <w:b w:val="0"/>
          <w:sz w:val="24"/>
          <w:lang w:val="zh-CN" w:eastAsia="zh-CN"/>
        </w:rPr>
      </w:pPr>
      <w:r>
        <w:rPr>
          <w:rFonts w:hint="default" w:ascii="Times New Roman" w:hAnsi="Times New Roman" w:eastAsia="宋体" w:cs="Times New Roman"/>
          <w:b w:val="0"/>
          <w:sz w:val="24"/>
          <w:lang w:val="zh-CN" w:eastAsia="zh-CN"/>
        </w:rPr>
        <w:t>合同签订地点：</w:t>
      </w:r>
      <w:r>
        <w:rPr>
          <w:rFonts w:hint="default" w:ascii="Times New Roman" w:hAnsi="Times New Roman" w:cs="Times New Roman"/>
          <w:b w:val="0"/>
          <w:sz w:val="24"/>
          <w:lang w:val="zh-CN" w:eastAsia="zh-CN"/>
        </w:rPr>
        <w:t>【】</w:t>
      </w:r>
    </w:p>
    <w:p w14:paraId="307F581A">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p w14:paraId="058D1DBF">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甲方（</w:t>
      </w:r>
      <w:r>
        <w:rPr>
          <w:rFonts w:hint="default" w:ascii="Times New Roman" w:hAnsi="Times New Roman" w:eastAsia="宋体" w:cs="Times New Roman"/>
          <w:b w:val="0"/>
          <w:sz w:val="24"/>
          <w:szCs w:val="24"/>
          <w:lang w:val="en-US" w:eastAsia="zh-CN"/>
        </w:rPr>
        <w:t>委托方</w:t>
      </w:r>
      <w:r>
        <w:rPr>
          <w:rFonts w:hint="default" w:ascii="Times New Roman" w:hAnsi="Times New Roman" w:eastAsia="宋体" w:cs="Times New Roman"/>
          <w:b w:val="0"/>
          <w:sz w:val="24"/>
          <w:szCs w:val="24"/>
          <w:lang w:val="zh-CN" w:eastAsia="zh-CN"/>
        </w:rPr>
        <w:t>）：</w:t>
      </w:r>
    </w:p>
    <w:p w14:paraId="54C702E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统一社会信用代码：</w:t>
      </w:r>
    </w:p>
    <w:p w14:paraId="0AF70524">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p w14:paraId="138875D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乙方（</w:t>
      </w:r>
      <w:r>
        <w:rPr>
          <w:rFonts w:hint="default" w:ascii="Times New Roman" w:hAnsi="Times New Roman" w:eastAsia="宋体" w:cs="Times New Roman"/>
          <w:b w:val="0"/>
          <w:sz w:val="24"/>
          <w:szCs w:val="24"/>
          <w:lang w:val="en-US" w:eastAsia="zh-CN"/>
        </w:rPr>
        <w:t>承运方</w:t>
      </w:r>
      <w:r>
        <w:rPr>
          <w:rFonts w:hint="default" w:ascii="Times New Roman" w:hAnsi="Times New Roman" w:eastAsia="宋体" w:cs="Times New Roman"/>
          <w:b w:val="0"/>
          <w:sz w:val="24"/>
          <w:szCs w:val="24"/>
          <w:lang w:val="zh-CN" w:eastAsia="zh-CN"/>
        </w:rPr>
        <w:t>）：</w:t>
      </w:r>
    </w:p>
    <w:p w14:paraId="77E4E4B1">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统一社会信用代码：</w:t>
      </w:r>
    </w:p>
    <w:p w14:paraId="6F76229A">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p w14:paraId="44F4088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鉴于甲方因生产经营需要委托乙方提供货物运输服务，乙方具备从事道路货物运输及危险货物运输的合法资质和能力。甲乙双方本着平等自愿、诚实信用的原则，经协商一致，订立本合同，以资共同遵守。</w:t>
      </w:r>
    </w:p>
    <w:p w14:paraId="5C1D75A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第一条 定义</w:t>
      </w:r>
    </w:p>
    <w:p w14:paraId="442A5BE2">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1.1普通货物：指不属于危险化学品、不在国家危险货物名录范围内的一般化工原料、产品、包装物及其他货物。</w:t>
      </w:r>
    </w:p>
    <w:p w14:paraId="1B564CB0">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1.2危险化学品（以下简称“危化品”）：指具有毒害、腐蚀、爆炸、燃烧、助燃等性质，对人体、设施、环境具有危害的剧毒化学品和其他化学品，具体以《危险化学品目录》及国家相关规定为准。</w:t>
      </w:r>
    </w:p>
    <w:p w14:paraId="1A6EBCF2">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1.3托运单：指甲方向乙方发出的载明货物名称、数量、重量、起运地、目的地、运输时间、特殊要求等内容的运输委托单据，包括纸质单据和电子数据形式。</w:t>
      </w:r>
    </w:p>
    <w:p w14:paraId="51743DF7">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1.4运输单证：指乙方在履行运输义务过程中产生的提货单、签收单、运单、过磅单、GPS轨迹记录及其他与运输相关的证明文件。</w:t>
      </w:r>
    </w:p>
    <w:p w14:paraId="6FEB4AC2">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sz w:val="24"/>
          <w:szCs w:val="24"/>
          <w:lang w:val="zh-CN" w:eastAsia="zh-CN"/>
        </w:rPr>
        <w:t xml:space="preserve">第二条 </w:t>
      </w:r>
      <w:r>
        <w:rPr>
          <w:rFonts w:hint="default" w:ascii="Times New Roman" w:hAnsi="Times New Roman" w:eastAsia="宋体" w:cs="Times New Roman"/>
          <w:b/>
          <w:sz w:val="24"/>
          <w:szCs w:val="24"/>
          <w:lang w:val="en-US" w:eastAsia="zh-CN"/>
        </w:rPr>
        <w:t>标的物、运输服务</w:t>
      </w:r>
      <w:r>
        <w:rPr>
          <w:rFonts w:hint="default" w:ascii="Times New Roman" w:hAnsi="Times New Roman" w:eastAsia="宋体" w:cs="Times New Roman"/>
          <w:b/>
          <w:sz w:val="24"/>
          <w:szCs w:val="24"/>
          <w:lang w:val="zh-CN" w:eastAsia="zh-CN"/>
        </w:rPr>
        <w:t>基本信息</w:t>
      </w:r>
    </w:p>
    <w:tbl>
      <w:tblPr>
        <w:tblStyle w:val="6"/>
        <w:tblW w:w="505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4"/>
        <w:gridCol w:w="1147"/>
        <w:gridCol w:w="1419"/>
        <w:gridCol w:w="1162"/>
        <w:gridCol w:w="1852"/>
        <w:gridCol w:w="1844"/>
      </w:tblGrid>
      <w:tr w14:paraId="0088A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33" w:hRule="atLeast"/>
        </w:trPr>
        <w:tc>
          <w:tcPr>
            <w:tcW w:w="692" w:type="pct"/>
            <w:tcBorders>
              <w:top w:val="single" w:color="000000" w:sz="4" w:space="0"/>
              <w:left w:val="single" w:color="auto" w:sz="4" w:space="0"/>
              <w:bottom w:val="single" w:color="000000" w:sz="4" w:space="0"/>
              <w:right w:val="single" w:color="000000" w:sz="4" w:space="0"/>
            </w:tcBorders>
            <w:vAlign w:val="center"/>
          </w:tcPr>
          <w:p w14:paraId="60F8440A">
            <w:pPr>
              <w:keepNext w:val="0"/>
              <w:keepLines w:val="0"/>
              <w:pageBreakBefore w:val="0"/>
              <w:widowControl/>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运输标的物</w:t>
            </w:r>
            <w:r>
              <w:rPr>
                <w:rFonts w:hint="default" w:ascii="Times New Roman" w:hAnsi="Times New Roman" w:eastAsia="宋体" w:cs="Times New Roman"/>
                <w:b w:val="0"/>
                <w:sz w:val="24"/>
                <w:szCs w:val="24"/>
                <w:lang w:val="zh-CN" w:eastAsia="zh-CN"/>
              </w:rPr>
              <w:t>名称</w:t>
            </w:r>
          </w:p>
        </w:tc>
        <w:tc>
          <w:tcPr>
            <w:tcW w:w="665" w:type="pct"/>
            <w:tcBorders>
              <w:top w:val="single" w:color="000000" w:sz="4" w:space="0"/>
              <w:left w:val="single" w:color="000000" w:sz="4" w:space="0"/>
              <w:bottom w:val="single" w:color="000000" w:sz="4" w:space="0"/>
              <w:right w:val="single" w:color="auto" w:sz="4" w:space="0"/>
            </w:tcBorders>
            <w:vAlign w:val="center"/>
          </w:tcPr>
          <w:p w14:paraId="045BEBCB">
            <w:pPr>
              <w:keepNext w:val="0"/>
              <w:keepLines w:val="0"/>
              <w:pageBreakBefore w:val="0"/>
              <w:widowControl/>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起运地</w:t>
            </w:r>
          </w:p>
        </w:tc>
        <w:tc>
          <w:tcPr>
            <w:tcW w:w="823" w:type="pct"/>
            <w:tcBorders>
              <w:top w:val="single" w:color="000000" w:sz="4" w:space="0"/>
              <w:left w:val="single" w:color="auto" w:sz="4" w:space="0"/>
              <w:bottom w:val="single" w:color="000000" w:sz="4" w:space="0"/>
              <w:right w:val="single" w:color="000000" w:sz="4" w:space="0"/>
            </w:tcBorders>
            <w:vAlign w:val="center"/>
          </w:tcPr>
          <w:p w14:paraId="7F33C55B">
            <w:pPr>
              <w:keepNext w:val="0"/>
              <w:keepLines w:val="0"/>
              <w:pageBreakBefore w:val="0"/>
              <w:widowControl/>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目的地</w:t>
            </w:r>
          </w:p>
        </w:tc>
        <w:tc>
          <w:tcPr>
            <w:tcW w:w="674" w:type="pct"/>
            <w:tcBorders>
              <w:top w:val="single" w:color="000000" w:sz="4" w:space="0"/>
              <w:left w:val="single" w:color="000000" w:sz="4" w:space="0"/>
              <w:bottom w:val="single" w:color="auto" w:sz="4" w:space="0"/>
              <w:right w:val="single" w:color="000000" w:sz="4" w:space="0"/>
            </w:tcBorders>
            <w:vAlign w:val="center"/>
          </w:tcPr>
          <w:p w14:paraId="67813FDB">
            <w:pPr>
              <w:keepNext w:val="0"/>
              <w:keepLines w:val="0"/>
              <w:pageBreakBefore w:val="0"/>
              <w:widowControl/>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预计</w:t>
            </w:r>
            <w:r>
              <w:rPr>
                <w:rFonts w:hint="default" w:ascii="Times New Roman" w:hAnsi="Times New Roman" w:eastAsia="宋体" w:cs="Times New Roman"/>
                <w:b w:val="0"/>
                <w:sz w:val="24"/>
                <w:szCs w:val="24"/>
                <w:lang w:val="zh-CN" w:eastAsia="zh-CN"/>
              </w:rPr>
              <w:t>数量（吨）</w:t>
            </w:r>
          </w:p>
        </w:tc>
        <w:tc>
          <w:tcPr>
            <w:tcW w:w="1074" w:type="pct"/>
            <w:tcBorders>
              <w:top w:val="single" w:color="000000" w:sz="4" w:space="0"/>
              <w:left w:val="single" w:color="000000" w:sz="4" w:space="0"/>
              <w:bottom w:val="single" w:color="000000" w:sz="4" w:space="0"/>
              <w:right w:val="single" w:color="auto" w:sz="4" w:space="0"/>
            </w:tcBorders>
            <w:vAlign w:val="center"/>
          </w:tcPr>
          <w:p w14:paraId="1F559C91">
            <w:pPr>
              <w:keepNext w:val="0"/>
              <w:keepLines w:val="0"/>
              <w:pageBreakBefore w:val="0"/>
              <w:widowControl/>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运输方式</w:t>
            </w:r>
          </w:p>
        </w:tc>
        <w:tc>
          <w:tcPr>
            <w:tcW w:w="1069" w:type="pct"/>
            <w:tcBorders>
              <w:top w:val="single" w:color="000000" w:sz="4" w:space="0"/>
              <w:left w:val="single" w:color="auto" w:sz="4" w:space="0"/>
              <w:bottom w:val="single" w:color="000000" w:sz="4" w:space="0"/>
              <w:right w:val="single" w:color="000000" w:sz="4" w:space="0"/>
            </w:tcBorders>
            <w:vAlign w:val="center"/>
          </w:tcPr>
          <w:p w14:paraId="7063B754">
            <w:pPr>
              <w:keepNext w:val="0"/>
              <w:keepLines w:val="0"/>
              <w:pageBreakBefore w:val="0"/>
              <w:widowControl/>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服务方式</w:t>
            </w:r>
          </w:p>
        </w:tc>
      </w:tr>
      <w:tr w14:paraId="3F2C0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5" w:hRule="atLeast"/>
        </w:trPr>
        <w:tc>
          <w:tcPr>
            <w:tcW w:w="692" w:type="pct"/>
            <w:tcBorders>
              <w:top w:val="single" w:color="000000" w:sz="4" w:space="0"/>
              <w:left w:val="single" w:color="auto" w:sz="4" w:space="0"/>
              <w:bottom w:val="single" w:color="000000" w:sz="4" w:space="0"/>
              <w:right w:val="single" w:color="000000" w:sz="4" w:space="0"/>
            </w:tcBorders>
            <w:vAlign w:val="center"/>
          </w:tcPr>
          <w:p w14:paraId="5B7C718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tc>
        <w:tc>
          <w:tcPr>
            <w:tcW w:w="665" w:type="pct"/>
            <w:tcBorders>
              <w:top w:val="single" w:color="000000" w:sz="4" w:space="0"/>
              <w:left w:val="single" w:color="000000" w:sz="4" w:space="0"/>
              <w:right w:val="single" w:color="auto" w:sz="4" w:space="0"/>
            </w:tcBorders>
          </w:tcPr>
          <w:p w14:paraId="394EE59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tc>
        <w:tc>
          <w:tcPr>
            <w:tcW w:w="823" w:type="pct"/>
            <w:tcBorders>
              <w:top w:val="single" w:color="000000" w:sz="4" w:space="0"/>
              <w:left w:val="single" w:color="auto" w:sz="4" w:space="0"/>
              <w:bottom w:val="single" w:color="000000" w:sz="4" w:space="0"/>
              <w:right w:val="single" w:color="000000" w:sz="4" w:space="0"/>
            </w:tcBorders>
            <w:vAlign w:val="center"/>
          </w:tcPr>
          <w:p w14:paraId="0EE5269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tc>
        <w:tc>
          <w:tcPr>
            <w:tcW w:w="674" w:type="pct"/>
            <w:tcBorders>
              <w:top w:val="single" w:color="auto" w:sz="4" w:space="0"/>
              <w:left w:val="single" w:color="000000" w:sz="4" w:space="0"/>
              <w:bottom w:val="single" w:color="000000" w:sz="4" w:space="0"/>
              <w:right w:val="single" w:color="000000" w:sz="4" w:space="0"/>
            </w:tcBorders>
            <w:vAlign w:val="center"/>
          </w:tcPr>
          <w:p w14:paraId="1FE30F54">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tc>
        <w:tc>
          <w:tcPr>
            <w:tcW w:w="1074" w:type="pct"/>
            <w:tcBorders>
              <w:top w:val="single" w:color="000000" w:sz="4" w:space="0"/>
              <w:left w:val="single" w:color="000000" w:sz="4" w:space="0"/>
              <w:right w:val="single" w:color="auto" w:sz="4" w:space="0"/>
            </w:tcBorders>
            <w:vAlign w:val="center"/>
          </w:tcPr>
          <w:p w14:paraId="6C9C490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tc>
        <w:tc>
          <w:tcPr>
            <w:tcW w:w="1069" w:type="pct"/>
            <w:tcBorders>
              <w:top w:val="single" w:color="000000" w:sz="4" w:space="0"/>
              <w:left w:val="single" w:color="auto" w:sz="4" w:space="0"/>
              <w:right w:val="single" w:color="000000" w:sz="4" w:space="0"/>
            </w:tcBorders>
            <w:vAlign w:val="center"/>
          </w:tcPr>
          <w:p w14:paraId="34DE03BA">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tc>
      </w:tr>
      <w:tr w14:paraId="1E734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4" w:hRule="atLeast"/>
        </w:trPr>
        <w:tc>
          <w:tcPr>
            <w:tcW w:w="5000" w:type="pct"/>
            <w:gridSpan w:val="6"/>
            <w:tcBorders>
              <w:top w:val="single" w:color="000000" w:sz="4" w:space="0"/>
              <w:left w:val="single" w:color="auto" w:sz="4" w:space="0"/>
              <w:bottom w:val="single" w:color="000000" w:sz="4" w:space="0"/>
              <w:right w:val="single" w:color="000000" w:sz="4" w:space="0"/>
            </w:tcBorders>
            <w:vAlign w:val="center"/>
          </w:tcPr>
          <w:p w14:paraId="7C141DC5">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备注：</w:t>
            </w:r>
          </w:p>
          <w:p w14:paraId="08EB27AE">
            <w:pPr>
              <w:keepNext w:val="0"/>
              <w:keepLines w:val="0"/>
              <w:pageBreakBefore w:val="0"/>
              <w:widowControl/>
              <w:numPr>
                <w:ilvl w:val="0"/>
                <w:numId w:val="0"/>
              </w:numPr>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bidi="ar-SA"/>
              </w:rPr>
              <w:t>1.</w:t>
            </w:r>
            <w:r>
              <w:rPr>
                <w:rFonts w:hint="default" w:ascii="Times New Roman" w:hAnsi="Times New Roman" w:eastAsia="宋体" w:cs="Times New Roman"/>
                <w:b w:val="0"/>
                <w:sz w:val="24"/>
                <w:szCs w:val="24"/>
                <w:lang w:val="en-US" w:eastAsia="zh-CN"/>
              </w:rPr>
              <w:t>乙方负责从起运地将运输标的物承运至目的地，并根据甲方安排的承运数量，组织运输。</w:t>
            </w:r>
          </w:p>
          <w:p w14:paraId="52412AF5">
            <w:pPr>
              <w:keepNext w:val="0"/>
              <w:keepLines w:val="0"/>
              <w:pageBreakBefore w:val="0"/>
              <w:widowControl/>
              <w:numPr>
                <w:ilvl w:val="0"/>
                <w:numId w:val="0"/>
              </w:numPr>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bidi="ar-SA"/>
              </w:rPr>
              <w:t>2.</w:t>
            </w:r>
            <w:r>
              <w:rPr>
                <w:rFonts w:hint="default" w:ascii="Times New Roman" w:hAnsi="Times New Roman" w:eastAsia="宋体" w:cs="Times New Roman"/>
                <w:sz w:val="24"/>
                <w:szCs w:val="24"/>
              </w:rPr>
              <w:t>乙方充分理解甲方对运输服务的实际需求可能增减调整，乙方</w:t>
            </w:r>
            <w:r>
              <w:rPr>
                <w:rFonts w:hint="default" w:ascii="Times New Roman" w:hAnsi="Times New Roman" w:eastAsia="宋体" w:cs="Times New Roman"/>
                <w:sz w:val="24"/>
                <w:szCs w:val="24"/>
                <w:lang w:val="en-US" w:eastAsia="zh-CN"/>
              </w:rPr>
              <w:t>承诺</w:t>
            </w:r>
            <w:r>
              <w:rPr>
                <w:rFonts w:hint="default" w:ascii="Times New Roman" w:hAnsi="Times New Roman" w:eastAsia="宋体" w:cs="Times New Roman"/>
                <w:sz w:val="24"/>
                <w:szCs w:val="24"/>
              </w:rPr>
              <w:t>不以预计数量向甲方主张任何权利。运输服务最终数量以甲方指定人员签字的运输单</w:t>
            </w:r>
            <w:r>
              <w:rPr>
                <w:rFonts w:hint="default" w:ascii="Times New Roman" w:hAnsi="Times New Roman" w:eastAsia="宋体" w:cs="Times New Roman"/>
                <w:sz w:val="24"/>
                <w:szCs w:val="24"/>
                <w:lang w:val="en-US" w:eastAsia="zh-CN"/>
              </w:rPr>
              <w:t>证</w:t>
            </w:r>
            <w:r>
              <w:rPr>
                <w:rFonts w:hint="default" w:ascii="Times New Roman" w:hAnsi="Times New Roman" w:eastAsia="宋体" w:cs="Times New Roman"/>
                <w:sz w:val="24"/>
                <w:szCs w:val="24"/>
              </w:rPr>
              <w:t>结算数量为准。</w:t>
            </w:r>
          </w:p>
        </w:tc>
      </w:tr>
    </w:tbl>
    <w:p w14:paraId="2C638783">
      <w:pPr>
        <w:keepNext w:val="0"/>
        <w:keepLines w:val="0"/>
        <w:pageBreakBefore w:val="0"/>
        <w:widowControl/>
        <w:numPr>
          <w:ilvl w:val="0"/>
          <w:numId w:val="0"/>
        </w:numPr>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sz w:val="24"/>
          <w:szCs w:val="24"/>
          <w:lang w:val="en-US" w:eastAsia="zh-CN"/>
        </w:rPr>
      </w:pPr>
      <w:r>
        <w:rPr>
          <w:rFonts w:hint="default" w:ascii="Times New Roman" w:hAnsi="Times New Roman" w:eastAsia="宋体" w:cs="Times New Roman"/>
          <w:b/>
          <w:sz w:val="24"/>
          <w:szCs w:val="24"/>
          <w:lang w:val="en-US" w:eastAsia="zh-CN" w:bidi="ar-SA"/>
        </w:rPr>
        <w:t xml:space="preserve">第三条 </w:t>
      </w:r>
      <w:r>
        <w:rPr>
          <w:rFonts w:hint="default" w:ascii="Times New Roman" w:hAnsi="Times New Roman" w:eastAsia="宋体" w:cs="Times New Roman"/>
          <w:b/>
          <w:sz w:val="24"/>
          <w:szCs w:val="24"/>
          <w:lang w:val="en-US" w:eastAsia="zh-CN"/>
        </w:rPr>
        <w:t>运输价格</w:t>
      </w:r>
    </w:p>
    <w:p w14:paraId="7816365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3.1本合同单价采用下列第</w:t>
      </w:r>
      <w:r>
        <w:rPr>
          <w:rFonts w:hint="eastAsia" w:ascii="Times New Roman" w:hAnsi="Times New Roman" w:cs="Times New Roman"/>
          <w:b w:val="0"/>
          <w:sz w:val="24"/>
          <w:szCs w:val="24"/>
          <w:lang w:val="en-US" w:eastAsia="zh-CN"/>
        </w:rPr>
        <w:t>（  ）</w:t>
      </w:r>
      <w:r>
        <w:rPr>
          <w:rFonts w:hint="default" w:ascii="Times New Roman" w:hAnsi="Times New Roman" w:eastAsia="宋体" w:cs="Times New Roman"/>
          <w:b w:val="0"/>
          <w:sz w:val="24"/>
          <w:szCs w:val="24"/>
          <w:lang w:val="en-US" w:eastAsia="zh-CN"/>
        </w:rPr>
        <w:t>种：</w:t>
      </w:r>
    </w:p>
    <w:p w14:paraId="5F2FD350">
      <w:pPr>
        <w:keepNext w:val="0"/>
        <w:keepLines w:val="0"/>
        <w:pageBreakBefore w:val="0"/>
        <w:widowControl/>
        <w:numPr>
          <w:ilvl w:val="0"/>
          <w:numId w:val="0"/>
        </w:numPr>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bidi="ar-SA"/>
        </w:rPr>
        <w:t>A.</w:t>
      </w:r>
      <w:r>
        <w:rPr>
          <w:rFonts w:hint="default" w:ascii="Times New Roman" w:hAnsi="Times New Roman" w:eastAsia="宋体" w:cs="Times New Roman"/>
          <w:b w:val="0"/>
          <w:sz w:val="24"/>
          <w:szCs w:val="24"/>
          <w:lang w:val="en-US" w:eastAsia="zh-CN"/>
        </w:rPr>
        <w:t>固定价：本合同为短途运输线路，运输单价为固定价，含税单价为【】元/吨。</w:t>
      </w:r>
    </w:p>
    <w:p w14:paraId="4FE4A495">
      <w:pPr>
        <w:keepNext w:val="0"/>
        <w:keepLines w:val="0"/>
        <w:pageBreakBefore w:val="0"/>
        <w:widowControl/>
        <w:numPr>
          <w:ilvl w:val="0"/>
          <w:numId w:val="0"/>
        </w:numPr>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bidi="ar-SA"/>
        </w:rPr>
        <w:t>B.</w:t>
      </w:r>
      <w:r>
        <w:rPr>
          <w:rFonts w:hint="default" w:ascii="Times New Roman" w:hAnsi="Times New Roman" w:eastAsia="宋体" w:cs="Times New Roman"/>
          <w:b w:val="0"/>
          <w:sz w:val="24"/>
          <w:szCs w:val="24"/>
          <w:lang w:val="en-US" w:eastAsia="zh-CN"/>
        </w:rPr>
        <w:t>浮动价：本合同为长途运输路线，运输单价按以下</w:t>
      </w:r>
      <w:r>
        <w:rPr>
          <w:rFonts w:hint="default" w:ascii="Times New Roman" w:hAnsi="Times New Roman" w:eastAsia="宋体" w:cs="Times New Roman"/>
          <w:sz w:val="24"/>
          <w:szCs w:val="24"/>
          <w:lang w:val="en-US"/>
        </w:rPr>
        <w:t>油价联动</w:t>
      </w:r>
      <w:r>
        <w:rPr>
          <w:rFonts w:hint="default" w:ascii="Times New Roman" w:hAnsi="Times New Roman" w:eastAsia="宋体" w:cs="Times New Roman"/>
          <w:sz w:val="24"/>
          <w:szCs w:val="24"/>
          <w:lang w:val="en-US" w:eastAsia="zh-CN"/>
        </w:rPr>
        <w:t>方式确定</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highlight w:val="none"/>
          <w:lang w:val="en-US" w:eastAsia="zh-CN"/>
        </w:rPr>
        <w:t>双方以【】</w:t>
      </w:r>
      <w:r>
        <w:rPr>
          <w:rFonts w:hint="default" w:ascii="Times New Roman" w:hAnsi="Times New Roman" w:eastAsia="宋体" w:cs="Times New Roman"/>
          <w:sz w:val="24"/>
          <w:szCs w:val="24"/>
          <w:highlight w:val="none"/>
          <w:lang w:val="en-US"/>
        </w:rPr>
        <w:t>年</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rPr>
        <w:t>月</w:t>
      </w:r>
      <w:r>
        <w:rPr>
          <w:rFonts w:hint="default"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lang w:val="en-US"/>
        </w:rPr>
        <w:t>日国家发改委调整公布的四川省0#柴油价格</w:t>
      </w:r>
      <w:r>
        <w:rPr>
          <w:rFonts w:hint="default" w:ascii="Times New Roman" w:hAnsi="Times New Roman" w:eastAsia="宋体" w:cs="Times New Roman"/>
          <w:sz w:val="24"/>
          <w:szCs w:val="24"/>
          <w:highlight w:val="none"/>
          <w:lang w:val="en-US" w:eastAsia="zh-CN"/>
        </w:rPr>
        <w:t>【】元</w:t>
      </w:r>
      <w:r>
        <w:rPr>
          <w:rFonts w:hint="default" w:ascii="Times New Roman" w:hAnsi="Times New Roman" w:eastAsia="宋体" w:cs="Times New Roman"/>
          <w:sz w:val="24"/>
          <w:szCs w:val="24"/>
          <w:highlight w:val="none"/>
          <w:lang w:val="en-US"/>
        </w:rPr>
        <w:t>/升为基准</w:t>
      </w:r>
      <w:r>
        <w:rPr>
          <w:rFonts w:hint="default" w:ascii="Times New Roman" w:hAnsi="Times New Roman" w:eastAsia="宋体" w:cs="Times New Roman"/>
          <w:sz w:val="24"/>
          <w:szCs w:val="24"/>
          <w:highlight w:val="none"/>
          <w:lang w:val="en-US" w:eastAsia="zh-CN"/>
        </w:rPr>
        <w:t>油价，当月柴油平均价格为比较油价。若比较油价的涨跌幅度（涨跌幅度=</w:t>
      </w:r>
      <w:r>
        <w:rPr>
          <w:rFonts w:hint="default" w:ascii="Times New Roman" w:hAnsi="Times New Roman" w:eastAsia="宋体" w:cs="Times New Roman"/>
          <w:sz w:val="24"/>
          <w:szCs w:val="24"/>
          <w:highlight w:val="none"/>
          <w:lang w:val="en-US"/>
        </w:rPr>
        <w:t>（当月平均油价−基准油价）÷基准油价×100%</w:t>
      </w:r>
      <w:r>
        <w:rPr>
          <w:rFonts w:hint="default" w:ascii="Times New Roman" w:hAnsi="Times New Roman" w:eastAsia="宋体" w:cs="Times New Roman"/>
          <w:sz w:val="24"/>
          <w:szCs w:val="24"/>
          <w:highlight w:val="none"/>
          <w:lang w:val="en-US" w:eastAsia="zh-CN"/>
        </w:rPr>
        <w:t>）在基准油价的</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highlight w:val="none"/>
          <w:lang w:val="en-US"/>
        </w:rPr>
        <w:t>10%</w:t>
      </w:r>
      <w:r>
        <w:rPr>
          <w:rFonts w:hint="default" w:ascii="Times New Roman" w:hAnsi="Times New Roman" w:eastAsia="宋体" w:cs="Times New Roman"/>
          <w:sz w:val="24"/>
          <w:szCs w:val="24"/>
          <w:highlight w:val="none"/>
          <w:lang w:val="en-US" w:eastAsia="zh-CN"/>
        </w:rPr>
        <w:t>以内，则当月运输单价=合同单价，即含税单价</w:t>
      </w:r>
      <w:r>
        <w:rPr>
          <w:rFonts w:hint="default" w:ascii="Times New Roman" w:hAnsi="Times New Roman" w:eastAsia="宋体" w:cs="Times New Roman"/>
          <w:b w:val="0"/>
          <w:sz w:val="24"/>
          <w:szCs w:val="24"/>
          <w:lang w:val="en-US" w:eastAsia="zh-CN"/>
        </w:rPr>
        <w:t>【】元/吨；</w:t>
      </w:r>
      <w:r>
        <w:rPr>
          <w:rFonts w:hint="default" w:ascii="Times New Roman" w:hAnsi="Times New Roman" w:eastAsia="宋体" w:cs="Times New Roman"/>
          <w:sz w:val="24"/>
          <w:szCs w:val="24"/>
          <w:highlight w:val="none"/>
          <w:lang w:val="en-US" w:eastAsia="zh-CN"/>
        </w:rPr>
        <w:t>若</w:t>
      </w:r>
      <w:r>
        <w:rPr>
          <w:rFonts w:hint="default" w:ascii="Times New Roman" w:hAnsi="Times New Roman" w:eastAsia="宋体" w:cs="Times New Roman"/>
          <w:sz w:val="24"/>
          <w:szCs w:val="24"/>
          <w:highlight w:val="none"/>
          <w:lang w:val="en-US"/>
        </w:rPr>
        <w:t>比较油价的</w:t>
      </w:r>
      <w:r>
        <w:rPr>
          <w:rFonts w:hint="default" w:ascii="Times New Roman" w:hAnsi="Times New Roman" w:eastAsia="宋体" w:cs="Times New Roman"/>
          <w:sz w:val="24"/>
          <w:szCs w:val="24"/>
          <w:highlight w:val="none"/>
          <w:lang w:val="en-US" w:eastAsia="zh-CN"/>
        </w:rPr>
        <w:t>涨跌幅度超过基准油价的</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highlight w:val="none"/>
          <w:lang w:val="en-US"/>
        </w:rPr>
        <w:t>10%</w:t>
      </w:r>
      <w:r>
        <w:rPr>
          <w:rFonts w:hint="default" w:ascii="Times New Roman" w:hAnsi="Times New Roman" w:eastAsia="宋体" w:cs="Times New Roman"/>
          <w:sz w:val="24"/>
          <w:szCs w:val="24"/>
          <w:highlight w:val="none"/>
          <w:lang w:val="en-US" w:eastAsia="zh-CN"/>
        </w:rPr>
        <w:t>，则当月运输单价=合同单价+合同单价</w:t>
      </w:r>
      <w:r>
        <w:rPr>
          <w:rFonts w:hint="default" w:ascii="Times New Roman" w:hAnsi="Times New Roman" w:eastAsia="宋体" w:cs="Times New Roman"/>
          <w:sz w:val="24"/>
          <w:szCs w:val="24"/>
          <w:highlight w:val="none"/>
          <w:lang w:val="en-US"/>
        </w:rPr>
        <w:t>*1/3*</w:t>
      </w:r>
      <w:r>
        <w:rPr>
          <w:rFonts w:hint="default" w:ascii="Times New Roman" w:hAnsi="Times New Roman" w:eastAsia="宋体" w:cs="Times New Roman"/>
          <w:sz w:val="24"/>
          <w:szCs w:val="24"/>
          <w:highlight w:val="none"/>
          <w:lang w:val="en-US" w:eastAsia="zh-CN"/>
        </w:rPr>
        <w:t>当月比较油价涨跌幅度。</w:t>
      </w:r>
    </w:p>
    <w:p w14:paraId="5CB9820F">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3.2本合同运输单价为</w:t>
      </w:r>
      <w:r>
        <w:rPr>
          <w:rFonts w:hint="default" w:ascii="Times New Roman" w:hAnsi="Times New Roman" w:eastAsia="宋体" w:cs="Times New Roman"/>
          <w:sz w:val="24"/>
          <w:szCs w:val="24"/>
          <w:lang w:val="en-US"/>
        </w:rPr>
        <w:t>全程</w:t>
      </w:r>
      <w:r>
        <w:rPr>
          <w:rFonts w:hint="default" w:ascii="Times New Roman" w:hAnsi="Times New Roman" w:eastAsia="宋体" w:cs="Times New Roman"/>
          <w:sz w:val="24"/>
          <w:szCs w:val="24"/>
          <w:lang w:val="en-US" w:eastAsia="zh-CN"/>
        </w:rPr>
        <w:t>综合</w:t>
      </w:r>
      <w:r>
        <w:rPr>
          <w:rFonts w:hint="default" w:ascii="Times New Roman" w:hAnsi="Times New Roman" w:eastAsia="宋体" w:cs="Times New Roman"/>
          <w:sz w:val="24"/>
          <w:szCs w:val="24"/>
          <w:lang w:val="en-US"/>
        </w:rPr>
        <w:t>包干价，包括但不限于装卸费、包装费、进出场费用、过路（桥）费、保险费用、</w:t>
      </w:r>
      <w:r>
        <w:rPr>
          <w:rFonts w:hint="default" w:ascii="Times New Roman" w:hAnsi="Times New Roman" w:eastAsia="宋体" w:cs="Times New Roman"/>
          <w:sz w:val="24"/>
          <w:szCs w:val="24"/>
          <w:lang w:val="en-US" w:eastAsia="zh-CN"/>
        </w:rPr>
        <w:t>人员薪酬、</w:t>
      </w:r>
      <w:r>
        <w:rPr>
          <w:rFonts w:hint="default" w:ascii="Times New Roman" w:hAnsi="Times New Roman" w:eastAsia="宋体" w:cs="Times New Roman"/>
          <w:sz w:val="24"/>
          <w:szCs w:val="24"/>
          <w:lang w:val="en-US"/>
        </w:rPr>
        <w:t>营运费</w:t>
      </w:r>
      <w:r>
        <w:rPr>
          <w:rFonts w:hint="default" w:ascii="Times New Roman" w:hAnsi="Times New Roman" w:eastAsia="宋体" w:cs="Times New Roman"/>
          <w:sz w:val="24"/>
          <w:szCs w:val="24"/>
          <w:lang w:val="en-US" w:eastAsia="zh-CN"/>
        </w:rPr>
        <w:t>、税费</w:t>
      </w:r>
      <w:r>
        <w:rPr>
          <w:rFonts w:hint="default" w:ascii="Times New Roman" w:hAnsi="Times New Roman" w:eastAsia="宋体" w:cs="Times New Roman"/>
          <w:sz w:val="24"/>
          <w:szCs w:val="24"/>
          <w:lang w:val="en-US"/>
        </w:rPr>
        <w:t>等乙方完成本合同的所有费用。除此之外，甲方不再支付乙方其他任何费用。</w:t>
      </w:r>
      <w:r>
        <w:rPr>
          <w:rFonts w:hint="default" w:ascii="Times New Roman" w:hAnsi="Times New Roman" w:eastAsia="宋体" w:cs="Times New Roman"/>
          <w:sz w:val="24"/>
          <w:szCs w:val="24"/>
          <w:lang w:val="en-US" w:eastAsia="zh-CN"/>
        </w:rPr>
        <w:t>税率【】%，</w:t>
      </w:r>
      <w:r>
        <w:rPr>
          <w:rFonts w:hint="default" w:ascii="Times New Roman" w:hAnsi="Times New Roman" w:eastAsia="宋体" w:cs="Times New Roman"/>
          <w:sz w:val="24"/>
          <w:szCs w:val="24"/>
          <w:lang w:val="en-US"/>
        </w:rPr>
        <w:t>如遇国家税率政策变更，则不含税价款部分不变，含税价款按照新税率重新计算。</w:t>
      </w:r>
    </w:p>
    <w:p w14:paraId="25FA80B7">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w:t>
      </w:r>
      <w:r>
        <w:rPr>
          <w:rFonts w:hint="default" w:ascii="Times New Roman" w:hAnsi="Times New Roman" w:eastAsia="宋体" w:cs="Times New Roman"/>
          <w:b/>
          <w:sz w:val="24"/>
          <w:szCs w:val="24"/>
          <w:lang w:val="en-US" w:eastAsia="zh-CN"/>
        </w:rPr>
        <w:t>四</w:t>
      </w:r>
      <w:r>
        <w:rPr>
          <w:rFonts w:hint="default" w:ascii="Times New Roman" w:hAnsi="Times New Roman" w:eastAsia="宋体" w:cs="Times New Roman"/>
          <w:b/>
          <w:sz w:val="24"/>
          <w:szCs w:val="24"/>
          <w:lang w:val="zh-CN" w:eastAsia="zh-CN"/>
        </w:rPr>
        <w:t xml:space="preserve">条 </w:t>
      </w:r>
      <w:r>
        <w:rPr>
          <w:rFonts w:hint="default" w:ascii="Times New Roman" w:hAnsi="Times New Roman" w:eastAsia="宋体" w:cs="Times New Roman"/>
          <w:b/>
          <w:sz w:val="24"/>
          <w:szCs w:val="24"/>
          <w:lang w:val="en-US" w:eastAsia="zh-CN"/>
        </w:rPr>
        <w:t>服务</w:t>
      </w:r>
      <w:r>
        <w:rPr>
          <w:rFonts w:hint="default" w:ascii="Times New Roman" w:hAnsi="Times New Roman" w:eastAsia="宋体" w:cs="Times New Roman"/>
          <w:b/>
          <w:sz w:val="24"/>
          <w:szCs w:val="24"/>
          <w:lang w:val="zh-CN" w:eastAsia="zh-CN"/>
        </w:rPr>
        <w:t>期限</w:t>
      </w:r>
    </w:p>
    <w:p w14:paraId="67146F0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4</w:t>
      </w: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运输服务</w:t>
      </w:r>
      <w:r>
        <w:rPr>
          <w:rFonts w:hint="default" w:ascii="Times New Roman" w:hAnsi="Times New Roman" w:eastAsia="宋体" w:cs="Times New Roman"/>
          <w:b w:val="0"/>
          <w:sz w:val="24"/>
          <w:szCs w:val="24"/>
          <w:lang w:val="zh-CN" w:eastAsia="zh-CN"/>
        </w:rPr>
        <w:t>期限为</w:t>
      </w:r>
      <w:r>
        <w:rPr>
          <w:rFonts w:hint="default" w:ascii="Times New Roman" w:hAnsi="Times New Roman" w:eastAsia="宋体" w:cs="Times New Roman"/>
          <w:b w:val="0"/>
          <w:sz w:val="24"/>
          <w:szCs w:val="24"/>
          <w:lang w:val="en-US" w:eastAsia="zh-CN"/>
        </w:rPr>
        <w:t>自</w:t>
      </w:r>
      <w:r>
        <w:rPr>
          <w:rFonts w:hint="default" w:ascii="Times New Roman" w:hAnsi="Times New Roman" w:eastAsia="宋体" w:cs="Times New Roman"/>
          <w:b w:val="0"/>
          <w:sz w:val="24"/>
          <w:szCs w:val="24"/>
          <w:lang w:val="zh-CN" w:eastAsia="zh-CN"/>
        </w:rPr>
        <w:t>【】年【】</w:t>
      </w:r>
      <w:r>
        <w:rPr>
          <w:rFonts w:hint="default" w:ascii="Times New Roman" w:hAnsi="Times New Roman" w:eastAsia="宋体" w:cs="Times New Roman"/>
          <w:b w:val="0"/>
          <w:sz w:val="24"/>
          <w:szCs w:val="24"/>
          <w:lang w:val="en-US" w:eastAsia="zh-CN"/>
        </w:rPr>
        <w:t>月【】日至【】年【】月【】日</w:t>
      </w:r>
      <w:r>
        <w:rPr>
          <w:rFonts w:hint="default" w:ascii="Times New Roman" w:hAnsi="Times New Roman" w:eastAsia="宋体" w:cs="Times New Roman"/>
          <w:b w:val="0"/>
          <w:sz w:val="24"/>
          <w:szCs w:val="24"/>
          <w:lang w:val="zh-CN" w:eastAsia="zh-CN"/>
        </w:rPr>
        <w:t>。</w:t>
      </w:r>
    </w:p>
    <w:p w14:paraId="25E07AB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4</w:t>
      </w:r>
      <w:r>
        <w:rPr>
          <w:rFonts w:hint="default" w:ascii="Times New Roman" w:hAnsi="Times New Roman" w:eastAsia="宋体" w:cs="Times New Roman"/>
          <w:b w:val="0"/>
          <w:sz w:val="24"/>
          <w:szCs w:val="24"/>
          <w:lang w:val="zh-CN" w:eastAsia="zh-CN"/>
        </w:rPr>
        <w:t>.2合同期限届满或提前终止时，乙方已承接但尚未完成的运输任务，除双方另有约定外，乙方应继续履行至该批次运输完成，相关费用按本合同约定结算。</w:t>
      </w:r>
    </w:p>
    <w:p w14:paraId="3D3842B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w:t>
      </w:r>
      <w:r>
        <w:rPr>
          <w:rFonts w:hint="default" w:ascii="Times New Roman" w:hAnsi="Times New Roman" w:eastAsia="宋体" w:cs="Times New Roman"/>
          <w:b/>
          <w:sz w:val="24"/>
          <w:szCs w:val="24"/>
          <w:lang w:val="en-US" w:eastAsia="zh-CN"/>
        </w:rPr>
        <w:t>五</w:t>
      </w:r>
      <w:r>
        <w:rPr>
          <w:rFonts w:hint="default" w:ascii="Times New Roman" w:hAnsi="Times New Roman" w:eastAsia="宋体" w:cs="Times New Roman"/>
          <w:b/>
          <w:sz w:val="24"/>
          <w:szCs w:val="24"/>
          <w:lang w:val="zh-CN" w:eastAsia="zh-CN"/>
        </w:rPr>
        <w:t>条 运输服务范围</w:t>
      </w:r>
    </w:p>
    <w:p w14:paraId="134CA3A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5</w:t>
      </w:r>
      <w:r>
        <w:rPr>
          <w:rFonts w:hint="default" w:ascii="Times New Roman" w:hAnsi="Times New Roman" w:eastAsia="宋体" w:cs="Times New Roman"/>
          <w:b w:val="0"/>
          <w:sz w:val="24"/>
          <w:szCs w:val="24"/>
          <w:lang w:val="zh-CN" w:eastAsia="zh-CN"/>
        </w:rPr>
        <w:t>.1乙方根据甲方出具的托运单，为甲方提供道路运输服务，包括但不限于提货、运输、送达、交接及相关单证办理。</w:t>
      </w:r>
    </w:p>
    <w:p w14:paraId="4827C98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5</w:t>
      </w:r>
      <w:r>
        <w:rPr>
          <w:rFonts w:hint="default" w:ascii="Times New Roman" w:hAnsi="Times New Roman" w:eastAsia="宋体" w:cs="Times New Roman"/>
          <w:b w:val="0"/>
          <w:sz w:val="24"/>
          <w:szCs w:val="24"/>
          <w:lang w:val="zh-CN" w:eastAsia="zh-CN"/>
        </w:rPr>
        <w:t>.2具体运输货物的名称、规格、数量、重量、起运地、目的地、运输时间及特殊要求，以甲方出具的托运单为准。托运单为本合同的组成部分，与本合同具有同等法律效力。</w:t>
      </w:r>
    </w:p>
    <w:p w14:paraId="091C6092">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5</w:t>
      </w:r>
      <w:r>
        <w:rPr>
          <w:rFonts w:hint="default" w:ascii="Times New Roman" w:hAnsi="Times New Roman" w:eastAsia="宋体" w:cs="Times New Roman"/>
          <w:b w:val="0"/>
          <w:sz w:val="24"/>
          <w:szCs w:val="24"/>
          <w:lang w:val="zh-CN" w:eastAsia="zh-CN"/>
        </w:rPr>
        <w:t>.3乙方不得以甲方名义托运承接本合同约定范围以外的货物；未经甲方书面同意，乙方不得将本合同项下的运输业务转包或分包给第三方。</w:t>
      </w:r>
    </w:p>
    <w:p w14:paraId="22AFFCB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w:t>
      </w:r>
      <w:r>
        <w:rPr>
          <w:rFonts w:hint="default" w:ascii="Times New Roman" w:hAnsi="Times New Roman" w:eastAsia="宋体" w:cs="Times New Roman"/>
          <w:b/>
          <w:sz w:val="24"/>
          <w:szCs w:val="24"/>
          <w:lang w:val="en-US" w:eastAsia="zh-CN"/>
        </w:rPr>
        <w:t>六</w:t>
      </w:r>
      <w:r>
        <w:rPr>
          <w:rFonts w:hint="default" w:ascii="Times New Roman" w:hAnsi="Times New Roman" w:eastAsia="宋体" w:cs="Times New Roman"/>
          <w:b/>
          <w:sz w:val="24"/>
          <w:szCs w:val="24"/>
          <w:lang w:val="zh-CN" w:eastAsia="zh-CN"/>
        </w:rPr>
        <w:t>条 乙方资质与条件</w:t>
      </w:r>
    </w:p>
    <w:p w14:paraId="6D8BC76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6</w:t>
      </w:r>
      <w:r>
        <w:rPr>
          <w:rFonts w:hint="default" w:ascii="Times New Roman" w:hAnsi="Times New Roman" w:eastAsia="宋体" w:cs="Times New Roman"/>
          <w:b w:val="0"/>
          <w:sz w:val="24"/>
          <w:szCs w:val="24"/>
          <w:lang w:val="zh-CN" w:eastAsia="zh-CN"/>
        </w:rPr>
        <w:t>.1乙方应具备合法有效的道路运输经营许可证，经营范围涵盖普通货物运输。涉及危化品运输的，乙方还应具备合法有效的道路危险货物运输许可证，且许可范围应与实际运输的危化品类别相匹配，车辆技术状况应符合国家有关危险货物运输车辆的技术标准，并按规定配备有效的安全防护、环境保护和消防设施设备</w:t>
      </w:r>
      <w:r>
        <w:rPr>
          <w:rFonts w:hint="default" w:ascii="Times New Roman" w:hAnsi="Times New Roman" w:eastAsia="宋体" w:cs="Times New Roman"/>
          <w:b w:val="0"/>
          <w:sz w:val="24"/>
          <w:szCs w:val="24"/>
          <w:lang w:val="en-US" w:eastAsia="zh-CN"/>
        </w:rPr>
        <w:t>和应急器材</w:t>
      </w:r>
      <w:r>
        <w:rPr>
          <w:rFonts w:hint="default" w:ascii="Times New Roman" w:hAnsi="Times New Roman" w:eastAsia="宋体" w:cs="Times New Roman"/>
          <w:b w:val="0"/>
          <w:sz w:val="24"/>
          <w:szCs w:val="24"/>
          <w:lang w:val="zh-CN" w:eastAsia="zh-CN"/>
        </w:rPr>
        <w:t>，指派的驾驶员、押运员应持有与所运危化品相适应的从业资格证</w:t>
      </w:r>
      <w:r>
        <w:rPr>
          <w:rFonts w:hint="default" w:ascii="Times New Roman" w:hAnsi="Times New Roman" w:eastAsia="宋体" w:cs="Times New Roman"/>
          <w:b w:val="0"/>
          <w:sz w:val="24"/>
          <w:szCs w:val="24"/>
          <w:lang w:val="en-US" w:eastAsia="zh-CN"/>
        </w:rPr>
        <w:t>并</w:t>
      </w:r>
      <w:r>
        <w:rPr>
          <w:rFonts w:hint="default" w:ascii="Times New Roman" w:hAnsi="Times New Roman" w:eastAsia="宋体" w:cs="Times New Roman"/>
          <w:b w:val="0"/>
          <w:sz w:val="24"/>
          <w:szCs w:val="24"/>
          <w:lang w:val="zh-CN" w:eastAsia="zh-CN"/>
        </w:rPr>
        <w:t>熟悉所运危化品的危险特性、应急处置方法和安全操作规程。</w:t>
      </w:r>
    </w:p>
    <w:p w14:paraId="015DE698">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6</w:t>
      </w: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乙方应在本合同签订时向甲方提供上述资质证件的复印件并加盖公章，确保资质持续合法有效。资质到期前，乙方应及时办理续期并将更新后的证件提交甲方备案。</w:t>
      </w:r>
    </w:p>
    <w:p w14:paraId="16D1BD08">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6</w:t>
      </w: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3</w:t>
      </w:r>
      <w:r>
        <w:rPr>
          <w:rFonts w:hint="default" w:ascii="Times New Roman" w:hAnsi="Times New Roman" w:eastAsia="宋体" w:cs="Times New Roman"/>
          <w:b w:val="0"/>
          <w:sz w:val="24"/>
          <w:szCs w:val="24"/>
          <w:lang w:val="zh-CN" w:eastAsia="zh-CN"/>
        </w:rPr>
        <w:t>乙方应保证其用于甲方货物运输的车辆、人员、设备在合同履行期间持续符合国家及地方有关安全生产、环境保护、危化品管理的法律法规和标准要求。</w:t>
      </w:r>
    </w:p>
    <w:p w14:paraId="5C581CE8">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6.4乙方应投保道路危险货物运输承运人责任险及货物运输险，保险金额应不低于所运货物的实际价值，且每次事故赔偿限额不低于人民币【】元。保险期限应覆盖本合同履行期间。乙方应在本合同签订时向甲方提供保险单复印件，保险到期前及时续保并更新备案。</w:t>
      </w:r>
    </w:p>
    <w:p w14:paraId="36DA3FD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w:t>
      </w:r>
      <w:r>
        <w:rPr>
          <w:rFonts w:hint="default" w:ascii="Times New Roman" w:hAnsi="Times New Roman" w:eastAsia="宋体" w:cs="Times New Roman"/>
          <w:b/>
          <w:sz w:val="24"/>
          <w:szCs w:val="24"/>
          <w:lang w:val="en-US" w:eastAsia="zh-CN"/>
        </w:rPr>
        <w:t>七</w:t>
      </w:r>
      <w:r>
        <w:rPr>
          <w:rFonts w:hint="default" w:ascii="Times New Roman" w:hAnsi="Times New Roman" w:eastAsia="宋体" w:cs="Times New Roman"/>
          <w:b/>
          <w:sz w:val="24"/>
          <w:szCs w:val="24"/>
          <w:lang w:val="zh-CN" w:eastAsia="zh-CN"/>
        </w:rPr>
        <w:t>条 运输要求与安全规范</w:t>
      </w:r>
    </w:p>
    <w:p w14:paraId="10D51971">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7</w:t>
      </w:r>
      <w:r>
        <w:rPr>
          <w:rFonts w:hint="default" w:ascii="Times New Roman" w:hAnsi="Times New Roman" w:eastAsia="宋体" w:cs="Times New Roman"/>
          <w:b w:val="0"/>
          <w:sz w:val="24"/>
          <w:szCs w:val="24"/>
          <w:lang w:val="zh-CN" w:eastAsia="zh-CN"/>
        </w:rPr>
        <w:t>.1乙方应在收到甲方托运单后，按照托运单约定的时间和要求安排车辆和人员，准时到甲方指定地点提货。</w:t>
      </w:r>
    </w:p>
    <w:p w14:paraId="1ED90FD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7</w:t>
      </w: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乙方不得将危化品与普通货物混装运输，不得将性质相抵触或灭火方法不同的危化品混装运输。运输过程中应保持货物包装完好、标识清晰，防止泄漏、散落、丢失。</w:t>
      </w:r>
    </w:p>
    <w:p w14:paraId="2D4478C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7</w:t>
      </w: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3</w:t>
      </w:r>
      <w:r>
        <w:rPr>
          <w:rFonts w:hint="default" w:ascii="Times New Roman" w:hAnsi="Times New Roman" w:eastAsia="宋体" w:cs="Times New Roman"/>
          <w:b w:val="0"/>
          <w:sz w:val="24"/>
          <w:szCs w:val="24"/>
          <w:lang w:val="zh-CN" w:eastAsia="zh-CN"/>
        </w:rPr>
        <w:t>乙方应按照甲方指定的运输路线行驶，未经甲方书面同意不得擅自变更路线。危化品运输车辆不得在人口密集区、饮用水源保护区、自然保护区等禁行区域停留或通行，法律法规另有规定的从其规定。</w:t>
      </w:r>
    </w:p>
    <w:p w14:paraId="34CF91A7">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b w:val="0"/>
          <w:sz w:val="24"/>
          <w:szCs w:val="24"/>
          <w:lang w:val="en-US" w:eastAsia="zh-CN"/>
        </w:rPr>
        <w:t>7</w:t>
      </w: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4</w:t>
      </w:r>
      <w:r>
        <w:rPr>
          <w:rFonts w:hint="default" w:ascii="Times New Roman" w:hAnsi="Times New Roman" w:eastAsia="宋体" w:cs="Times New Roman"/>
          <w:b w:val="0"/>
          <w:sz w:val="24"/>
          <w:szCs w:val="24"/>
          <w:lang w:val="zh-CN" w:eastAsia="zh-CN"/>
        </w:rPr>
        <w:t>运输过程中发生交通事故、货物泄漏、火灾、爆炸或其他安全事故时，乙方应立即启动应急预案，采取有效措施控制事态发展，第一时间报告甲方，并按规定向当地公安、应急管理、生态环境等有关部门报告。乙方应承担因事故产生的全部责任和费用，包括但不限于应急处置、环境污染治理、人员伤亡赔偿、财产损失赔偿及行政处罚。</w:t>
      </w:r>
      <w:r>
        <w:rPr>
          <w:rFonts w:hint="default" w:ascii="Times New Roman" w:hAnsi="Times New Roman" w:eastAsia="宋体" w:cs="Times New Roman"/>
          <w:b w:val="0"/>
          <w:sz w:val="24"/>
          <w:szCs w:val="24"/>
          <w:lang w:val="en-US" w:eastAsia="zh-CN"/>
        </w:rPr>
        <w:t>因此造成甲方损失的，乙方应予赔偿。</w:t>
      </w:r>
    </w:p>
    <w:p w14:paraId="743D95D4">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7</w:t>
      </w: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5</w:t>
      </w:r>
      <w:r>
        <w:rPr>
          <w:rFonts w:hint="default" w:ascii="Times New Roman" w:hAnsi="Times New Roman" w:eastAsia="宋体" w:cs="Times New Roman"/>
          <w:b w:val="0"/>
          <w:sz w:val="24"/>
          <w:szCs w:val="24"/>
          <w:lang w:val="zh-CN" w:eastAsia="zh-CN"/>
        </w:rPr>
        <w:t>乙方应建立运输车辆GPS定位监控系统，对运输过程进行全程监控，并根据甲方要求提供运输轨迹记录。甲方有权对乙方的</w:t>
      </w:r>
      <w:r>
        <w:rPr>
          <w:rFonts w:hint="default" w:ascii="Times New Roman" w:hAnsi="Times New Roman" w:eastAsia="宋体" w:cs="Times New Roman"/>
          <w:b w:val="0"/>
          <w:sz w:val="24"/>
          <w:szCs w:val="24"/>
          <w:lang w:val="en-US" w:eastAsia="zh-CN"/>
        </w:rPr>
        <w:t>运输车辆、运输人员、</w:t>
      </w:r>
      <w:r>
        <w:rPr>
          <w:rFonts w:hint="default" w:ascii="Times New Roman" w:hAnsi="Times New Roman" w:eastAsia="宋体" w:cs="Times New Roman"/>
          <w:b w:val="0"/>
          <w:sz w:val="24"/>
          <w:szCs w:val="24"/>
          <w:lang w:val="zh-CN" w:eastAsia="zh-CN"/>
        </w:rPr>
        <w:t>运输过程进行安全检查和监督，乙方应予以配合，甲方有权要求乙方更换不符合资质要求或安全规范的车辆、人员。</w:t>
      </w:r>
    </w:p>
    <w:p w14:paraId="43F3063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7.6无论任何原因乙方不得留置甲方货物及单证，如因乙方留置甲方货物或单证而对甲方造成损失的，由乙方承担赔偿责任。</w:t>
      </w:r>
    </w:p>
    <w:p w14:paraId="023E5737">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w:t>
      </w:r>
      <w:r>
        <w:rPr>
          <w:rFonts w:hint="default" w:ascii="Times New Roman" w:hAnsi="Times New Roman" w:eastAsia="宋体" w:cs="Times New Roman"/>
          <w:b/>
          <w:sz w:val="24"/>
          <w:szCs w:val="24"/>
          <w:lang w:val="en-US" w:eastAsia="zh-CN"/>
        </w:rPr>
        <w:t>八</w:t>
      </w:r>
      <w:r>
        <w:rPr>
          <w:rFonts w:hint="default" w:ascii="Times New Roman" w:hAnsi="Times New Roman" w:eastAsia="宋体" w:cs="Times New Roman"/>
          <w:b/>
          <w:sz w:val="24"/>
          <w:szCs w:val="24"/>
          <w:lang w:val="zh-CN" w:eastAsia="zh-CN"/>
        </w:rPr>
        <w:t>条 货物交接与验收</w:t>
      </w:r>
    </w:p>
    <w:p w14:paraId="718553E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8</w:t>
      </w:r>
      <w:r>
        <w:rPr>
          <w:rFonts w:hint="default" w:ascii="Times New Roman" w:hAnsi="Times New Roman" w:eastAsia="宋体" w:cs="Times New Roman"/>
          <w:b w:val="0"/>
          <w:sz w:val="24"/>
          <w:szCs w:val="24"/>
          <w:lang w:val="zh-CN" w:eastAsia="zh-CN"/>
        </w:rPr>
        <w:t>.1提货时，甲</w:t>
      </w:r>
      <w:r>
        <w:rPr>
          <w:rFonts w:hint="default" w:ascii="Times New Roman" w:hAnsi="Times New Roman" w:eastAsia="宋体" w:cs="Times New Roman"/>
          <w:b w:val="0"/>
          <w:sz w:val="24"/>
          <w:szCs w:val="24"/>
          <w:lang w:val="en-US" w:eastAsia="zh-CN"/>
        </w:rPr>
        <w:t>乙双</w:t>
      </w:r>
      <w:r>
        <w:rPr>
          <w:rFonts w:hint="default" w:ascii="Times New Roman" w:hAnsi="Times New Roman" w:eastAsia="宋体" w:cs="Times New Roman"/>
          <w:b w:val="0"/>
          <w:sz w:val="24"/>
          <w:szCs w:val="24"/>
          <w:lang w:val="zh-CN" w:eastAsia="zh-CN"/>
        </w:rPr>
        <w:t>方指定</w:t>
      </w:r>
      <w:r>
        <w:rPr>
          <w:rFonts w:hint="default" w:ascii="Times New Roman" w:hAnsi="Times New Roman" w:eastAsia="宋体" w:cs="Times New Roman"/>
          <w:b w:val="0"/>
          <w:sz w:val="24"/>
          <w:szCs w:val="24"/>
          <w:lang w:val="en-US" w:eastAsia="zh-CN"/>
        </w:rPr>
        <w:t>人员</w:t>
      </w:r>
      <w:r>
        <w:rPr>
          <w:rFonts w:hint="default" w:ascii="Times New Roman" w:hAnsi="Times New Roman" w:eastAsia="宋体" w:cs="Times New Roman"/>
          <w:b w:val="0"/>
          <w:sz w:val="24"/>
          <w:szCs w:val="24"/>
          <w:lang w:val="zh-CN" w:eastAsia="zh-CN"/>
        </w:rPr>
        <w:t>应共同核对货物名称、规格、数量、重量、包装状况，并在提货单或托运单上签字确认。乙方应检查货物包装是否完好、标识是否清晰，发现包装破损、标识不清或与托运单不符的，应立即向甲方提出，经甲方确认后方可装运。货物自乙方提货并在提货单上签字确认时起，至货物运达目的地并由收货人签收时止，货物的毁损、灭失、短少、污染、变质等风险由乙方承担。</w:t>
      </w:r>
    </w:p>
    <w:p w14:paraId="175A1A5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8</w:t>
      </w:r>
      <w:r>
        <w:rPr>
          <w:rFonts w:hint="default" w:ascii="Times New Roman" w:hAnsi="Times New Roman" w:eastAsia="宋体" w:cs="Times New Roman"/>
          <w:b w:val="0"/>
          <w:sz w:val="24"/>
          <w:szCs w:val="24"/>
          <w:lang w:val="zh-CN" w:eastAsia="zh-CN"/>
        </w:rPr>
        <w:t>.2货物运达目的地后，乙方应与收货人共同核对货物并办理签收手续。收货人应在签收单上注明货物实际收到情况并签字盖章。涉及危化品的，还应核对随货同行的安全技术说明书、安全标签及相关运输单证。</w:t>
      </w:r>
    </w:p>
    <w:p w14:paraId="685C819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8</w:t>
      </w:r>
      <w:r>
        <w:rPr>
          <w:rFonts w:hint="default" w:ascii="Times New Roman" w:hAnsi="Times New Roman" w:eastAsia="宋体" w:cs="Times New Roman"/>
          <w:b w:val="0"/>
          <w:sz w:val="24"/>
          <w:szCs w:val="24"/>
          <w:lang w:val="zh-CN" w:eastAsia="zh-CN"/>
        </w:rPr>
        <w:t>.3甲方应在收到乙方提交的完整运输单证及验收材料后10个工作日内完成验收。验收内容包括但不限于：运输任务是否按托运单要求完成、货物是否完好、单证是否齐全有效、运输过程是否符合安全规范。</w:t>
      </w:r>
    </w:p>
    <w:p w14:paraId="24D1580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8</w:t>
      </w:r>
      <w:r>
        <w:rPr>
          <w:rFonts w:hint="default" w:ascii="Times New Roman" w:hAnsi="Times New Roman" w:eastAsia="宋体" w:cs="Times New Roman"/>
          <w:b w:val="0"/>
          <w:sz w:val="24"/>
          <w:szCs w:val="24"/>
          <w:lang w:val="zh-CN" w:eastAsia="zh-CN"/>
        </w:rPr>
        <w:t>.4最终验收仅以甲方书面确认通过为准。下列情形均不构成验收通过：甲方使用运输服务、支付部分款项、未在验收期内回复或货物已被签收。</w:t>
      </w:r>
    </w:p>
    <w:p w14:paraId="6D691AC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8</w:t>
      </w:r>
      <w:r>
        <w:rPr>
          <w:rFonts w:hint="default" w:ascii="Times New Roman" w:hAnsi="Times New Roman" w:eastAsia="宋体" w:cs="Times New Roman"/>
          <w:b w:val="0"/>
          <w:sz w:val="24"/>
          <w:szCs w:val="24"/>
          <w:lang w:val="zh-CN" w:eastAsia="zh-CN"/>
        </w:rPr>
        <w:t>.5验收不合格的，甲方有权要求乙方限期整改、重新提供运输单证或采取补救措施；因乙方原因造成货物毁损、灭失、短少、污染或延误的，甲方有权要求乙方赔偿损失。</w:t>
      </w:r>
    </w:p>
    <w:p w14:paraId="4A691138">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b/>
          <w:sz w:val="24"/>
          <w:szCs w:val="24"/>
          <w:lang w:val="zh-CN" w:eastAsia="zh-CN"/>
        </w:rPr>
        <w:t>第</w:t>
      </w:r>
      <w:r>
        <w:rPr>
          <w:rFonts w:hint="default" w:ascii="Times New Roman" w:hAnsi="Times New Roman" w:eastAsia="宋体" w:cs="Times New Roman"/>
          <w:b/>
          <w:sz w:val="24"/>
          <w:szCs w:val="24"/>
          <w:lang w:val="en-US" w:eastAsia="zh-CN"/>
        </w:rPr>
        <w:t>九</w:t>
      </w:r>
      <w:r>
        <w:rPr>
          <w:rFonts w:hint="default" w:ascii="Times New Roman" w:hAnsi="Times New Roman" w:eastAsia="宋体" w:cs="Times New Roman"/>
          <w:b/>
          <w:sz w:val="24"/>
          <w:szCs w:val="24"/>
          <w:lang w:val="zh-CN" w:eastAsia="zh-CN"/>
        </w:rPr>
        <w:t>条 结算</w:t>
      </w:r>
      <w:r>
        <w:rPr>
          <w:rFonts w:hint="default" w:ascii="Times New Roman" w:hAnsi="Times New Roman" w:eastAsia="宋体" w:cs="Times New Roman"/>
          <w:b/>
          <w:sz w:val="24"/>
          <w:szCs w:val="24"/>
          <w:lang w:val="en-US" w:eastAsia="zh-CN"/>
        </w:rPr>
        <w:t>支付</w:t>
      </w:r>
    </w:p>
    <w:p w14:paraId="34D69F30">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9</w:t>
      </w:r>
      <w:r>
        <w:rPr>
          <w:rFonts w:hint="default" w:ascii="Times New Roman" w:hAnsi="Times New Roman" w:eastAsia="宋体" w:cs="Times New Roman"/>
          <w:b w:val="0"/>
          <w:sz w:val="24"/>
          <w:szCs w:val="24"/>
          <w:lang w:val="zh-CN" w:eastAsia="zh-CN"/>
        </w:rPr>
        <w:t>.1运费按月结算。每月【】日前，乙方应将上一月度已完成且验收合格的运输任务汇总，编制运费结算单，连同对应的托运单、签收单、运输单证一并提交甲方。</w:t>
      </w:r>
    </w:p>
    <w:p w14:paraId="5D9FB41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9</w:t>
      </w: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甲方在收到乙方提交的完整结算资料</w:t>
      </w:r>
      <w:r>
        <w:rPr>
          <w:rFonts w:hint="default" w:ascii="Times New Roman" w:hAnsi="Times New Roman" w:eastAsia="宋体" w:cs="Times New Roman"/>
          <w:b w:val="0"/>
          <w:sz w:val="24"/>
          <w:szCs w:val="24"/>
          <w:lang w:val="en-US" w:eastAsia="zh-CN"/>
        </w:rPr>
        <w:t>并确认无误后，乙方按结算金额开具增值税专用发票。甲方在</w:t>
      </w:r>
      <w:r>
        <w:rPr>
          <w:rFonts w:hint="default" w:ascii="Times New Roman" w:hAnsi="Times New Roman" w:eastAsia="宋体" w:cs="Times New Roman"/>
          <w:b w:val="0"/>
          <w:sz w:val="24"/>
          <w:szCs w:val="24"/>
          <w:lang w:val="zh-CN" w:eastAsia="zh-CN"/>
        </w:rPr>
        <w:t>收到合法有效发票后30个工作日内将应付运费支付至乙方指定账户。</w:t>
      </w:r>
      <w:r>
        <w:rPr>
          <w:rFonts w:hint="default" w:ascii="Times New Roman" w:hAnsi="Times New Roman" w:eastAsia="宋体" w:cs="Times New Roman"/>
          <w:sz w:val="24"/>
          <w:szCs w:val="24"/>
        </w:rPr>
        <w:t>甲方有权对未验收、存在争议、未整改或可能受损的款项暂缓支付、抵扣或扣减。因乙方原因造成甲方损失的，乙方应予赔偿。</w:t>
      </w:r>
    </w:p>
    <w:p w14:paraId="7DA61E62">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9.3</w:t>
      </w:r>
      <w:r>
        <w:rPr>
          <w:rFonts w:hint="default" w:ascii="Times New Roman" w:hAnsi="Times New Roman" w:eastAsia="宋体" w:cs="Times New Roman"/>
          <w:b w:val="0"/>
          <w:sz w:val="24"/>
          <w:szCs w:val="24"/>
          <w:lang w:val="zh-CN" w:eastAsia="zh-CN"/>
        </w:rPr>
        <w:t>甲方在支付本合同项下每一笔款项前，乙方应当按照甲方的开票信息及要求开具增值税专用发票，乙方未按照甲方要求开具合法有效的等额发票的，甲方有权不向乙方支付任何款项，且甲方不承担任何违约责任。乙方不得因此拒绝履行有关合同义务。因乙方增值税专用发票填写有误，造成甲方增值税抵扣损失的，由乙方全额赔偿给甲方</w:t>
      </w:r>
      <w:r>
        <w:rPr>
          <w:rFonts w:hint="default" w:ascii="Times New Roman" w:hAnsi="Times New Roman" w:cs="Times New Roman" w:eastAsiaTheme="minorEastAsia"/>
          <w:snapToGrid w:val="0"/>
          <w:color w:val="000000"/>
          <w:kern w:val="0"/>
          <w:sz w:val="24"/>
          <w:szCs w:val="21"/>
          <w:lang w:val="en-US" w:eastAsia="zh-CN"/>
          <w14:ligatures w14:val="none"/>
        </w:rPr>
        <w:t>，而且不免除其开具合法增值税专用发票的义务</w:t>
      </w:r>
      <w:r>
        <w:rPr>
          <w:rFonts w:hint="default" w:ascii="Times New Roman" w:hAnsi="Times New Roman" w:eastAsia="宋体" w:cs="Times New Roman"/>
          <w:b w:val="0"/>
          <w:sz w:val="24"/>
          <w:szCs w:val="24"/>
          <w:lang w:val="zh-CN" w:eastAsia="zh-CN"/>
        </w:rPr>
        <w:t>。</w:t>
      </w:r>
    </w:p>
    <w:p w14:paraId="4CEF6BDE">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甲方开票信息如下：</w:t>
      </w:r>
    </w:p>
    <w:p w14:paraId="701B400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名称：</w:t>
      </w:r>
    </w:p>
    <w:p w14:paraId="49B5BA8A">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纳税人识别号：</w:t>
      </w:r>
    </w:p>
    <w:p w14:paraId="4BAA0D22">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地址、电话：</w:t>
      </w:r>
    </w:p>
    <w:p w14:paraId="618AE24E">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en-US" w:eastAsia="zh-CN"/>
        </w:rPr>
        <w:t>9.4</w:t>
      </w:r>
      <w:r>
        <w:rPr>
          <w:rFonts w:hint="default" w:ascii="Times New Roman" w:hAnsi="Times New Roman" w:eastAsia="宋体" w:cs="Times New Roman"/>
          <w:b w:val="0"/>
          <w:sz w:val="24"/>
          <w:szCs w:val="24"/>
          <w:lang w:val="zh-CN" w:eastAsia="zh-CN"/>
        </w:rPr>
        <w:t>若乙方需变更指定收款账户的，应当在甲方付款前至少5个工作日以书面的形式告知甲方。若甲方未接到乙方变更通知的，按照本合同约定的银行账户信息支付合同价款的，视为履行完毕本合同合同支付义务，乙方无权向甲方主张任何款项。</w:t>
      </w:r>
    </w:p>
    <w:p w14:paraId="47352221">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乙方收款账户信息如下：</w:t>
      </w:r>
    </w:p>
    <w:p w14:paraId="2B941AF0">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账户名称：</w:t>
      </w:r>
    </w:p>
    <w:p w14:paraId="48B1FFF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开户行：</w:t>
      </w:r>
    </w:p>
    <w:p w14:paraId="177B250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银行账号：</w:t>
      </w:r>
    </w:p>
    <w:p w14:paraId="5651A24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sz w:val="24"/>
          <w:szCs w:val="24"/>
          <w:lang w:val="zh-CN" w:eastAsia="zh-CN"/>
        </w:rPr>
      </w:pPr>
      <w:r>
        <w:rPr>
          <w:rFonts w:hint="default" w:ascii="Times New Roman" w:hAnsi="Times New Roman" w:eastAsia="宋体" w:cs="Times New Roman"/>
          <w:b/>
          <w:sz w:val="24"/>
          <w:szCs w:val="24"/>
          <w:lang w:val="zh-CN" w:eastAsia="zh-CN"/>
        </w:rPr>
        <w:t>第</w:t>
      </w:r>
      <w:r>
        <w:rPr>
          <w:rFonts w:hint="default" w:ascii="Times New Roman" w:hAnsi="Times New Roman" w:eastAsia="宋体" w:cs="Times New Roman"/>
          <w:b/>
          <w:sz w:val="24"/>
          <w:szCs w:val="24"/>
          <w:lang w:val="en-US" w:eastAsia="zh-CN"/>
        </w:rPr>
        <w:t>十</w:t>
      </w:r>
      <w:r>
        <w:rPr>
          <w:rFonts w:hint="default" w:ascii="Times New Roman" w:hAnsi="Times New Roman" w:eastAsia="宋体" w:cs="Times New Roman"/>
          <w:b/>
          <w:sz w:val="24"/>
          <w:szCs w:val="24"/>
          <w:lang w:val="zh-CN" w:eastAsia="zh-CN"/>
        </w:rPr>
        <w:t>条  履约保证金</w:t>
      </w:r>
    </w:p>
    <w:p w14:paraId="64338DAC">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10.1</w:t>
      </w:r>
      <w:r>
        <w:rPr>
          <w:rFonts w:hint="default" w:ascii="Times New Roman" w:hAnsi="Times New Roman" w:eastAsia="宋体" w:cs="Times New Roman"/>
          <w:b w:val="0"/>
          <w:sz w:val="24"/>
          <w:szCs w:val="24"/>
          <w:lang w:val="zh-CN" w:eastAsia="zh-CN"/>
        </w:rPr>
        <w:t>【本合同签订</w:t>
      </w:r>
      <w:r>
        <w:rPr>
          <w:rFonts w:hint="default" w:ascii="Times New Roman" w:hAnsi="Times New Roman" w:eastAsia="宋体" w:cs="Times New Roman"/>
          <w:b w:val="0"/>
          <w:sz w:val="24"/>
          <w:szCs w:val="24"/>
          <w:lang w:val="en-US" w:eastAsia="zh-CN"/>
        </w:rPr>
        <w:t>前</w:t>
      </w:r>
      <w:r>
        <w:rPr>
          <w:rFonts w:hint="default" w:ascii="Times New Roman" w:hAnsi="Times New Roman" w:eastAsia="宋体" w:cs="Times New Roman"/>
          <w:b w:val="0"/>
          <w:sz w:val="24"/>
          <w:szCs w:val="24"/>
          <w:lang w:val="zh-CN" w:eastAsia="zh-CN"/>
        </w:rPr>
        <w:t>【】日内，乙方应当向甲方缴纳【】元的履约保证金】/【甲方收取乙方履约保证金【】元（大写：【】元整，），由投标保证金自动转入】。乙方履行完合同义务后，甲方在扣除乙方因违约行为应向甲方支付的任何违约金、赔偿金（如有）后，退还履约保证金。履约保证金不计息。</w:t>
      </w:r>
    </w:p>
    <w:p w14:paraId="271B5C4F">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10.2凡根据本合同约定，乙方应承担的违约金、损失赔偿费用以及其他应向甲方或第三方支付的费用，甲方有权要求乙方限期缴纳，也有权在任何一笔应付乙方的款项或乙方存于甲方的其它权益（包括履约保证金）中直接扣除，且甲方对未能扣除的部分享有进一步追偿的权利；若由此导致履约保证金被扣除的，乙方应在被扣除后三日内补足。</w:t>
      </w:r>
    </w:p>
    <w:p w14:paraId="377C55CA">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第十</w:t>
      </w:r>
      <w:r>
        <w:rPr>
          <w:rFonts w:hint="default" w:ascii="Times New Roman" w:hAnsi="Times New Roman" w:eastAsia="宋体" w:cs="Times New Roman"/>
          <w:b/>
          <w:sz w:val="24"/>
          <w:szCs w:val="24"/>
          <w:lang w:val="en-US" w:eastAsia="zh-CN"/>
        </w:rPr>
        <w:t>一</w:t>
      </w:r>
      <w:r>
        <w:rPr>
          <w:rFonts w:hint="default" w:ascii="Times New Roman" w:hAnsi="Times New Roman" w:eastAsia="宋体" w:cs="Times New Roman"/>
          <w:b/>
          <w:sz w:val="24"/>
          <w:szCs w:val="24"/>
          <w:lang w:val="zh-CN" w:eastAsia="zh-CN"/>
        </w:rPr>
        <w:t>条 保密义务</w:t>
      </w:r>
    </w:p>
    <w:p w14:paraId="22C13361">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双方保证对从另一方取得且无法自公开渠道获得的信息</w:t>
      </w:r>
      <w:r>
        <w:rPr>
          <w:rFonts w:hint="eastAsia" w:ascii="Times New Roman" w:hAnsi="Times New Roman" w:cs="Times New Roman"/>
          <w:b w:val="0"/>
          <w:sz w:val="24"/>
          <w:szCs w:val="24"/>
          <w:lang w:val="zh-CN" w:eastAsia="zh-CN"/>
        </w:rPr>
        <w:t>（</w:t>
      </w:r>
      <w:r>
        <w:rPr>
          <w:rFonts w:hint="default" w:ascii="Times New Roman" w:hAnsi="Times New Roman" w:eastAsia="宋体" w:cs="Times New Roman"/>
          <w:b w:val="0"/>
          <w:sz w:val="24"/>
          <w:szCs w:val="24"/>
          <w:lang w:val="zh-CN" w:eastAsia="zh-CN"/>
        </w:rPr>
        <w:t>技术信息、经营信息及其他商业秘密</w:t>
      </w:r>
      <w:r>
        <w:rPr>
          <w:rFonts w:hint="eastAsia" w:ascii="Times New Roman" w:hAnsi="Times New Roman" w:cs="Times New Roman"/>
          <w:b w:val="0"/>
          <w:sz w:val="24"/>
          <w:szCs w:val="24"/>
          <w:lang w:val="zh-CN" w:eastAsia="zh-CN"/>
        </w:rPr>
        <w:t>）</w:t>
      </w:r>
      <w:r>
        <w:rPr>
          <w:rFonts w:hint="default" w:ascii="Times New Roman" w:hAnsi="Times New Roman" w:eastAsia="宋体" w:cs="Times New Roman"/>
          <w:b w:val="0"/>
          <w:sz w:val="24"/>
          <w:szCs w:val="24"/>
          <w:lang w:val="zh-CN" w:eastAsia="zh-CN"/>
        </w:rPr>
        <w:t>予以保密。未经原提供方同意，一方不得向任何第三方泄露该信息的全部或部分内容。但法律、法规另有规定或双方另有约定的除外。</w:t>
      </w:r>
      <w:r>
        <w:rPr>
          <w:rFonts w:hint="default" w:ascii="Times New Roman" w:hAnsi="Times New Roman" w:eastAsia="宋体" w:cs="Times New Roman"/>
          <w:bCs/>
          <w:sz w:val="24"/>
          <w:szCs w:val="24"/>
        </w:rPr>
        <w:t>本合同的变更、中止、解除、终止或无效均不影响本条款的效力，保密义务自合同签订之日起持续至相关信息以不违反保密义务的方式为公众所知悉时止。</w:t>
      </w:r>
      <w:r>
        <w:rPr>
          <w:rFonts w:hint="default" w:ascii="Times New Roman" w:hAnsi="Times New Roman" w:eastAsia="宋体" w:cs="Times New Roman"/>
          <w:b w:val="0"/>
          <w:sz w:val="24"/>
          <w:szCs w:val="24"/>
          <w:lang w:val="zh-CN" w:eastAsia="zh-CN"/>
        </w:rPr>
        <w:t>任何一方违反上述保密义务的，应承担相应的违约责任并赔偿由此造成的损失。</w:t>
      </w:r>
    </w:p>
    <w:p w14:paraId="05E27A7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第十</w:t>
      </w:r>
      <w:r>
        <w:rPr>
          <w:rFonts w:hint="default" w:ascii="Times New Roman" w:hAnsi="Times New Roman" w:eastAsia="宋体" w:cs="Times New Roman"/>
          <w:b/>
          <w:sz w:val="24"/>
          <w:szCs w:val="24"/>
          <w:lang w:val="en-US" w:eastAsia="zh-CN"/>
        </w:rPr>
        <w:t>二</w:t>
      </w:r>
      <w:r>
        <w:rPr>
          <w:rFonts w:hint="default" w:ascii="Times New Roman" w:hAnsi="Times New Roman" w:eastAsia="宋体" w:cs="Times New Roman"/>
          <w:b/>
          <w:sz w:val="24"/>
          <w:szCs w:val="24"/>
          <w:lang w:val="zh-CN" w:eastAsia="zh-CN"/>
        </w:rPr>
        <w:t>条 违约责任</w:t>
      </w:r>
    </w:p>
    <w:p w14:paraId="5DDC1965">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.1乙方未按托运单约定的时间将货物运达目的地的，每逾期一日，应按【】</w:t>
      </w:r>
      <w:r>
        <w:rPr>
          <w:rFonts w:hint="default" w:ascii="Times New Roman" w:hAnsi="Times New Roman" w:eastAsia="宋体" w:cs="Times New Roman"/>
          <w:b w:val="0"/>
          <w:sz w:val="24"/>
          <w:szCs w:val="24"/>
          <w:lang w:val="en-US" w:eastAsia="zh-CN"/>
        </w:rPr>
        <w:t>元/日</w:t>
      </w:r>
      <w:r>
        <w:rPr>
          <w:rFonts w:hint="default" w:ascii="Times New Roman" w:hAnsi="Times New Roman" w:eastAsia="宋体" w:cs="Times New Roman"/>
          <w:b w:val="0"/>
          <w:sz w:val="24"/>
          <w:szCs w:val="24"/>
          <w:lang w:val="zh-CN" w:eastAsia="zh-CN"/>
        </w:rPr>
        <w:t>向甲方支付违约金；逾期超过【】日的，甲方有权解除该批次运输委托，乙方应赔偿甲方因此遭受的损失。违约金不足以弥补甲方损失的，乙方应就差额部分继续赔偿。</w:t>
      </w:r>
    </w:p>
    <w:p w14:paraId="4CE99FB7">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2因乙方原因造成货物毁损、灭失、短少、污染、变质的，乙方应按货物的实际价值（含甲方应向客户承担的违约金、赔偿金等）全额赔偿甲方损失，并且甲方有权扣罚乙方履约保证金的【】%/次作为违约金并解除合同。保险理赔不足以弥补甲方损失的，乙方应就差额部分承担赔偿责任。</w:t>
      </w:r>
    </w:p>
    <w:p w14:paraId="0B335D0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lang w:val="en-US"/>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3乙方将危化品与普通货物混装、将性质相抵触的危化品混装，或违反国家危化品运输安全规范的，甲方有权要求乙方立即整改，并可按每次人民币【】元要求乙方支付违约金；造成安全事故或损失的，乙方应承担全部赔偿责任。</w:t>
      </w:r>
    </w:p>
    <w:p w14:paraId="3D828291">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.4乙方未经甲方书面同意擅自转包或分包运输业务的，甲方有权解除本合同，乙方应按本合同终止前【】个月应付运费总额的20%向甲方支付违约金，并赔偿甲方因此遭受的全部损失。</w:t>
      </w:r>
    </w:p>
    <w:p w14:paraId="27291E8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.5乙方资质失效、被吊销或被暂停经营，仍继续承接甲方运输业务的，甲方有权立即解除本合同，乙方应赔偿甲方因此遭受的全部损失。</w:t>
      </w:r>
    </w:p>
    <w:p w14:paraId="5975876E">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6甲方逾期付款的，乙方自愿给与甲方一定的宽限期。宽限期经过甲方仍未付款的，则以逾期未付金额为基础按发生时中国人民银行授权全国银行间同业拆借中心公布的一年期贷款市场报价利率（LPR）为标准，向乙方支付违约金（含资金占用利息），最高不超过逾期未付金额的10%。但因乙方提交的结算资料不完整、验收不合格或存在争议导致付款迟延的，不视为甲方违约。</w:t>
      </w:r>
    </w:p>
    <w:p w14:paraId="109E2E40">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.7本合同</w:t>
      </w:r>
      <w:r>
        <w:rPr>
          <w:rFonts w:hint="default" w:ascii="Times New Roman" w:hAnsi="Times New Roman" w:eastAsia="宋体" w:cs="Times New Roman"/>
          <w:color w:val="000000"/>
          <w:sz w:val="24"/>
          <w:szCs w:val="24"/>
          <w:lang w:val="en-US" w:eastAsia="zh-CN"/>
        </w:rPr>
        <w:t>所称</w:t>
      </w:r>
      <w:r>
        <w:rPr>
          <w:rFonts w:hint="default" w:ascii="Times New Roman" w:hAnsi="Times New Roman" w:eastAsia="宋体" w:cs="Times New Roman"/>
          <w:color w:val="000000"/>
          <w:sz w:val="24"/>
          <w:szCs w:val="24"/>
        </w:rPr>
        <w:t>甲方损失包括但不限于</w:t>
      </w:r>
      <w:r>
        <w:rPr>
          <w:rFonts w:hint="default" w:ascii="Times New Roman" w:hAnsi="Times New Roman" w:eastAsia="宋体" w:cs="Times New Roman"/>
          <w:b w:val="0"/>
          <w:sz w:val="24"/>
          <w:szCs w:val="24"/>
          <w:lang w:val="zh-CN" w:eastAsia="zh-CN"/>
        </w:rPr>
        <w:t>直</w:t>
      </w:r>
      <w:r>
        <w:rPr>
          <w:rFonts w:hint="eastAsia" w:ascii="Times New Roman" w:hAnsi="Times New Roman" w:cs="Times New Roman"/>
          <w:b w:val="0"/>
          <w:sz w:val="24"/>
          <w:szCs w:val="24"/>
          <w:lang w:val="en-US" w:eastAsia="zh-CN"/>
        </w:rPr>
        <w:t>间</w:t>
      </w:r>
      <w:r>
        <w:rPr>
          <w:rFonts w:hint="default" w:ascii="Times New Roman" w:hAnsi="Times New Roman" w:eastAsia="宋体" w:cs="Times New Roman"/>
          <w:b w:val="0"/>
          <w:sz w:val="24"/>
          <w:szCs w:val="24"/>
          <w:lang w:val="zh-CN" w:eastAsia="zh-CN"/>
        </w:rPr>
        <w:t>接经济损失、预期可得利益损失、遭受的行政罚款或第三方索赔以及为实现债权而支出的律师费、保全费、诉讼费、公证费、鉴定费等一切费用。</w:t>
      </w:r>
    </w:p>
    <w:p w14:paraId="7EB5EF1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第十</w:t>
      </w:r>
      <w:r>
        <w:rPr>
          <w:rFonts w:hint="default" w:ascii="Times New Roman" w:hAnsi="Times New Roman" w:eastAsia="宋体" w:cs="Times New Roman"/>
          <w:b/>
          <w:sz w:val="24"/>
          <w:szCs w:val="24"/>
          <w:lang w:val="en-US" w:eastAsia="zh-CN"/>
        </w:rPr>
        <w:t>三</w:t>
      </w:r>
      <w:r>
        <w:rPr>
          <w:rFonts w:hint="default" w:ascii="Times New Roman" w:hAnsi="Times New Roman" w:eastAsia="宋体" w:cs="Times New Roman"/>
          <w:b/>
          <w:sz w:val="24"/>
          <w:szCs w:val="24"/>
          <w:lang w:val="zh-CN" w:eastAsia="zh-CN"/>
        </w:rPr>
        <w:t>条 合同变更、解除与终止</w:t>
      </w:r>
    </w:p>
    <w:p w14:paraId="19EDCD7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3</w:t>
      </w:r>
      <w:r>
        <w:rPr>
          <w:rFonts w:hint="default" w:ascii="Times New Roman" w:hAnsi="Times New Roman" w:eastAsia="宋体" w:cs="Times New Roman"/>
          <w:b w:val="0"/>
          <w:sz w:val="24"/>
          <w:szCs w:val="24"/>
          <w:lang w:val="zh-CN" w:eastAsia="zh-CN"/>
        </w:rPr>
        <w:t>.1本合同的任何变更、补充均须经双方协商一致并签订书面协议。任何一方不得单方变更本合同内容。</w:t>
      </w:r>
    </w:p>
    <w:p w14:paraId="70D2BD7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3</w:t>
      </w:r>
      <w:r>
        <w:rPr>
          <w:rFonts w:hint="default" w:ascii="Times New Roman" w:hAnsi="Times New Roman" w:eastAsia="宋体" w:cs="Times New Roman"/>
          <w:b w:val="0"/>
          <w:sz w:val="24"/>
          <w:szCs w:val="24"/>
          <w:lang w:val="zh-CN" w:eastAsia="zh-CN"/>
        </w:rPr>
        <w:t>.2有下列情形之一的，甲方有权单方解除本合同：</w:t>
      </w:r>
    </w:p>
    <w:p w14:paraId="515E029E">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（1）乙方严重违反危化品运输安全规范，存在重大安全隐患且拒不整改的；</w:t>
      </w:r>
    </w:p>
    <w:p w14:paraId="05CA9591">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2</w:t>
      </w:r>
      <w:r>
        <w:rPr>
          <w:rFonts w:hint="default" w:ascii="Times New Roman" w:hAnsi="Times New Roman" w:eastAsia="宋体" w:cs="Times New Roman"/>
          <w:b w:val="0"/>
          <w:sz w:val="24"/>
          <w:szCs w:val="24"/>
          <w:lang w:val="zh-CN" w:eastAsia="zh-CN"/>
        </w:rPr>
        <w:t>）乙方发生重大运输安全事故，造成人员伤亡、环境污染或重大财产损失的；</w:t>
      </w:r>
    </w:p>
    <w:p w14:paraId="3687CC57">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3</w:t>
      </w:r>
      <w:r>
        <w:rPr>
          <w:rFonts w:hint="default" w:ascii="Times New Roman" w:hAnsi="Times New Roman" w:eastAsia="宋体" w:cs="Times New Roman"/>
          <w:b w:val="0"/>
          <w:sz w:val="24"/>
          <w:szCs w:val="24"/>
          <w:lang w:val="zh-CN" w:eastAsia="zh-CN"/>
        </w:rPr>
        <w:t>）乙方逾期履行累计超过3次，或单次逾期超过7日的；</w:t>
      </w:r>
    </w:p>
    <w:p w14:paraId="51750424">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4</w:t>
      </w:r>
      <w:r>
        <w:rPr>
          <w:rFonts w:hint="default" w:ascii="Times New Roman" w:hAnsi="Times New Roman" w:eastAsia="宋体" w:cs="Times New Roman"/>
          <w:b w:val="0"/>
          <w:sz w:val="24"/>
          <w:szCs w:val="24"/>
          <w:lang w:val="zh-CN" w:eastAsia="zh-CN"/>
        </w:rPr>
        <w:t>）乙方严重违反保密义务的；</w:t>
      </w:r>
    </w:p>
    <w:p w14:paraId="4C22ADD0">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w:t>
      </w:r>
      <w:r>
        <w:rPr>
          <w:rFonts w:hint="default" w:ascii="Times New Roman" w:hAnsi="Times New Roman" w:eastAsia="宋体" w:cs="Times New Roman"/>
          <w:b w:val="0"/>
          <w:sz w:val="24"/>
          <w:szCs w:val="24"/>
          <w:lang w:val="en-US" w:eastAsia="zh-CN"/>
        </w:rPr>
        <w:t>5</w:t>
      </w:r>
      <w:r>
        <w:rPr>
          <w:rFonts w:hint="default" w:ascii="Times New Roman" w:hAnsi="Times New Roman" w:eastAsia="宋体" w:cs="Times New Roman"/>
          <w:b w:val="0"/>
          <w:sz w:val="24"/>
          <w:szCs w:val="24"/>
          <w:lang w:val="zh-CN" w:eastAsia="zh-CN"/>
        </w:rPr>
        <w:t>）法律法规规定或本合同约定的其他解除情形。</w:t>
      </w:r>
    </w:p>
    <w:p w14:paraId="5258C087">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3</w:t>
      </w:r>
      <w:r>
        <w:rPr>
          <w:rFonts w:hint="default" w:ascii="Times New Roman" w:hAnsi="Times New Roman" w:eastAsia="宋体" w:cs="Times New Roman"/>
          <w:b w:val="0"/>
          <w:sz w:val="24"/>
          <w:szCs w:val="24"/>
          <w:lang w:val="zh-CN" w:eastAsia="zh-CN"/>
        </w:rPr>
        <w:t>.3有下列情形之一的，乙方有权单方解除本合同：</w:t>
      </w:r>
    </w:p>
    <w:p w14:paraId="79BDD7B2">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（1）甲方逾期支付运费超过60日，经乙方书面催告后15日内仍未支付的；</w:t>
      </w:r>
    </w:p>
    <w:p w14:paraId="2FEC00B7">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（2）甲方要求乙方运输国家禁止运输的货物，或要求乙方违反国家法律法规进行运输的；</w:t>
      </w:r>
    </w:p>
    <w:p w14:paraId="573A2F25">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（3）法律法规规定或本合同约定的其他解除情形。</w:t>
      </w:r>
    </w:p>
    <w:p w14:paraId="6871F0D4">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3</w:t>
      </w:r>
      <w:r>
        <w:rPr>
          <w:rFonts w:hint="default" w:ascii="Times New Roman" w:hAnsi="Times New Roman" w:eastAsia="宋体" w:cs="Times New Roman"/>
          <w:b w:val="0"/>
          <w:sz w:val="24"/>
          <w:szCs w:val="24"/>
          <w:lang w:val="zh-CN" w:eastAsia="zh-CN"/>
        </w:rPr>
        <w:t>.4本合同解除或终止后，双方应在15日内完成已完成运输任务的费用结算。乙方应将甲方提供的所有资料、文件及尚未使用的托运单返还甲方，并继续履行保密义务。</w:t>
      </w:r>
    </w:p>
    <w:p w14:paraId="17642AF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第十</w:t>
      </w:r>
      <w:r>
        <w:rPr>
          <w:rFonts w:hint="default" w:ascii="Times New Roman" w:hAnsi="Times New Roman" w:eastAsia="宋体" w:cs="Times New Roman"/>
          <w:b/>
          <w:sz w:val="24"/>
          <w:szCs w:val="24"/>
          <w:lang w:val="en-US" w:eastAsia="zh-CN"/>
        </w:rPr>
        <w:t>四</w:t>
      </w:r>
      <w:r>
        <w:rPr>
          <w:rFonts w:hint="default" w:ascii="Times New Roman" w:hAnsi="Times New Roman" w:eastAsia="宋体" w:cs="Times New Roman"/>
          <w:b/>
          <w:sz w:val="24"/>
          <w:szCs w:val="24"/>
          <w:lang w:val="zh-CN" w:eastAsia="zh-CN"/>
        </w:rPr>
        <w:t>条 不可抗力</w:t>
      </w:r>
    </w:p>
    <w:p w14:paraId="2983830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14.1</w:t>
      </w:r>
      <w:r>
        <w:rPr>
          <w:rFonts w:hint="default" w:ascii="Times New Roman" w:hAnsi="Times New Roman" w:eastAsia="宋体" w:cs="Times New Roman"/>
          <w:b w:val="0"/>
          <w:sz w:val="24"/>
          <w:szCs w:val="24"/>
          <w:lang w:val="zh-CN" w:eastAsia="zh-CN"/>
        </w:rPr>
        <w:t>本合同所述不可抗力系指战争、传染病、火灾、水灾、台风、地震等的自然灾害和政府行为等一方或双方不能预见或不可避免并且对其发生和后果不能克服，致使不能按约定的条件履行本合同的行为或事件。</w:t>
      </w:r>
    </w:p>
    <w:p w14:paraId="21ACF43F">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14.2</w:t>
      </w:r>
      <w:r>
        <w:rPr>
          <w:rFonts w:hint="default" w:ascii="Times New Roman" w:hAnsi="Times New Roman" w:eastAsia="宋体" w:cs="Times New Roman"/>
          <w:b w:val="0"/>
          <w:sz w:val="24"/>
          <w:szCs w:val="24"/>
          <w:lang w:val="zh-CN" w:eastAsia="zh-CN"/>
        </w:rPr>
        <w:t>一方或双方因遭遇不可抗力导致无法按照约定履行本合同时，仅限于因不可抗力无法履行的部分，免除履行责任。但是应立即以书面形式通知对方，并在【7】日内提交记载不可抗力的详细情况及无法履行本合同的证明文件。</w:t>
      </w:r>
    </w:p>
    <w:p w14:paraId="7FA21B0E">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en-US" w:eastAsia="zh-CN"/>
        </w:rPr>
        <w:t>14.3</w:t>
      </w:r>
      <w:r>
        <w:rPr>
          <w:rFonts w:hint="default" w:ascii="Times New Roman" w:hAnsi="Times New Roman" w:eastAsia="宋体" w:cs="Times New Roman"/>
          <w:b w:val="0"/>
          <w:sz w:val="24"/>
          <w:szCs w:val="24"/>
          <w:lang w:val="zh-CN" w:eastAsia="zh-CN"/>
        </w:rPr>
        <w:t>由于不可抗力原因，使双方或任何一方不能履行合同义务时，受到不可抗力影响的一方应采取有效措施，尽量避免或减少损失，将损失降低到最低程度，在不可抗力发生后【72】小时内以书面形式通知对方，并在其后【10】日内向对方提供有效证明文件。一方未尽通知义务或未采取措施避免、减少损失的，应就扩大的损失承担相应的赔偿责任。</w:t>
      </w:r>
    </w:p>
    <w:p w14:paraId="2AA5322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sz w:val="24"/>
          <w:szCs w:val="24"/>
          <w:lang w:val="zh-CN" w:eastAsia="zh-CN"/>
        </w:rPr>
      </w:pPr>
      <w:r>
        <w:rPr>
          <w:rFonts w:hint="default" w:ascii="Times New Roman" w:hAnsi="Times New Roman" w:eastAsia="宋体" w:cs="Times New Roman"/>
          <w:b/>
          <w:sz w:val="24"/>
          <w:szCs w:val="24"/>
          <w:lang w:val="zh-CN" w:eastAsia="zh-CN"/>
        </w:rPr>
        <w:t>第</w:t>
      </w:r>
      <w:r>
        <w:rPr>
          <w:rFonts w:hint="default" w:ascii="Times New Roman" w:hAnsi="Times New Roman" w:eastAsia="宋体" w:cs="Times New Roman"/>
          <w:b/>
          <w:sz w:val="24"/>
          <w:szCs w:val="24"/>
          <w:lang w:val="en-US" w:eastAsia="zh-CN"/>
        </w:rPr>
        <w:t>十五</w:t>
      </w:r>
      <w:r>
        <w:rPr>
          <w:rFonts w:hint="default" w:ascii="Times New Roman" w:hAnsi="Times New Roman" w:eastAsia="宋体" w:cs="Times New Roman"/>
          <w:b/>
          <w:sz w:val="24"/>
          <w:szCs w:val="24"/>
          <w:lang w:val="zh-CN" w:eastAsia="zh-CN"/>
        </w:rPr>
        <w:t>条 廉洁条款</w:t>
      </w:r>
    </w:p>
    <w:p w14:paraId="0065A5E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sz w:val="24"/>
          <w:szCs w:val="24"/>
        </w:rPr>
        <w:t>乙方及其工作人员承诺在与甲方的经济往来中不向甲方工作人员进行任何形式的商业贿赂。如甲方在任何时候发现乙方及其工作人员有上述行为，甲方有权随时解除或终止合同，乙方应当向甲方支付违约金</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元</w:t>
      </w:r>
      <w:r>
        <w:rPr>
          <w:rFonts w:hint="default" w:ascii="Times New Roman" w:hAnsi="Times New Roman" w:eastAsia="宋体" w:cs="Times New Roman"/>
          <w:sz w:val="24"/>
          <w:szCs w:val="24"/>
        </w:rPr>
        <w:t>；若造成甲方损失的，还应当全额赔偿。</w:t>
      </w:r>
    </w:p>
    <w:p w14:paraId="1FC4FC6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b/>
          <w:sz w:val="24"/>
          <w:szCs w:val="24"/>
          <w:lang w:val="zh-CN" w:eastAsia="zh-CN"/>
        </w:rPr>
        <w:t>第十</w:t>
      </w:r>
      <w:r>
        <w:rPr>
          <w:rFonts w:hint="default" w:ascii="Times New Roman" w:hAnsi="Times New Roman" w:eastAsia="宋体" w:cs="Times New Roman"/>
          <w:b/>
          <w:sz w:val="24"/>
          <w:szCs w:val="24"/>
          <w:lang w:val="en-US" w:eastAsia="zh-CN"/>
        </w:rPr>
        <w:t>六</w:t>
      </w:r>
      <w:r>
        <w:rPr>
          <w:rFonts w:hint="default" w:ascii="Times New Roman" w:hAnsi="Times New Roman" w:eastAsia="宋体" w:cs="Times New Roman"/>
          <w:b/>
          <w:sz w:val="24"/>
          <w:szCs w:val="24"/>
          <w:lang w:val="zh-CN" w:eastAsia="zh-CN"/>
        </w:rPr>
        <w:t xml:space="preserve">条 </w:t>
      </w:r>
      <w:r>
        <w:rPr>
          <w:rFonts w:hint="default" w:ascii="Times New Roman" w:hAnsi="Times New Roman" w:cs="Times New Roman"/>
          <w:b/>
          <w:bCs/>
          <w:sz w:val="24"/>
          <w:szCs w:val="24"/>
          <w:lang w:val="en-US" w:eastAsia="zh-CN"/>
        </w:rPr>
        <w:t>争议解决</w:t>
      </w:r>
    </w:p>
    <w:p w14:paraId="6E5D1B5E">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sz w:val="24"/>
          <w:szCs w:val="24"/>
          <w:lang w:val="zh-CN" w:eastAsia="zh-CN"/>
        </w:rPr>
      </w:pPr>
      <w:r>
        <w:rPr>
          <w:rFonts w:hint="default" w:ascii="Times New Roman" w:hAnsi="Times New Roman" w:eastAsia="宋体" w:cs="Times New Roman"/>
          <w:sz w:val="24"/>
          <w:szCs w:val="24"/>
        </w:rPr>
        <w:t>因本合同所引起的或与本合同有关的任何纠纷或争议（包括关于合同条款的存在、效力、履行争议或合同变更、终止、无效之后果），双方应当协商解决，协商不成的，可向甲方住所地人民法院提起诉讼。</w:t>
      </w:r>
    </w:p>
    <w:p w14:paraId="1B7D7901">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sz w:val="24"/>
          <w:szCs w:val="24"/>
        </w:rPr>
      </w:pPr>
      <w:r>
        <w:rPr>
          <w:rFonts w:hint="default" w:ascii="Times New Roman" w:hAnsi="Times New Roman" w:eastAsia="宋体" w:cs="Times New Roman"/>
          <w:b/>
          <w:sz w:val="24"/>
          <w:szCs w:val="24"/>
          <w:lang w:val="zh-CN" w:eastAsia="zh-CN"/>
        </w:rPr>
        <w:t>第十</w:t>
      </w:r>
      <w:r>
        <w:rPr>
          <w:rFonts w:hint="default" w:ascii="Times New Roman" w:hAnsi="Times New Roman" w:eastAsia="宋体" w:cs="Times New Roman"/>
          <w:b/>
          <w:sz w:val="24"/>
          <w:szCs w:val="24"/>
          <w:lang w:val="en-US" w:eastAsia="zh-CN"/>
        </w:rPr>
        <w:t>七</w:t>
      </w:r>
      <w:r>
        <w:rPr>
          <w:rFonts w:hint="default" w:ascii="Times New Roman" w:hAnsi="Times New Roman" w:eastAsia="宋体" w:cs="Times New Roman"/>
          <w:b/>
          <w:sz w:val="24"/>
          <w:szCs w:val="24"/>
          <w:lang w:val="zh-CN" w:eastAsia="zh-CN"/>
        </w:rPr>
        <w:t>条 其他</w:t>
      </w:r>
      <w:r>
        <w:rPr>
          <w:rFonts w:hint="default" w:ascii="Times New Roman" w:hAnsi="Times New Roman" w:eastAsia="宋体" w:cs="Times New Roman"/>
          <w:b/>
          <w:bCs/>
          <w:sz w:val="24"/>
          <w:szCs w:val="24"/>
        </w:rPr>
        <w:t>约定</w:t>
      </w:r>
    </w:p>
    <w:p w14:paraId="63755CE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1</w:t>
      </w:r>
      <w:r>
        <w:rPr>
          <w:rFonts w:hint="default" w:ascii="Times New Roman" w:hAnsi="Times New Roman" w:eastAsia="宋体" w:cs="Times New Roman"/>
          <w:b w:val="0"/>
          <w:sz w:val="24"/>
          <w:szCs w:val="24"/>
          <w:lang w:val="en-US" w:eastAsia="zh-CN"/>
        </w:rPr>
        <w:t>7</w:t>
      </w:r>
      <w:r>
        <w:rPr>
          <w:rFonts w:hint="default" w:ascii="Times New Roman" w:hAnsi="Times New Roman" w:eastAsia="宋体" w:cs="Times New Roman"/>
          <w:b w:val="0"/>
          <w:sz w:val="24"/>
          <w:szCs w:val="24"/>
          <w:lang w:val="zh-CN" w:eastAsia="zh-CN"/>
        </w:rPr>
        <w:t>.1本合同未尽事宜，或因合同履行需要变更合同内容的，双方应另行签订书面补充协议。补充协议经双方加盖公章/合同专用章后生效，与本合同具有同等法律效力。</w:t>
      </w:r>
    </w:p>
    <w:p w14:paraId="692EFE08">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17.2</w:t>
      </w:r>
      <w:r>
        <w:rPr>
          <w:rFonts w:hint="default" w:ascii="Times New Roman" w:hAnsi="Times New Roman" w:eastAsia="宋体" w:cs="Times New Roman"/>
          <w:b w:val="0"/>
          <w:bCs w:val="0"/>
          <w:sz w:val="24"/>
          <w:szCs w:val="24"/>
        </w:rPr>
        <w:t>甲乙双方通过传真、电子邮箱、网络即时通讯工具等方式传送的加盖公章/合同专用章的合同扫描件/传真件与合同原件具有同等法律效力。</w:t>
      </w:r>
    </w:p>
    <w:p w14:paraId="256A03D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17.3甲方在履行本合同过程中的一切行为和意思表示以甲方的公章或合同专用章为准，其他印章或者甲方员工私人行为不视为甲方的行为或意思表示，对甲方不具有约束力。若由此给乙方造成损失的，甲方不承担任何责任。</w:t>
      </w:r>
    </w:p>
    <w:p w14:paraId="02287C80">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17.4双方以本合同尾部载明的通讯地址作为送达通知、函件、法律文书等文件的有效地址。函件和法律文书等以中国邮政特快专递发出的，自发出之日起3日后视为送达；以电子邮件、短信发出的，自发出之日起视为送达。双方确认本合同尾部确认的联系方式同时作为双方间发生争议时人民法院的有关法律文书的送达地址。双方通讯方式变更的，应提前三天书面通知对方，否则对方按原通讯方式送达的仍视为有效送达。</w:t>
      </w:r>
    </w:p>
    <w:p w14:paraId="6957D2F0">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en-US" w:eastAsia="zh-CN"/>
        </w:rPr>
      </w:pPr>
      <w:r>
        <w:rPr>
          <w:rFonts w:hint="default" w:ascii="Times New Roman" w:hAnsi="Times New Roman" w:eastAsia="宋体" w:cs="Times New Roman"/>
          <w:b w:val="0"/>
          <w:sz w:val="24"/>
          <w:szCs w:val="24"/>
          <w:lang w:val="en-US" w:eastAsia="zh-CN"/>
        </w:rPr>
        <w:t>17.5乙方进出甲方厂区时应遵守甲方交通安全管理、内部环境和职业健康等现行有效的相关规定，并接受甲方厂区管理人员指挥。乙方确认在签署本合同前已知晓其全部内容。</w:t>
      </w:r>
    </w:p>
    <w:p w14:paraId="28BAC02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bCs/>
          <w:sz w:val="24"/>
          <w:szCs w:val="24"/>
          <w:lang w:val="zh-CN" w:eastAsia="zh-CN"/>
        </w:rPr>
      </w:pPr>
      <w:r>
        <w:rPr>
          <w:rFonts w:hint="default" w:ascii="Times New Roman" w:hAnsi="Times New Roman" w:eastAsia="宋体" w:cs="Times New Roman"/>
          <w:b/>
          <w:bCs/>
          <w:sz w:val="24"/>
          <w:szCs w:val="24"/>
          <w:lang w:val="zh-CN" w:eastAsia="zh-CN"/>
        </w:rPr>
        <w:t>第十</w:t>
      </w:r>
      <w:r>
        <w:rPr>
          <w:rFonts w:hint="default" w:ascii="Times New Roman" w:hAnsi="Times New Roman" w:eastAsia="宋体" w:cs="Times New Roman"/>
          <w:b/>
          <w:bCs/>
          <w:sz w:val="24"/>
          <w:szCs w:val="24"/>
          <w:lang w:val="en-US" w:eastAsia="zh-CN"/>
        </w:rPr>
        <w:t>八</w:t>
      </w:r>
      <w:r>
        <w:rPr>
          <w:rFonts w:hint="default" w:ascii="Times New Roman" w:hAnsi="Times New Roman" w:eastAsia="宋体" w:cs="Times New Roman"/>
          <w:b/>
          <w:bCs/>
          <w:sz w:val="24"/>
          <w:szCs w:val="24"/>
          <w:lang w:val="zh-CN" w:eastAsia="zh-CN"/>
        </w:rPr>
        <w:t>条 合同生效及有效期</w:t>
      </w:r>
    </w:p>
    <w:p w14:paraId="33BB1C4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本合同自双方加盖公章/合同专用章（多页合同双方应同时加盖骑缝章）后生效，双方</w:t>
      </w:r>
      <w:r>
        <w:rPr>
          <w:rFonts w:hint="default" w:ascii="Times New Roman" w:hAnsi="Times New Roman" w:eastAsia="宋体" w:cs="Times New Roman"/>
          <w:b w:val="0"/>
          <w:sz w:val="24"/>
          <w:szCs w:val="24"/>
          <w:lang w:val="en-US" w:eastAsia="zh-CN"/>
        </w:rPr>
        <w:t>货、</w:t>
      </w:r>
      <w:r>
        <w:rPr>
          <w:rFonts w:hint="default" w:ascii="Times New Roman" w:hAnsi="Times New Roman" w:eastAsia="宋体" w:cs="Times New Roman"/>
          <w:b w:val="0"/>
          <w:sz w:val="24"/>
          <w:szCs w:val="24"/>
          <w:lang w:val="zh-CN" w:eastAsia="zh-CN"/>
        </w:rPr>
        <w:t>款、票结清之日终止。本合同壹式【】份，双方各执【】份，均具有同等法律效力。</w:t>
      </w:r>
    </w:p>
    <w:p w14:paraId="6F60C66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p w14:paraId="37353D11">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r>
        <w:rPr>
          <w:rFonts w:hint="default" w:ascii="Times New Roman" w:hAnsi="Times New Roman" w:eastAsia="宋体" w:cs="Times New Roman"/>
          <w:b w:val="0"/>
          <w:sz w:val="24"/>
          <w:szCs w:val="24"/>
          <w:lang w:val="zh-CN" w:eastAsia="zh-CN"/>
        </w:rPr>
        <w:t>（以下无正文，为《</w:t>
      </w:r>
      <w:r>
        <w:rPr>
          <w:rFonts w:hint="default" w:ascii="Times New Roman" w:hAnsi="Times New Roman" w:eastAsia="宋体" w:cs="Times New Roman"/>
          <w:b w:val="0"/>
          <w:sz w:val="24"/>
          <w:szCs w:val="24"/>
          <w:lang w:val="en-US" w:eastAsia="zh-CN"/>
        </w:rPr>
        <w:t>运输</w:t>
      </w:r>
      <w:r>
        <w:rPr>
          <w:rFonts w:hint="default" w:ascii="Times New Roman" w:hAnsi="Times New Roman" w:eastAsia="宋体" w:cs="Times New Roman"/>
          <w:b w:val="0"/>
          <w:sz w:val="24"/>
          <w:szCs w:val="24"/>
          <w:lang w:val="zh-CN" w:eastAsia="zh-CN"/>
        </w:rPr>
        <w:t>合同》签章页）</w:t>
      </w:r>
    </w:p>
    <w:p w14:paraId="69395779">
      <w:pPr>
        <w:keepNext w:val="0"/>
        <w:keepLines w:val="0"/>
        <w:pageBreakBefore w:val="0"/>
        <w:widowControl/>
        <w:kinsoku/>
        <w:wordWrap/>
        <w:overflowPunct/>
        <w:topLinePunct w:val="0"/>
        <w:autoSpaceDE/>
        <w:autoSpaceDN/>
        <w:bidi w:val="0"/>
        <w:adjustRightInd/>
        <w:snapToGrid/>
        <w:spacing w:after="0" w:line="440" w:lineRule="exact"/>
        <w:textAlignment w:val="auto"/>
        <w:rPr>
          <w:rFonts w:hint="default" w:ascii="Times New Roman" w:hAnsi="Times New Roman" w:eastAsia="宋体" w:cs="Times New Roman"/>
          <w:b w:val="0"/>
          <w:sz w:val="24"/>
          <w:szCs w:val="24"/>
          <w:lang w:val="zh-CN" w:eastAsia="zh-CN"/>
        </w:rPr>
      </w:pPr>
    </w:p>
    <w:tbl>
      <w:tblPr>
        <w:tblStyle w:val="12"/>
        <w:tblW w:w="873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35"/>
        <w:gridCol w:w="4400"/>
      </w:tblGrid>
      <w:tr w14:paraId="101F6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4335" w:type="dxa"/>
            <w:tcBorders>
              <w:top w:val="single" w:color="auto" w:sz="4" w:space="0"/>
              <w:left w:val="single" w:color="auto" w:sz="4" w:space="0"/>
              <w:bottom w:val="single" w:color="auto" w:sz="4" w:space="0"/>
              <w:right w:val="single" w:color="auto" w:sz="4" w:space="0"/>
            </w:tcBorders>
            <w:vAlign w:val="center"/>
          </w:tcPr>
          <w:p w14:paraId="1904B5EE">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center"/>
              <w:textAlignment w:val="auto"/>
              <w:rPr>
                <w:rFonts w:hint="default" w:ascii="Times New Roman" w:hAnsi="Times New Roman" w:eastAsia="宋体" w:cs="Times New Roman"/>
                <w:b w:val="0"/>
                <w:bCs/>
                <w:color w:val="000000"/>
                <w:kern w:val="2"/>
                <w:sz w:val="24"/>
                <w:szCs w:val="24"/>
                <w:lang w:val="en-US" w:eastAsia="zh-CN"/>
              </w:rPr>
            </w:pPr>
            <w:r>
              <w:rPr>
                <w:rFonts w:hint="default" w:ascii="Times New Roman" w:hAnsi="Times New Roman" w:eastAsia="宋体" w:cs="Times New Roman"/>
                <w:b w:val="0"/>
                <w:bCs/>
                <w:color w:val="000000"/>
                <w:spacing w:val="0"/>
                <w:kern w:val="2"/>
                <w:sz w:val="24"/>
                <w:szCs w:val="24"/>
                <w:lang w:val="en-US" w:eastAsia="zh-CN"/>
              </w:rPr>
              <w:t>甲</w:t>
            </w:r>
            <w:r>
              <w:rPr>
                <w:rFonts w:hint="default" w:ascii="Times New Roman" w:hAnsi="Times New Roman" w:eastAsia="宋体" w:cs="Times New Roman"/>
                <w:b w:val="0"/>
                <w:bCs/>
                <w:color w:val="000000"/>
                <w:spacing w:val="0"/>
                <w:kern w:val="2"/>
                <w:sz w:val="24"/>
                <w:szCs w:val="24"/>
                <w:lang w:eastAsia="zh-CN"/>
              </w:rPr>
              <w:t>方（</w:t>
            </w:r>
            <w:r>
              <w:rPr>
                <w:rFonts w:hint="default" w:ascii="Times New Roman" w:hAnsi="Times New Roman" w:eastAsia="宋体" w:cs="Times New Roman"/>
                <w:b w:val="0"/>
                <w:bCs/>
                <w:color w:val="000000"/>
                <w:spacing w:val="0"/>
                <w:kern w:val="2"/>
                <w:sz w:val="24"/>
                <w:szCs w:val="24"/>
                <w:lang w:val="en-US" w:eastAsia="zh-CN"/>
              </w:rPr>
              <w:t>承运方）</w:t>
            </w:r>
          </w:p>
        </w:tc>
        <w:tc>
          <w:tcPr>
            <w:tcW w:w="4400" w:type="dxa"/>
            <w:tcBorders>
              <w:top w:val="single" w:color="auto" w:sz="4" w:space="0"/>
              <w:left w:val="single" w:color="auto" w:sz="4" w:space="0"/>
              <w:bottom w:val="single" w:color="auto" w:sz="4" w:space="0"/>
              <w:right w:val="single" w:color="auto" w:sz="4" w:space="0"/>
            </w:tcBorders>
            <w:vAlign w:val="center"/>
          </w:tcPr>
          <w:p w14:paraId="7543904F">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center"/>
              <w:textAlignment w:val="auto"/>
              <w:rPr>
                <w:rFonts w:hint="default" w:ascii="Times New Roman" w:hAnsi="Times New Roman" w:eastAsia="宋体" w:cs="Times New Roman"/>
                <w:b w:val="0"/>
                <w:bCs/>
                <w:color w:val="000000"/>
                <w:kern w:val="2"/>
                <w:sz w:val="24"/>
                <w:szCs w:val="24"/>
                <w:lang w:val="en-US" w:eastAsia="zh-CN"/>
              </w:rPr>
            </w:pPr>
            <w:r>
              <w:rPr>
                <w:rFonts w:hint="default" w:ascii="Times New Roman" w:hAnsi="Times New Roman" w:eastAsia="宋体" w:cs="Times New Roman"/>
                <w:b w:val="0"/>
                <w:bCs/>
                <w:color w:val="000000"/>
                <w:spacing w:val="0"/>
                <w:kern w:val="2"/>
                <w:sz w:val="24"/>
                <w:szCs w:val="24"/>
                <w:lang w:val="en-US" w:eastAsia="zh-CN"/>
              </w:rPr>
              <w:t>乙</w:t>
            </w:r>
            <w:r>
              <w:rPr>
                <w:rFonts w:hint="default" w:ascii="Times New Roman" w:hAnsi="Times New Roman" w:eastAsia="宋体" w:cs="Times New Roman"/>
                <w:b w:val="0"/>
                <w:bCs/>
                <w:color w:val="000000"/>
                <w:spacing w:val="0"/>
                <w:kern w:val="2"/>
                <w:sz w:val="24"/>
                <w:szCs w:val="24"/>
                <w:lang w:eastAsia="zh-CN"/>
              </w:rPr>
              <w:t>方（</w:t>
            </w:r>
            <w:r>
              <w:rPr>
                <w:rFonts w:hint="default" w:ascii="Times New Roman" w:hAnsi="Times New Roman" w:eastAsia="宋体" w:cs="Times New Roman"/>
                <w:b w:val="0"/>
                <w:bCs/>
                <w:color w:val="000000"/>
                <w:spacing w:val="0"/>
                <w:kern w:val="2"/>
                <w:sz w:val="24"/>
                <w:szCs w:val="24"/>
                <w:lang w:val="en-US" w:eastAsia="zh-CN"/>
              </w:rPr>
              <w:t>委托方）</w:t>
            </w:r>
          </w:p>
        </w:tc>
      </w:tr>
      <w:tr w14:paraId="33949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4335" w:type="dxa"/>
            <w:tcBorders>
              <w:top w:val="single" w:color="auto" w:sz="4" w:space="0"/>
              <w:left w:val="single" w:color="auto" w:sz="4" w:space="0"/>
              <w:bottom w:val="single" w:color="auto" w:sz="4" w:space="0"/>
              <w:right w:val="single" w:color="auto" w:sz="4" w:space="0"/>
            </w:tcBorders>
            <w:vAlign w:val="center"/>
          </w:tcPr>
          <w:p w14:paraId="5AFF3D26">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单位名称：</w:t>
            </w:r>
          </w:p>
        </w:tc>
        <w:tc>
          <w:tcPr>
            <w:tcW w:w="4400" w:type="dxa"/>
            <w:tcBorders>
              <w:top w:val="single" w:color="auto" w:sz="4" w:space="0"/>
              <w:left w:val="single" w:color="auto" w:sz="4" w:space="0"/>
              <w:bottom w:val="single" w:color="auto" w:sz="4" w:space="0"/>
              <w:right w:val="single" w:color="auto" w:sz="4" w:space="0"/>
            </w:tcBorders>
            <w:vAlign w:val="center"/>
          </w:tcPr>
          <w:p w14:paraId="59CC0504">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lang w:eastAsia="zh-CN"/>
              </w:rPr>
            </w:pPr>
            <w:r>
              <w:rPr>
                <w:rFonts w:hint="default" w:ascii="Times New Roman" w:hAnsi="Times New Roman" w:eastAsia="宋体" w:cs="Times New Roman"/>
                <w:bCs/>
                <w:color w:val="000000"/>
                <w:spacing w:val="0"/>
                <w:kern w:val="2"/>
                <w:sz w:val="24"/>
                <w:szCs w:val="24"/>
              </w:rPr>
              <w:t>单位名称：</w:t>
            </w:r>
          </w:p>
        </w:tc>
      </w:tr>
      <w:tr w14:paraId="292D2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4335" w:type="dxa"/>
            <w:tcBorders>
              <w:top w:val="single" w:color="auto" w:sz="4" w:space="0"/>
              <w:left w:val="single" w:color="auto" w:sz="4" w:space="0"/>
              <w:bottom w:val="single" w:color="auto" w:sz="4" w:space="0"/>
              <w:right w:val="single" w:color="auto" w:sz="4" w:space="0"/>
            </w:tcBorders>
            <w:vAlign w:val="center"/>
          </w:tcPr>
          <w:p w14:paraId="3F6290C6">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联系地址：</w:t>
            </w:r>
          </w:p>
        </w:tc>
        <w:tc>
          <w:tcPr>
            <w:tcW w:w="4400" w:type="dxa"/>
            <w:tcBorders>
              <w:top w:val="single" w:color="auto" w:sz="4" w:space="0"/>
              <w:left w:val="single" w:color="auto" w:sz="4" w:space="0"/>
              <w:bottom w:val="single" w:color="auto" w:sz="4" w:space="0"/>
              <w:right w:val="single" w:color="auto" w:sz="4" w:space="0"/>
            </w:tcBorders>
            <w:vAlign w:val="center"/>
          </w:tcPr>
          <w:p w14:paraId="64475365">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联系地址：</w:t>
            </w:r>
          </w:p>
        </w:tc>
      </w:tr>
      <w:tr w14:paraId="7B581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4335" w:type="dxa"/>
            <w:tcBorders>
              <w:top w:val="single" w:color="auto" w:sz="4" w:space="0"/>
              <w:left w:val="single" w:color="auto" w:sz="4" w:space="0"/>
              <w:bottom w:val="single" w:color="auto" w:sz="4" w:space="0"/>
              <w:right w:val="single" w:color="auto" w:sz="4" w:space="0"/>
            </w:tcBorders>
            <w:vAlign w:val="center"/>
          </w:tcPr>
          <w:p w14:paraId="1E789CB8">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lang w:val="en-US" w:eastAsia="zh-CN"/>
              </w:rPr>
            </w:pPr>
            <w:r>
              <w:rPr>
                <w:rFonts w:hint="default" w:ascii="Times New Roman" w:hAnsi="Times New Roman" w:eastAsia="宋体" w:cs="Times New Roman"/>
                <w:bCs/>
                <w:color w:val="000000"/>
                <w:kern w:val="2"/>
                <w:sz w:val="24"/>
                <w:szCs w:val="24"/>
                <w:lang w:val="en-US" w:eastAsia="zh-CN"/>
              </w:rPr>
              <w:t>联系人：</w:t>
            </w:r>
          </w:p>
        </w:tc>
        <w:tc>
          <w:tcPr>
            <w:tcW w:w="4400" w:type="dxa"/>
            <w:tcBorders>
              <w:top w:val="single" w:color="auto" w:sz="4" w:space="0"/>
              <w:left w:val="single" w:color="auto" w:sz="4" w:space="0"/>
              <w:bottom w:val="single" w:color="auto" w:sz="4" w:space="0"/>
              <w:right w:val="single" w:color="auto" w:sz="4" w:space="0"/>
            </w:tcBorders>
            <w:vAlign w:val="center"/>
          </w:tcPr>
          <w:p w14:paraId="4BFDAC56">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法定代表人</w:t>
            </w:r>
            <w:r>
              <w:rPr>
                <w:rFonts w:hint="default" w:ascii="Times New Roman" w:hAnsi="Times New Roman" w:eastAsia="宋体" w:cs="Times New Roman"/>
                <w:bCs/>
                <w:color w:val="000000"/>
                <w:spacing w:val="0"/>
                <w:kern w:val="2"/>
                <w:sz w:val="24"/>
                <w:szCs w:val="24"/>
                <w:lang w:val="en-US" w:eastAsia="zh-CN"/>
              </w:rPr>
              <w:t>/</w:t>
            </w:r>
            <w:r>
              <w:rPr>
                <w:rFonts w:hint="default" w:ascii="Times New Roman" w:hAnsi="Times New Roman" w:eastAsia="宋体" w:cs="Times New Roman"/>
                <w:bCs/>
                <w:color w:val="000000"/>
                <w:spacing w:val="0"/>
                <w:kern w:val="2"/>
                <w:sz w:val="24"/>
                <w:szCs w:val="24"/>
              </w:rPr>
              <w:t>委托代理人：</w:t>
            </w:r>
          </w:p>
        </w:tc>
      </w:tr>
      <w:tr w14:paraId="711A1B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4335" w:type="dxa"/>
            <w:tcBorders>
              <w:top w:val="single" w:color="auto" w:sz="4" w:space="0"/>
              <w:left w:val="single" w:color="auto" w:sz="4" w:space="0"/>
              <w:bottom w:val="single" w:color="auto" w:sz="4" w:space="0"/>
              <w:right w:val="single" w:color="auto" w:sz="4" w:space="0"/>
            </w:tcBorders>
            <w:vAlign w:val="center"/>
          </w:tcPr>
          <w:p w14:paraId="1BC4DB6D">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kern w:val="2"/>
                <w:sz w:val="24"/>
                <w:szCs w:val="24"/>
              </w:rPr>
              <mc:AlternateContent>
                <mc:Choice Requires="wps">
                  <w:drawing>
                    <wp:anchor distT="0" distB="0" distL="114300" distR="114300" simplePos="0" relativeHeight="251660288" behindDoc="0" locked="0" layoutInCell="1" allowOverlap="1">
                      <wp:simplePos x="0" y="0"/>
                      <wp:positionH relativeFrom="column">
                        <wp:posOffset>1291590</wp:posOffset>
                      </wp:positionH>
                      <wp:positionV relativeFrom="paragraph">
                        <wp:posOffset>3810</wp:posOffset>
                      </wp:positionV>
                      <wp:extent cx="40005" cy="330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005" cy="33020"/>
                              </a:xfrm>
                              <a:prstGeom prst="rect">
                                <a:avLst/>
                              </a:prstGeom>
                              <a:noFill/>
                              <a:ln>
                                <a:noFill/>
                              </a:ln>
                            </wps:spPr>
                            <wps:txbx>
                              <w:txbxContent>
                                <w:p w14:paraId="04E4A6A0">
                                  <w:pPr>
                                    <w:pStyle w:val="11"/>
                                    <w:spacing w:before="20" w:line="11" w:lineRule="exact"/>
                                    <w:ind w:left="20"/>
                                    <w:rPr>
                                      <w:rFonts w:hint="eastAsia"/>
                                      <w:sz w:val="2"/>
                                      <w:szCs w:val="2"/>
                                    </w:rPr>
                                  </w:pPr>
                                  <w:r>
                                    <w:rPr>
                                      <w:color w:val="010101"/>
                                      <w:w w:val="55"/>
                                      <w:sz w:val="2"/>
                                      <w:szCs w:val="2"/>
                                      <w14:textFill>
                                        <w14:solidFill>
                                          <w14:srgbClr w14:val="010101">
                                            <w14:alpha w14:val="89803"/>
                                          </w14:srgbClr>
                                        </w14:solidFill>
                                      </w14:textFill>
                                    </w:rPr>
                                    <w:t>GGPTQ</w:t>
                                  </w:r>
                                </w:p>
                              </w:txbxContent>
                            </wps:txbx>
                            <wps:bodyPr lIns="0" tIns="0" rIns="0" bIns="0" upright="1"/>
                          </wps:wsp>
                        </a:graphicData>
                      </a:graphic>
                    </wp:anchor>
                  </w:drawing>
                </mc:Choice>
                <mc:Fallback>
                  <w:pict>
                    <v:shape id="_x0000_s1026" o:spid="_x0000_s1026" o:spt="202" type="#_x0000_t202" style="position:absolute;left:0pt;margin-left:101.7pt;margin-top:0.3pt;height:2.6pt;width:3.15pt;z-index:251660288;mso-width-relative:page;mso-height-relative:page;" filled="f" stroked="f" coordsize="21600,21600" o:gfxdata="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S/0RzNYAAAAGAQAADwAAAAAAAAABACAAAAAiAAAAZHJzL2Rvd25yZXYueG1sUEsBAhQAFAAA&#10;AAgAh07iQM1qRiq4AQAAbwMAAA4AAAAAAAAAAQAgAAAAJQEAAGRycy9lMm9Eb2MueG1sUEsFBgAA&#10;AAAGAAYAWQEAAE8FAAAAAA==&#10;">
                      <v:fill on="f" focussize="0,0"/>
                      <v:stroke on="f"/>
                      <v:imagedata o:title=""/>
                      <o:lock v:ext="edit" aspectratio="f"/>
                      <v:textbox inset="0mm,0mm,0mm,0mm">
                        <w:txbxContent>
                          <w:p w14:paraId="04E4A6A0">
                            <w:pPr>
                              <w:pStyle w:val="11"/>
                              <w:spacing w:before="20" w:line="11" w:lineRule="exact"/>
                              <w:ind w:left="20"/>
                              <w:rPr>
                                <w:rFonts w:hint="eastAsia"/>
                                <w:sz w:val="2"/>
                                <w:szCs w:val="2"/>
                              </w:rPr>
                            </w:pPr>
                            <w:r>
                              <w:rPr>
                                <w:color w:val="010101"/>
                                <w:w w:val="55"/>
                                <w:sz w:val="2"/>
                                <w:szCs w:val="2"/>
                                <w14:textFill>
                                  <w14:solidFill>
                                    <w14:srgbClr w14:val="010101">
                                      <w14:alpha w14:val="89803"/>
                                    </w14:srgbClr>
                                  </w14:solidFill>
                                </w14:textFill>
                              </w:rPr>
                              <w:t>GGPTQ</w:t>
                            </w:r>
                          </w:p>
                        </w:txbxContent>
                      </v:textbox>
                    </v:shape>
                  </w:pict>
                </mc:Fallback>
              </mc:AlternateContent>
            </w:r>
            <w:r>
              <w:rPr>
                <w:rFonts w:hint="default" w:ascii="Times New Roman" w:hAnsi="Times New Roman" w:eastAsia="宋体" w:cs="Times New Roman"/>
                <w:bCs/>
                <w:color w:val="000000"/>
                <w:spacing w:val="0"/>
                <w:kern w:val="2"/>
                <w:sz w:val="24"/>
                <w:szCs w:val="24"/>
              </w:rPr>
              <w:t>电话：</w:t>
            </w:r>
          </w:p>
        </w:tc>
        <w:tc>
          <w:tcPr>
            <w:tcW w:w="4400" w:type="dxa"/>
            <w:tcBorders>
              <w:top w:val="single" w:color="auto" w:sz="4" w:space="0"/>
              <w:left w:val="single" w:color="auto" w:sz="4" w:space="0"/>
              <w:bottom w:val="single" w:color="auto" w:sz="4" w:space="0"/>
              <w:right w:val="single" w:color="auto" w:sz="4" w:space="0"/>
            </w:tcBorders>
            <w:vAlign w:val="center"/>
          </w:tcPr>
          <w:p w14:paraId="1BD0DB66">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电话：</w:t>
            </w:r>
          </w:p>
        </w:tc>
      </w:tr>
      <w:tr w14:paraId="52F36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6" w:hRule="atLeast"/>
        </w:trPr>
        <w:tc>
          <w:tcPr>
            <w:tcW w:w="4335" w:type="dxa"/>
            <w:tcBorders>
              <w:top w:val="single" w:color="auto" w:sz="4" w:space="0"/>
              <w:left w:val="single" w:color="auto" w:sz="4" w:space="0"/>
              <w:bottom w:val="single" w:color="auto" w:sz="4" w:space="0"/>
              <w:right w:val="single" w:color="auto" w:sz="4" w:space="0"/>
            </w:tcBorders>
            <w:vAlign w:val="center"/>
          </w:tcPr>
          <w:p w14:paraId="3BE601B9">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传真：</w:t>
            </w:r>
            <w:r>
              <w:rPr>
                <w:rFonts w:hint="default" w:ascii="Times New Roman" w:hAnsi="Times New Roman" w:eastAsia="宋体" w:cs="Times New Roman"/>
                <w:bCs/>
                <w:color w:val="000000"/>
                <w:kern w:val="2"/>
                <w:sz w:val="24"/>
                <w:szCs w:val="24"/>
              </w:rPr>
              <mc:AlternateContent>
                <mc:Choice Requires="wps">
                  <w:drawing>
                    <wp:anchor distT="0" distB="0" distL="114300" distR="114300" simplePos="0" relativeHeight="251661312" behindDoc="0" locked="0" layoutInCell="1" allowOverlap="1">
                      <wp:simplePos x="0" y="0"/>
                      <wp:positionH relativeFrom="column">
                        <wp:posOffset>1257300</wp:posOffset>
                      </wp:positionH>
                      <wp:positionV relativeFrom="paragraph">
                        <wp:posOffset>93345</wp:posOffset>
                      </wp:positionV>
                      <wp:extent cx="40005" cy="33020"/>
                      <wp:effectExtent l="0" t="0" r="0" b="0"/>
                      <wp:wrapNone/>
                      <wp:docPr id="3" name="文本框 3"/>
                      <wp:cNvGraphicFramePr/>
                      <a:graphic xmlns:a="http://schemas.openxmlformats.org/drawingml/2006/main">
                        <a:graphicData uri="http://schemas.microsoft.com/office/word/2010/wordprocessingShape">
                          <wps:wsp>
                            <wps:cNvSpPr txBox="1"/>
                            <wps:spPr>
                              <a:xfrm>
                                <a:off x="0" y="0"/>
                                <a:ext cx="40005" cy="33020"/>
                              </a:xfrm>
                              <a:prstGeom prst="rect">
                                <a:avLst/>
                              </a:prstGeom>
                              <a:noFill/>
                              <a:ln>
                                <a:noFill/>
                              </a:ln>
                            </wps:spPr>
                            <wps:txbx>
                              <w:txbxContent>
                                <w:p w14:paraId="3F02F7A6">
                                  <w:pPr>
                                    <w:pStyle w:val="11"/>
                                    <w:spacing w:before="20" w:line="11" w:lineRule="exact"/>
                                    <w:ind w:left="20"/>
                                    <w:rPr>
                                      <w:rFonts w:hint="eastAsia"/>
                                      <w:sz w:val="2"/>
                                      <w:szCs w:val="2"/>
                                    </w:rPr>
                                  </w:pPr>
                                  <w:r>
                                    <w:rPr>
                                      <w:color w:val="010101"/>
                                      <w:w w:val="55"/>
                                      <w:sz w:val="2"/>
                                      <w:szCs w:val="2"/>
                                      <w14:textFill>
                                        <w14:solidFill>
                                          <w14:srgbClr w14:val="010101">
                                            <w14:alpha w14:val="89803"/>
                                          </w14:srgbClr>
                                        </w14:solidFill>
                                      </w14:textFill>
                                    </w:rPr>
                                    <w:t>O8PQ2</w:t>
                                  </w:r>
                                </w:p>
                              </w:txbxContent>
                            </wps:txbx>
                            <wps:bodyPr lIns="0" tIns="0" rIns="0" bIns="0" upright="1"/>
                          </wps:wsp>
                        </a:graphicData>
                      </a:graphic>
                    </wp:anchor>
                  </w:drawing>
                </mc:Choice>
                <mc:Fallback>
                  <w:pict>
                    <v:shape id="_x0000_s1026" o:spid="_x0000_s1026" o:spt="202" type="#_x0000_t202" style="position:absolute;left:0pt;margin-left:99pt;margin-top:7.35pt;height:2.6pt;width:3.15pt;z-index:251661312;mso-width-relative:page;mso-height-relative:page;" filled="f" stroked="f" coordsize="21600,21600" o:gfxdata="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JrDQ9nXAAAACQEAAA8AAAAAAAAAAQAgAAAAIgAAAGRycy9kb3ducmV2LnhtbFBLAQIUABQA&#10;AAAIAIdO4kBdq9G3uAEAAG8DAAAOAAAAAAAAAAEAIAAAACYBAABkcnMvZTJvRG9jLnhtbFBLBQYA&#10;AAAABgAGAFkBAABQBQAAAAA=&#10;">
                      <v:fill on="f" focussize="0,0"/>
                      <v:stroke on="f"/>
                      <v:imagedata o:title=""/>
                      <o:lock v:ext="edit" aspectratio="f"/>
                      <v:textbox inset="0mm,0mm,0mm,0mm">
                        <w:txbxContent>
                          <w:p w14:paraId="3F02F7A6">
                            <w:pPr>
                              <w:pStyle w:val="11"/>
                              <w:spacing w:before="20" w:line="11" w:lineRule="exact"/>
                              <w:ind w:left="20"/>
                              <w:rPr>
                                <w:rFonts w:hint="eastAsia"/>
                                <w:sz w:val="2"/>
                                <w:szCs w:val="2"/>
                              </w:rPr>
                            </w:pPr>
                            <w:r>
                              <w:rPr>
                                <w:color w:val="010101"/>
                                <w:w w:val="55"/>
                                <w:sz w:val="2"/>
                                <w:szCs w:val="2"/>
                                <w14:textFill>
                                  <w14:solidFill>
                                    <w14:srgbClr w14:val="010101">
                                      <w14:alpha w14:val="89803"/>
                                    </w14:srgbClr>
                                  </w14:solidFill>
                                </w14:textFill>
                              </w:rPr>
                              <w:t>O8PQ2</w:t>
                            </w:r>
                          </w:p>
                        </w:txbxContent>
                      </v:textbox>
                    </v:shape>
                  </w:pict>
                </mc:Fallback>
              </mc:AlternateContent>
            </w:r>
          </w:p>
        </w:tc>
        <w:tc>
          <w:tcPr>
            <w:tcW w:w="4400" w:type="dxa"/>
            <w:tcBorders>
              <w:top w:val="single" w:color="auto" w:sz="4" w:space="0"/>
              <w:left w:val="single" w:color="auto" w:sz="4" w:space="0"/>
              <w:bottom w:val="single" w:color="auto" w:sz="4" w:space="0"/>
              <w:right w:val="single" w:color="auto" w:sz="4" w:space="0"/>
            </w:tcBorders>
            <w:vAlign w:val="center"/>
          </w:tcPr>
          <w:p w14:paraId="682CEBA9">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传真：</w:t>
            </w:r>
            <w:r>
              <w:rPr>
                <w:rFonts w:hint="default" w:ascii="Times New Roman" w:hAnsi="Times New Roman" w:eastAsia="宋体" w:cs="Times New Roman"/>
                <w:bCs/>
                <w:color w:val="000000"/>
                <w:kern w:val="2"/>
                <w:sz w:val="24"/>
                <w:szCs w:val="24"/>
              </w:rPr>
              <mc:AlternateContent>
                <mc:Choice Requires="wps">
                  <w:drawing>
                    <wp:anchor distT="0" distB="0" distL="114300" distR="114300" simplePos="0" relativeHeight="251659264" behindDoc="0" locked="0" layoutInCell="1" allowOverlap="1">
                      <wp:simplePos x="0" y="0"/>
                      <wp:positionH relativeFrom="column">
                        <wp:posOffset>2197735</wp:posOffset>
                      </wp:positionH>
                      <wp:positionV relativeFrom="paragraph">
                        <wp:posOffset>75565</wp:posOffset>
                      </wp:positionV>
                      <wp:extent cx="40005" cy="33655"/>
                      <wp:effectExtent l="0" t="0" r="0" b="0"/>
                      <wp:wrapNone/>
                      <wp:docPr id="4" name="文本框 4"/>
                      <wp:cNvGraphicFramePr/>
                      <a:graphic xmlns:a="http://schemas.openxmlformats.org/drawingml/2006/main">
                        <a:graphicData uri="http://schemas.microsoft.com/office/word/2010/wordprocessingShape">
                          <wps:wsp>
                            <wps:cNvSpPr txBox="1"/>
                            <wps:spPr>
                              <a:xfrm>
                                <a:off x="0" y="0"/>
                                <a:ext cx="40005" cy="33655"/>
                              </a:xfrm>
                              <a:prstGeom prst="rect">
                                <a:avLst/>
                              </a:prstGeom>
                              <a:noFill/>
                              <a:ln>
                                <a:noFill/>
                              </a:ln>
                            </wps:spPr>
                            <wps:txbx>
                              <w:txbxContent>
                                <w:p w14:paraId="229A0193">
                                  <w:pPr>
                                    <w:pStyle w:val="11"/>
                                    <w:spacing w:before="20" w:line="12" w:lineRule="exact"/>
                                    <w:ind w:left="20"/>
                                    <w:rPr>
                                      <w:rFonts w:hint="eastAsia"/>
                                      <w:sz w:val="2"/>
                                      <w:szCs w:val="2"/>
                                    </w:rPr>
                                  </w:pPr>
                                  <w:r>
                                    <w:rPr>
                                      <w:color w:val="010101"/>
                                      <w:w w:val="55"/>
                                      <w:sz w:val="2"/>
                                      <w:szCs w:val="2"/>
                                      <w14:textFill>
                                        <w14:solidFill>
                                          <w14:srgbClr w14:val="010101">
                                            <w14:alpha w14:val="89803"/>
                                          </w14:srgbClr>
                                        </w14:solidFill>
                                      </w14:textFill>
                                    </w:rPr>
                                    <w:t>BZPYP</w:t>
                                  </w:r>
                                </w:p>
                              </w:txbxContent>
                            </wps:txbx>
                            <wps:bodyPr lIns="0" tIns="0" rIns="0" bIns="0" upright="1"/>
                          </wps:wsp>
                        </a:graphicData>
                      </a:graphic>
                    </wp:anchor>
                  </w:drawing>
                </mc:Choice>
                <mc:Fallback>
                  <w:pict>
                    <v:shape id="_x0000_s1026" o:spid="_x0000_s1026" o:spt="202" type="#_x0000_t202" style="position:absolute;left:0pt;margin-left:173.05pt;margin-top:5.95pt;height:2.65pt;width:3.15pt;z-index:251659264;mso-width-relative:page;mso-height-relative:page;" filled="f" stroked="f" coordsize="21600,21600" o:gfxdata="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N6V1atgAAAAJAQAADwAAAAAAAAABACAAAAAiAAAAZHJzL2Rvd25yZXYueG1sUEsBAhQA&#10;FAAAAAgAh07iQDd+mp+5AQAAbwMAAA4AAAAAAAAAAQAgAAAAJwEAAGRycy9lMm9Eb2MueG1sUEsF&#10;BgAAAAAGAAYAWQEAAFIFAAAAAA==&#10;">
                      <v:fill on="f" focussize="0,0"/>
                      <v:stroke on="f"/>
                      <v:imagedata o:title=""/>
                      <o:lock v:ext="edit" aspectratio="f"/>
                      <v:textbox inset="0mm,0mm,0mm,0mm">
                        <w:txbxContent>
                          <w:p w14:paraId="229A0193">
                            <w:pPr>
                              <w:pStyle w:val="11"/>
                              <w:spacing w:before="20" w:line="12" w:lineRule="exact"/>
                              <w:ind w:left="20"/>
                              <w:rPr>
                                <w:rFonts w:hint="eastAsia"/>
                                <w:sz w:val="2"/>
                                <w:szCs w:val="2"/>
                              </w:rPr>
                            </w:pPr>
                            <w:r>
                              <w:rPr>
                                <w:color w:val="010101"/>
                                <w:w w:val="55"/>
                                <w:sz w:val="2"/>
                                <w:szCs w:val="2"/>
                                <w14:textFill>
                                  <w14:solidFill>
                                    <w14:srgbClr w14:val="010101">
                                      <w14:alpha w14:val="89803"/>
                                    </w14:srgbClr>
                                  </w14:solidFill>
                                </w14:textFill>
                              </w:rPr>
                              <w:t>BZPYP</w:t>
                            </w:r>
                          </w:p>
                        </w:txbxContent>
                      </v:textbox>
                    </v:shape>
                  </w:pict>
                </mc:Fallback>
              </mc:AlternateContent>
            </w:r>
          </w:p>
        </w:tc>
      </w:tr>
      <w:tr w14:paraId="3B76F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4335" w:type="dxa"/>
            <w:tcBorders>
              <w:top w:val="single" w:color="auto" w:sz="4" w:space="0"/>
              <w:left w:val="single" w:color="auto" w:sz="4" w:space="0"/>
              <w:bottom w:val="single" w:color="auto" w:sz="4" w:space="0"/>
              <w:right w:val="single" w:color="auto" w:sz="4" w:space="0"/>
            </w:tcBorders>
            <w:vAlign w:val="center"/>
          </w:tcPr>
          <w:p w14:paraId="63869461">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邮政编码：</w:t>
            </w:r>
          </w:p>
        </w:tc>
        <w:tc>
          <w:tcPr>
            <w:tcW w:w="4400" w:type="dxa"/>
            <w:tcBorders>
              <w:top w:val="single" w:color="auto" w:sz="4" w:space="0"/>
              <w:left w:val="single" w:color="auto" w:sz="4" w:space="0"/>
              <w:bottom w:val="single" w:color="auto" w:sz="4" w:space="0"/>
              <w:right w:val="single" w:color="auto" w:sz="4" w:space="0"/>
            </w:tcBorders>
            <w:vAlign w:val="center"/>
          </w:tcPr>
          <w:p w14:paraId="74593DC7">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kern w:val="2"/>
                <w:sz w:val="24"/>
                <w:szCs w:val="24"/>
              </w:rPr>
            </w:pPr>
            <w:r>
              <w:rPr>
                <w:rFonts w:hint="default" w:ascii="Times New Roman" w:hAnsi="Times New Roman" w:eastAsia="宋体" w:cs="Times New Roman"/>
                <w:bCs/>
                <w:color w:val="000000"/>
                <w:spacing w:val="0"/>
                <w:kern w:val="2"/>
                <w:sz w:val="24"/>
                <w:szCs w:val="24"/>
              </w:rPr>
              <w:t>邮政编码：</w:t>
            </w:r>
          </w:p>
        </w:tc>
      </w:tr>
      <w:tr w14:paraId="7F660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8735" w:type="dxa"/>
            <w:gridSpan w:val="2"/>
            <w:tcBorders>
              <w:top w:val="single" w:color="auto" w:sz="4" w:space="0"/>
              <w:left w:val="single" w:color="auto" w:sz="4" w:space="0"/>
              <w:bottom w:val="single" w:color="auto" w:sz="4" w:space="0"/>
              <w:right w:val="single" w:color="auto" w:sz="4" w:space="0"/>
            </w:tcBorders>
            <w:vAlign w:val="center"/>
          </w:tcPr>
          <w:p w14:paraId="790B0247">
            <w:pPr>
              <w:pStyle w:val="11"/>
              <w:keepNext w:val="0"/>
              <w:keepLines w:val="0"/>
              <w:pageBreakBefore w:val="0"/>
              <w:widowControl/>
              <w:kinsoku/>
              <w:wordWrap/>
              <w:overflowPunct/>
              <w:topLinePunct w:val="0"/>
              <w:autoSpaceDE/>
              <w:autoSpaceDN/>
              <w:bidi w:val="0"/>
              <w:adjustRightInd w:val="0"/>
              <w:snapToGrid w:val="0"/>
              <w:spacing w:after="0" w:line="240" w:lineRule="auto"/>
              <w:ind w:left="0"/>
              <w:jc w:val="left"/>
              <w:textAlignment w:val="auto"/>
              <w:rPr>
                <w:rFonts w:hint="default" w:ascii="Times New Roman" w:hAnsi="Times New Roman" w:eastAsia="宋体" w:cs="Times New Roman"/>
                <w:bCs/>
                <w:color w:val="000000"/>
                <w:spacing w:val="0"/>
                <w:kern w:val="2"/>
                <w:sz w:val="24"/>
                <w:szCs w:val="24"/>
              </w:rPr>
            </w:pPr>
            <w:r>
              <w:rPr>
                <w:rFonts w:hint="default" w:ascii="Times New Roman" w:hAnsi="Times New Roman" w:eastAsia="宋体" w:cs="Times New Roman"/>
                <w:bCs/>
                <w:color w:val="000000"/>
                <w:spacing w:val="0"/>
                <w:kern w:val="2"/>
                <w:sz w:val="24"/>
                <w:szCs w:val="24"/>
                <w:lang w:val="en-US" w:eastAsia="zh-CN"/>
              </w:rPr>
              <w:t>签订时间：【】年【】月【】日</w:t>
            </w:r>
          </w:p>
        </w:tc>
      </w:tr>
    </w:tbl>
    <w:p w14:paraId="69DEB0EA">
      <w:pPr>
        <w:spacing w:line="360" w:lineRule="exact"/>
        <w:rPr>
          <w:rFonts w:ascii="黑体" w:hAnsi="黑体" w:eastAsia="黑体" w:cs="宋体"/>
          <w:b/>
          <w:kern w:val="0"/>
          <w:sz w:val="28"/>
          <w:szCs w:val="28"/>
        </w:rPr>
      </w:pPr>
      <w:r>
        <w:rPr>
          <w:rFonts w:hint="eastAsia" w:ascii="宋体" w:hAnsi="宋体" w:eastAsia="宋体" w:cs="Times New Roman"/>
          <w:kern w:val="0"/>
          <w:szCs w:val="21"/>
        </w:rPr>
        <w:br w:type="page"/>
      </w:r>
      <w:bookmarkEnd w:id="1"/>
      <w:bookmarkEnd w:id="2"/>
      <w:bookmarkEnd w:id="3"/>
      <w:bookmarkEnd w:id="4"/>
      <w:bookmarkEnd w:id="5"/>
      <w:bookmarkEnd w:id="6"/>
      <w:bookmarkEnd w:id="7"/>
      <w:bookmarkEnd w:id="8"/>
      <w:bookmarkEnd w:id="9"/>
      <w:bookmarkEnd w:id="10"/>
      <w:bookmarkEnd w:id="11"/>
      <w:bookmarkEnd w:id="12"/>
      <w:bookmarkEnd w:id="13"/>
    </w:p>
    <w:p w14:paraId="21B2D4CB">
      <w:pPr>
        <w:jc w:val="center"/>
        <w:rPr>
          <w:rFonts w:ascii="宋体" w:hAnsi="宋体" w:eastAsia="宋体" w:cs="宋体"/>
          <w:b/>
          <w:bCs/>
          <w:sz w:val="36"/>
          <w:szCs w:val="36"/>
        </w:rPr>
      </w:pPr>
      <w:r>
        <w:rPr>
          <w:rFonts w:hint="eastAsia" w:ascii="宋体" w:hAnsi="宋体" w:eastAsia="宋体" w:cs="宋体"/>
          <w:b/>
          <w:bCs/>
          <w:sz w:val="36"/>
          <w:szCs w:val="36"/>
        </w:rPr>
        <w:t xml:space="preserve">第三章 </w:t>
      </w:r>
    </w:p>
    <w:p w14:paraId="00918EB2">
      <w:pPr>
        <w:jc w:val="center"/>
        <w:rPr>
          <w:rFonts w:ascii="宋体" w:hAnsi="宋体" w:eastAsia="宋体" w:cs="宋体"/>
          <w:b/>
          <w:bCs/>
          <w:sz w:val="36"/>
          <w:szCs w:val="36"/>
        </w:rPr>
      </w:pPr>
      <w:r>
        <w:rPr>
          <w:rFonts w:hint="eastAsia" w:ascii="宋体" w:hAnsi="宋体" w:eastAsia="宋体" w:cs="宋体"/>
          <w:b/>
          <w:bCs/>
          <w:sz w:val="36"/>
          <w:szCs w:val="36"/>
        </w:rPr>
        <w:t>报价文件格式</w:t>
      </w:r>
    </w:p>
    <w:p w14:paraId="50BA6FB6">
      <w:pPr>
        <w:widowControl/>
        <w:tabs>
          <w:tab w:val="left" w:pos="2980"/>
          <w:tab w:val="left" w:pos="3828"/>
          <w:tab w:val="center" w:pos="4422"/>
        </w:tabs>
        <w:autoSpaceDE w:val="0"/>
        <w:autoSpaceDN w:val="0"/>
        <w:textAlignment w:val="bottom"/>
        <w:rPr>
          <w:rFonts w:ascii="黑体" w:hAnsi="黑体" w:eastAsia="黑体" w:cs="宋体"/>
          <w:sz w:val="44"/>
          <w:szCs w:val="44"/>
        </w:rPr>
      </w:pPr>
    </w:p>
    <w:p w14:paraId="64481C0A">
      <w:pPr>
        <w:widowControl/>
        <w:tabs>
          <w:tab w:val="left" w:pos="2980"/>
          <w:tab w:val="left" w:pos="3828"/>
          <w:tab w:val="center" w:pos="4422"/>
        </w:tabs>
        <w:autoSpaceDE w:val="0"/>
        <w:autoSpaceDN w:val="0"/>
        <w:jc w:val="center"/>
        <w:textAlignment w:val="bottom"/>
        <w:rPr>
          <w:rFonts w:hint="default" w:ascii="黑体" w:hAnsi="黑体" w:eastAsia="黑体" w:cs="宋体"/>
          <w:sz w:val="36"/>
          <w:szCs w:val="36"/>
          <w:lang w:val="en-US" w:eastAsia="zh-CN"/>
        </w:rPr>
      </w:pPr>
      <w:r>
        <w:rPr>
          <w:rFonts w:hint="eastAsia" w:ascii="黑体" w:hAnsi="黑体" w:eastAsia="黑体" w:cs="宋体"/>
          <w:sz w:val="36"/>
          <w:szCs w:val="36"/>
          <w:lang w:val="en-US" w:eastAsia="zh-CN"/>
        </w:rPr>
        <w:t>什邡洛水镇--新疆阿拉尔市磷酸一铵汽车运输服务项目</w:t>
      </w:r>
    </w:p>
    <w:p w14:paraId="2B8DEB7E">
      <w:pPr>
        <w:widowControl/>
        <w:tabs>
          <w:tab w:val="left" w:pos="2980"/>
          <w:tab w:val="left" w:pos="3828"/>
          <w:tab w:val="center" w:pos="4422"/>
        </w:tabs>
        <w:autoSpaceDE w:val="0"/>
        <w:autoSpaceDN w:val="0"/>
        <w:jc w:val="center"/>
        <w:textAlignment w:val="bottom"/>
        <w:rPr>
          <w:rFonts w:hint="eastAsia" w:ascii="黑体" w:hAnsi="黑体" w:eastAsia="黑体" w:cs="宋体"/>
          <w:sz w:val="44"/>
          <w:szCs w:val="44"/>
          <w:lang w:val="en-US" w:eastAsia="zh-CN"/>
        </w:rPr>
      </w:pPr>
    </w:p>
    <w:p w14:paraId="52C03E68">
      <w:pPr>
        <w:jc w:val="center"/>
        <w:rPr>
          <w:rFonts w:ascii="楷体_GB2312" w:hAnsi="Calibri" w:eastAsia="楷体_GB2312" w:cs="Times New Roman"/>
          <w:sz w:val="72"/>
          <w:szCs w:val="72"/>
        </w:rPr>
      </w:pPr>
      <w:r>
        <w:rPr>
          <w:rFonts w:hint="eastAsia" w:ascii="楷体_GB2312" w:hAnsi="Calibri" w:eastAsia="楷体_GB2312" w:cs="Times New Roman"/>
          <w:sz w:val="72"/>
          <w:szCs w:val="72"/>
        </w:rPr>
        <w:t>响应性文件</w:t>
      </w:r>
    </w:p>
    <w:p w14:paraId="6955545D">
      <w:pPr>
        <w:ind w:firstLine="720" w:firstLineChars="200"/>
        <w:jc w:val="center"/>
        <w:rPr>
          <w:rFonts w:ascii="黑体" w:hAnsi="宋体" w:eastAsia="黑体" w:cs="Times New Roman"/>
          <w:sz w:val="36"/>
          <w:szCs w:val="36"/>
        </w:rPr>
      </w:pPr>
    </w:p>
    <w:p w14:paraId="60ABAA1C">
      <w:pPr>
        <w:ind w:firstLine="720" w:firstLineChars="200"/>
        <w:rPr>
          <w:rFonts w:ascii="黑体" w:hAnsi="宋体" w:eastAsia="黑体" w:cs="Times New Roman"/>
          <w:sz w:val="36"/>
          <w:szCs w:val="36"/>
        </w:rPr>
      </w:pPr>
    </w:p>
    <w:p w14:paraId="6BE0C486">
      <w:pPr>
        <w:ind w:firstLine="720" w:firstLineChars="200"/>
        <w:rPr>
          <w:rFonts w:ascii="黑体" w:hAnsi="宋体" w:eastAsia="黑体" w:cs="Times New Roman"/>
          <w:sz w:val="36"/>
          <w:szCs w:val="36"/>
        </w:rPr>
      </w:pPr>
    </w:p>
    <w:p w14:paraId="3D156343">
      <w:pPr>
        <w:ind w:firstLine="720" w:firstLineChars="200"/>
        <w:rPr>
          <w:rFonts w:ascii="楷体_GB2312" w:hAnsi="宋体" w:eastAsia="楷体_GB2312" w:cs="Times New Roman"/>
          <w:sz w:val="36"/>
          <w:szCs w:val="36"/>
        </w:rPr>
      </w:pPr>
    </w:p>
    <w:p w14:paraId="76EF31AF">
      <w:pPr>
        <w:ind w:firstLine="720" w:firstLineChars="200"/>
        <w:rPr>
          <w:rFonts w:ascii="楷体_GB2312" w:hAnsi="宋体" w:eastAsia="楷体_GB2312" w:cs="Times New Roman"/>
          <w:sz w:val="36"/>
          <w:szCs w:val="36"/>
        </w:rPr>
      </w:pPr>
    </w:p>
    <w:p w14:paraId="210812D8">
      <w:pPr>
        <w:ind w:firstLine="720" w:firstLineChars="200"/>
        <w:rPr>
          <w:rFonts w:ascii="楷体_GB2312" w:hAnsi="宋体" w:eastAsia="楷体_GB2312" w:cs="Times New Roman"/>
          <w:sz w:val="36"/>
          <w:szCs w:val="36"/>
        </w:rPr>
      </w:pPr>
    </w:p>
    <w:p w14:paraId="31C6D870">
      <w:pPr>
        <w:spacing w:line="440" w:lineRule="exact"/>
        <w:jc w:val="center"/>
        <w:rPr>
          <w:rFonts w:ascii="楷体_GB2312" w:hAnsi="宋体" w:eastAsia="楷体_GB2312" w:cs="Times New Roman"/>
          <w:sz w:val="36"/>
          <w:szCs w:val="36"/>
        </w:rPr>
      </w:pPr>
      <w:r>
        <w:rPr>
          <w:rFonts w:hint="eastAsia" w:ascii="楷体_GB2312" w:hAnsi="宋体" w:eastAsia="楷体_GB2312" w:cs="Times New Roman"/>
          <w:sz w:val="36"/>
          <w:szCs w:val="36"/>
          <w:lang w:val="en-US" w:eastAsia="zh-CN"/>
        </w:rPr>
        <w:t>承运单位</w:t>
      </w:r>
      <w:r>
        <w:rPr>
          <w:rFonts w:hint="eastAsia" w:ascii="楷体_GB2312" w:hAnsi="宋体" w:eastAsia="楷体_GB2312" w:cs="Times New Roman"/>
          <w:sz w:val="36"/>
          <w:szCs w:val="36"/>
        </w:rPr>
        <w:t>名称：</w:t>
      </w:r>
      <w:r>
        <w:rPr>
          <w:rFonts w:hint="eastAsia" w:ascii="楷体_GB2312" w:hAnsi="宋体" w:eastAsia="楷体_GB2312" w:cs="Times New Roman"/>
          <w:sz w:val="36"/>
          <w:szCs w:val="36"/>
          <w:u w:val="single"/>
        </w:rPr>
        <w:t xml:space="preserve">                    </w:t>
      </w:r>
      <w:r>
        <w:rPr>
          <w:rFonts w:hint="eastAsia" w:ascii="楷体_GB2312" w:hAnsi="宋体" w:eastAsia="楷体_GB2312" w:cs="Times New Roman"/>
          <w:sz w:val="36"/>
          <w:szCs w:val="36"/>
        </w:rPr>
        <w:t>（盖单位章）</w:t>
      </w:r>
    </w:p>
    <w:p w14:paraId="37EACBEA">
      <w:pPr>
        <w:ind w:firstLine="1285" w:firstLineChars="400"/>
        <w:rPr>
          <w:rFonts w:ascii="新宋体" w:hAnsi="新宋体" w:eastAsia="楷体_GB2312" w:cs="新宋体"/>
          <w:b/>
          <w:sz w:val="32"/>
          <w:szCs w:val="22"/>
          <w:u w:val="single"/>
        </w:rPr>
      </w:pPr>
    </w:p>
    <w:p w14:paraId="7156A9D6">
      <w:pPr>
        <w:ind w:firstLine="720" w:firstLineChars="200"/>
        <w:rPr>
          <w:rFonts w:ascii="楷体_GB2312" w:hAnsi="宋体" w:eastAsia="楷体_GB2312" w:cs="Times New Roman"/>
          <w:sz w:val="36"/>
          <w:szCs w:val="36"/>
        </w:rPr>
      </w:pPr>
    </w:p>
    <w:p w14:paraId="688C6474">
      <w:pPr>
        <w:ind w:firstLine="1124" w:firstLineChars="400"/>
        <w:rPr>
          <w:rFonts w:ascii="黑体" w:hAnsi="黑体" w:eastAsia="黑体" w:cs="宋体"/>
          <w:b/>
          <w:kern w:val="0"/>
          <w:sz w:val="28"/>
          <w:szCs w:val="28"/>
        </w:rPr>
      </w:pPr>
      <w:r>
        <w:rPr>
          <w:rFonts w:hint="eastAsia" w:ascii="宋体" w:hAnsi="宋体" w:eastAsia="宋体" w:cs="宋体"/>
          <w:b/>
          <w:bCs/>
          <w:sz w:val="28"/>
          <w:szCs w:val="28"/>
        </w:rPr>
        <w:br w:type="page"/>
      </w:r>
    </w:p>
    <w:p w14:paraId="7051B765">
      <w:pPr>
        <w:keepNext/>
        <w:keepLines/>
        <w:tabs>
          <w:tab w:val="left" w:pos="215"/>
          <w:tab w:val="center" w:pos="4535"/>
        </w:tabs>
        <w:autoSpaceDE w:val="0"/>
        <w:autoSpaceDN w:val="0"/>
        <w:adjustRightInd w:val="0"/>
        <w:spacing w:before="340" w:after="330"/>
        <w:jc w:val="center"/>
        <w:rPr>
          <w:rFonts w:ascii="宋体" w:hAnsi="宋体" w:eastAsia="宋体" w:cs="黑体"/>
          <w:b/>
          <w:bCs/>
          <w:kern w:val="44"/>
          <w:sz w:val="32"/>
          <w:szCs w:val="32"/>
          <w:lang w:val="zh-CN"/>
        </w:rPr>
      </w:pPr>
      <w:bookmarkStart w:id="14" w:name="_Toc4384"/>
      <w:bookmarkStart w:id="15" w:name="_Toc30198"/>
      <w:bookmarkStart w:id="16" w:name="_Toc9978"/>
      <w:r>
        <w:rPr>
          <w:rFonts w:hint="eastAsia" w:ascii="宋体" w:hAnsi="宋体" w:eastAsia="宋体" w:cs="黑体"/>
          <w:b/>
          <w:bCs/>
          <w:kern w:val="44"/>
          <w:sz w:val="32"/>
          <w:szCs w:val="32"/>
        </w:rPr>
        <w:t xml:space="preserve">一、报 价 </w:t>
      </w:r>
      <w:r>
        <w:rPr>
          <w:rFonts w:hint="eastAsia" w:ascii="宋体" w:hAnsi="宋体" w:eastAsia="宋体" w:cs="黑体"/>
          <w:b/>
          <w:bCs/>
          <w:kern w:val="44"/>
          <w:sz w:val="32"/>
          <w:szCs w:val="32"/>
          <w:lang w:val="zh-CN"/>
        </w:rPr>
        <w:t>函</w:t>
      </w:r>
      <w:bookmarkEnd w:id="14"/>
      <w:bookmarkEnd w:id="15"/>
      <w:bookmarkEnd w:id="16"/>
    </w:p>
    <w:p w14:paraId="68B5C1FD">
      <w:pPr>
        <w:widowControl/>
        <w:adjustRightInd w:val="0"/>
        <w:snapToGrid w:val="0"/>
        <w:spacing w:line="400" w:lineRule="exact"/>
        <w:rPr>
          <w:rFonts w:ascii="宋体" w:hAnsi="宋体" w:eastAsia="宋体" w:cs="宋体"/>
          <w:kern w:val="0"/>
          <w:sz w:val="24"/>
        </w:rPr>
      </w:pPr>
      <w:r>
        <w:rPr>
          <w:rFonts w:hint="eastAsia" w:ascii="宋体" w:hAnsi="宋体" w:eastAsia="宋体" w:cs="宋体"/>
          <w:kern w:val="0"/>
          <w:sz w:val="24"/>
        </w:rPr>
        <w:t>四川宏达股份有限公司：</w:t>
      </w:r>
    </w:p>
    <w:p w14:paraId="64FD2936">
      <w:pPr>
        <w:widowControl/>
        <w:adjustRightInd w:val="0"/>
        <w:snapToGrid w:val="0"/>
        <w:spacing w:line="400" w:lineRule="exact"/>
        <w:ind w:left="105" w:leftChars="50" w:firstLine="360" w:firstLineChars="150"/>
        <w:jc w:val="both"/>
        <w:rPr>
          <w:rFonts w:ascii="宋体" w:hAnsi="宋体" w:eastAsia="宋体" w:cs="宋体"/>
          <w:kern w:val="0"/>
          <w:sz w:val="24"/>
        </w:rPr>
      </w:pPr>
      <w:r>
        <w:rPr>
          <w:rFonts w:hint="eastAsia" w:ascii="宋体" w:hAnsi="宋体" w:eastAsia="宋体" w:cs="宋体"/>
          <w:kern w:val="0"/>
          <w:sz w:val="24"/>
          <w:lang w:val="en-US" w:eastAsia="zh-CN"/>
        </w:rPr>
        <w:t>1.</w:t>
      </w:r>
      <w:r>
        <w:rPr>
          <w:rFonts w:hint="eastAsia" w:ascii="宋体" w:hAnsi="宋体" w:eastAsia="宋体" w:cs="宋体"/>
          <w:kern w:val="0"/>
          <w:sz w:val="24"/>
        </w:rPr>
        <w:t>我方已仔细研究了贵公司</w:t>
      </w:r>
      <w:r>
        <w:rPr>
          <w:rFonts w:hint="eastAsia" w:ascii="宋体" w:hAnsi="宋体" w:eastAsia="宋体" w:cs="宋体"/>
          <w:kern w:val="0"/>
          <w:sz w:val="24"/>
          <w:u w:val="single"/>
          <w:lang w:val="en-US" w:eastAsia="zh-CN"/>
        </w:rPr>
        <w:t>什邡洛水镇--新疆阿拉尔市磷酸一铵汽车运输服务项目</w:t>
      </w:r>
      <w:r>
        <w:rPr>
          <w:rFonts w:hint="eastAsia" w:ascii="宋体" w:hAnsi="宋体" w:eastAsia="宋体" w:cs="宋体"/>
          <w:kern w:val="0"/>
          <w:sz w:val="24"/>
        </w:rPr>
        <w:t>比选文件(编号：</w:t>
      </w:r>
      <w:r>
        <w:rPr>
          <w:rFonts w:hint="eastAsia" w:ascii="黑体" w:hAnsi="黑体" w:eastAsia="黑体" w:cs="宋体"/>
          <w:b/>
          <w:color w:val="000000" w:themeColor="text1"/>
          <w:kern w:val="0"/>
          <w:szCs w:val="21"/>
          <w:u w:val="single"/>
          <w:lang w:val="en-US" w:eastAsia="zh-CN"/>
          <w14:textFill>
            <w14:solidFill>
              <w14:schemeClr w14:val="tx1"/>
            </w14:solidFill>
          </w14:textFill>
        </w:rPr>
        <w:t>L</w:t>
      </w:r>
      <w:r>
        <w:rPr>
          <w:rFonts w:hint="eastAsia" w:ascii="黑体" w:hAnsi="黑体" w:eastAsia="黑体" w:cs="宋体"/>
          <w:b/>
          <w:color w:val="000000" w:themeColor="text1"/>
          <w:kern w:val="0"/>
          <w:szCs w:val="21"/>
          <w:u w:val="single"/>
          <w14:textFill>
            <w14:solidFill>
              <w14:schemeClr w14:val="tx1"/>
            </w14:solidFill>
          </w14:textFill>
        </w:rPr>
        <w:t>F-202</w:t>
      </w:r>
      <w:r>
        <w:rPr>
          <w:rFonts w:hint="eastAsia" w:ascii="黑体" w:hAnsi="黑体" w:eastAsia="黑体" w:cs="宋体"/>
          <w:b/>
          <w:color w:val="000000" w:themeColor="text1"/>
          <w:kern w:val="0"/>
          <w:szCs w:val="21"/>
          <w:u w:val="single"/>
          <w:lang w:val="en-US" w:eastAsia="zh-CN"/>
          <w14:textFill>
            <w14:solidFill>
              <w14:schemeClr w14:val="tx1"/>
            </w14:solidFill>
          </w14:textFill>
        </w:rPr>
        <w:t>609</w:t>
      </w:r>
      <w:r>
        <w:rPr>
          <w:rFonts w:hint="eastAsia" w:ascii="黑体" w:hAnsi="黑体" w:eastAsia="黑体" w:cs="宋体"/>
          <w:b/>
          <w:color w:val="000000" w:themeColor="text1"/>
          <w:kern w:val="0"/>
          <w:szCs w:val="21"/>
          <w:u w:val="single"/>
          <w14:textFill>
            <w14:solidFill>
              <w14:schemeClr w14:val="tx1"/>
            </w14:solidFill>
          </w14:textFill>
        </w:rPr>
        <w:t>-0</w:t>
      </w:r>
      <w:r>
        <w:rPr>
          <w:rFonts w:hint="eastAsia" w:ascii="黑体" w:hAnsi="黑体" w:eastAsia="黑体" w:cs="宋体"/>
          <w:b/>
          <w:color w:val="000000" w:themeColor="text1"/>
          <w:kern w:val="0"/>
          <w:szCs w:val="21"/>
          <w:u w:val="single"/>
          <w:lang w:val="en-US" w:eastAsia="zh-CN"/>
          <w14:textFill>
            <w14:solidFill>
              <w14:schemeClr w14:val="tx1"/>
            </w14:solidFill>
          </w14:textFill>
        </w:rPr>
        <w:t>02</w:t>
      </w:r>
      <w:r>
        <w:rPr>
          <w:rFonts w:hint="eastAsia" w:ascii="宋体" w:hAnsi="宋体" w:eastAsia="宋体" w:cs="宋体"/>
          <w:kern w:val="0"/>
          <w:sz w:val="24"/>
        </w:rPr>
        <w:t>包括附件的全部内容)，并根据我方实际情况作如下报价：</w:t>
      </w:r>
    </w:p>
    <w:tbl>
      <w:tblPr>
        <w:tblStyle w:val="7"/>
        <w:tblW w:w="888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09"/>
        <w:gridCol w:w="3674"/>
      </w:tblGrid>
      <w:tr w14:paraId="688E5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5209" w:type="dxa"/>
            <w:vAlign w:val="center"/>
          </w:tcPr>
          <w:p w14:paraId="0B41B36B">
            <w:pPr>
              <w:snapToGrid w:val="0"/>
              <w:jc w:val="center"/>
              <w:outlineLvl w:val="9"/>
              <w:rPr>
                <w:rFonts w:hint="eastAsia" w:ascii="宋体" w:hAnsi="宋体" w:eastAsia="宋体" w:cs="宋体"/>
                <w:b/>
                <w:bCs/>
                <w:sz w:val="28"/>
                <w:szCs w:val="28"/>
                <w:lang w:eastAsia="zh-CN"/>
              </w:rPr>
            </w:pPr>
            <w:r>
              <w:rPr>
                <w:rFonts w:hint="eastAsia" w:ascii="宋体" w:hAnsi="宋体" w:eastAsia="宋体" w:cs="宋体"/>
                <w:b/>
                <w:bCs/>
                <w:sz w:val="28"/>
                <w:szCs w:val="28"/>
                <w:lang w:val="en-US" w:eastAsia="zh-CN"/>
              </w:rPr>
              <w:t>目的地</w:t>
            </w:r>
          </w:p>
        </w:tc>
        <w:tc>
          <w:tcPr>
            <w:tcW w:w="3674" w:type="dxa"/>
            <w:vAlign w:val="center"/>
          </w:tcPr>
          <w:p w14:paraId="5A46C366">
            <w:pPr>
              <w:snapToGrid w:val="0"/>
              <w:jc w:val="center"/>
              <w:outlineLvl w:val="9"/>
              <w:rPr>
                <w:rFonts w:hint="eastAsia" w:ascii="宋体" w:hAnsi="宋体" w:eastAsia="宋体" w:cs="宋体"/>
                <w:b/>
                <w:bCs/>
                <w:sz w:val="28"/>
                <w:szCs w:val="28"/>
              </w:rPr>
            </w:pPr>
            <w:r>
              <w:rPr>
                <w:rFonts w:hint="eastAsia" w:ascii="宋体" w:hAnsi="宋体" w:eastAsia="宋体" w:cs="宋体"/>
                <w:b/>
                <w:bCs/>
                <w:sz w:val="28"/>
                <w:szCs w:val="28"/>
              </w:rPr>
              <w:t>报价</w:t>
            </w:r>
          </w:p>
        </w:tc>
      </w:tr>
      <w:tr w14:paraId="37CEB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2" w:hRule="atLeast"/>
          <w:jc w:val="center"/>
        </w:trPr>
        <w:tc>
          <w:tcPr>
            <w:tcW w:w="5209" w:type="dxa"/>
            <w:vAlign w:val="center"/>
          </w:tcPr>
          <w:p w14:paraId="55AE9A43">
            <w:pPr>
              <w:snapToGrid w:val="0"/>
              <w:spacing w:before="156" w:beforeLines="50" w:line="360" w:lineRule="auto"/>
              <w:jc w:val="center"/>
              <w:outlineLvl w:val="9"/>
              <w:rPr>
                <w:rFonts w:hint="default" w:ascii="宋体" w:hAnsi="宋体" w:eastAsia="宋体" w:cs="宋体"/>
                <w:sz w:val="24"/>
                <w:szCs w:val="24"/>
                <w:lang w:val="en-US" w:eastAsia="zh-CN"/>
              </w:rPr>
            </w:pPr>
            <w:r>
              <w:rPr>
                <w:rFonts w:hint="eastAsia" w:cs="宋体" w:asciiTheme="minorEastAsia" w:hAnsiTheme="minorEastAsia"/>
                <w:sz w:val="24"/>
                <w:szCs w:val="24"/>
                <w:lang w:val="en-US" w:eastAsia="zh-CN"/>
              </w:rPr>
              <w:t>四川宏达股份有限公司什邡磷化工分公司磷铵库房</w:t>
            </w:r>
          </w:p>
        </w:tc>
        <w:tc>
          <w:tcPr>
            <w:tcW w:w="3674" w:type="dxa"/>
            <w:vAlign w:val="center"/>
          </w:tcPr>
          <w:p w14:paraId="05D12FFA">
            <w:pPr>
              <w:snapToGrid w:val="0"/>
              <w:spacing w:before="312" w:beforeLines="100" w:line="360" w:lineRule="auto"/>
              <w:jc w:val="center"/>
              <w:outlineLvl w:val="9"/>
              <w:rPr>
                <w:rFonts w:hint="eastAsia" w:ascii="宋体" w:hAnsi="宋体" w:eastAsia="宋体" w:cs="宋体"/>
                <w:sz w:val="24"/>
                <w:szCs w:val="24"/>
              </w:rPr>
            </w:pPr>
            <w:r>
              <w:rPr>
                <w:rFonts w:hint="eastAsia" w:ascii="宋体" w:hAnsi="宋体" w:eastAsia="宋体" w:cs="宋体"/>
                <w:b/>
                <w:bCs/>
                <w:sz w:val="28"/>
                <w:szCs w:val="28"/>
                <w:u w:val="none"/>
              </w:rPr>
              <w:t>____</w:t>
            </w:r>
            <w:r>
              <w:rPr>
                <w:rFonts w:hint="eastAsia" w:ascii="宋体" w:hAnsi="宋体" w:eastAsia="宋体" w:cs="宋体"/>
                <w:b/>
                <w:bCs/>
                <w:sz w:val="28"/>
                <w:szCs w:val="28"/>
              </w:rPr>
              <w:t>_</w:t>
            </w:r>
            <w:r>
              <w:rPr>
                <w:rFonts w:hint="eastAsia" w:ascii="宋体" w:hAnsi="宋体" w:eastAsia="宋体" w:cs="宋体"/>
                <w:b/>
                <w:bCs/>
                <w:sz w:val="28"/>
                <w:szCs w:val="28"/>
                <w:lang w:val="en-US" w:eastAsia="zh-CN"/>
              </w:rPr>
              <w:t xml:space="preserve"> </w:t>
            </w:r>
            <w:r>
              <w:rPr>
                <w:rFonts w:hint="eastAsia" w:ascii="宋体" w:hAnsi="宋体" w:eastAsia="宋体" w:cs="宋体"/>
                <w:b/>
                <w:bCs/>
                <w:sz w:val="28"/>
                <w:szCs w:val="28"/>
              </w:rPr>
              <w:t>元/吨</w:t>
            </w:r>
          </w:p>
        </w:tc>
      </w:tr>
      <w:tr w14:paraId="3E9BAA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0" w:hRule="atLeast"/>
          <w:jc w:val="center"/>
        </w:trPr>
        <w:tc>
          <w:tcPr>
            <w:tcW w:w="8883" w:type="dxa"/>
            <w:gridSpan w:val="2"/>
            <w:vAlign w:val="center"/>
          </w:tcPr>
          <w:p w14:paraId="560361C0">
            <w:pPr>
              <w:snapToGrid w:val="0"/>
              <w:spacing w:before="156" w:beforeLines="50" w:line="360" w:lineRule="auto"/>
              <w:jc w:val="left"/>
              <w:outlineLvl w:val="9"/>
              <w:rPr>
                <w:rFonts w:hint="eastAsia" w:ascii="宋体" w:hAnsi="宋体"/>
                <w:szCs w:val="21"/>
              </w:rPr>
            </w:pPr>
            <w:r>
              <w:rPr>
                <w:rFonts w:hint="eastAsia" w:ascii="宋体" w:hAnsi="宋体"/>
                <w:szCs w:val="21"/>
              </w:rPr>
              <w:t>说明：</w:t>
            </w:r>
          </w:p>
          <w:p w14:paraId="10ED839E">
            <w:pPr>
              <w:snapToGrid w:val="0"/>
              <w:spacing w:line="360" w:lineRule="auto"/>
              <w:outlineLvl w:val="9"/>
              <w:rPr>
                <w:rFonts w:hint="eastAsia" w:ascii="宋体" w:hAnsi="宋体" w:eastAsia="宋体" w:cs="宋体"/>
                <w:szCs w:val="21"/>
              </w:rPr>
            </w:pPr>
            <w:r>
              <w:rPr>
                <w:rFonts w:hint="eastAsia" w:ascii="宋体" w:hAnsi="宋体"/>
                <w:szCs w:val="21"/>
              </w:rPr>
              <w:t>（1</w:t>
            </w:r>
            <w:r>
              <w:rPr>
                <w:rFonts w:hint="eastAsia" w:ascii="宋体" w:hAnsi="宋体" w:eastAsia="宋体" w:cs="宋体"/>
                <w:szCs w:val="21"/>
              </w:rPr>
              <w:t>）</w:t>
            </w:r>
            <w:r>
              <w:rPr>
                <w:rFonts w:hint="eastAsia" w:ascii="宋体" w:hAnsi="宋体" w:eastAsia="宋体" w:cs="宋体"/>
                <w:szCs w:val="21"/>
                <w:lang w:val="en-US" w:eastAsia="zh-CN"/>
              </w:rPr>
              <w:t>总</w:t>
            </w:r>
            <w:r>
              <w:rPr>
                <w:rFonts w:hint="eastAsia" w:ascii="宋体" w:hAnsi="宋体" w:eastAsia="宋体" w:cs="宋体"/>
                <w:szCs w:val="21"/>
              </w:rPr>
              <w:t>数</w:t>
            </w:r>
            <w:r>
              <w:rPr>
                <w:rFonts w:hint="eastAsia" w:ascii="宋体" w:hAnsi="宋体" w:eastAsia="宋体" w:cs="宋体"/>
                <w:szCs w:val="21"/>
                <w:lang w:val="en-US" w:eastAsia="zh-CN"/>
              </w:rPr>
              <w:t>量</w:t>
            </w:r>
            <w:r>
              <w:rPr>
                <w:rFonts w:hint="eastAsia" w:ascii="宋体" w:hAnsi="宋体" w:eastAsia="宋体" w:cs="宋体"/>
                <w:szCs w:val="21"/>
                <w:u w:val="single"/>
                <w:lang w:val="en-US" w:eastAsia="zh-CN"/>
              </w:rPr>
              <w:t xml:space="preserve"> 2200 </w:t>
            </w:r>
            <w:r>
              <w:rPr>
                <w:rFonts w:hint="eastAsia" w:ascii="宋体" w:hAnsi="宋体" w:eastAsia="宋体" w:cs="宋体"/>
                <w:szCs w:val="21"/>
              </w:rPr>
              <w:t>吨，</w:t>
            </w:r>
            <w:r>
              <w:rPr>
                <w:rFonts w:hint="eastAsia" w:ascii="宋体" w:hAnsi="宋体" w:eastAsia="宋体" w:cs="宋体"/>
                <w:szCs w:val="21"/>
                <w:lang w:val="en-US" w:eastAsia="zh-CN"/>
              </w:rPr>
              <w:t>运输</w:t>
            </w:r>
            <w:r>
              <w:rPr>
                <w:rFonts w:hint="eastAsia" w:ascii="宋体" w:hAnsi="宋体" w:eastAsia="宋体" w:cs="宋体"/>
                <w:szCs w:val="21"/>
              </w:rPr>
              <w:t>数量由</w:t>
            </w:r>
            <w:r>
              <w:rPr>
                <w:rFonts w:hint="eastAsia" w:ascii="宋体" w:hAnsi="宋体" w:eastAsia="宋体" w:cs="宋体"/>
                <w:szCs w:val="21"/>
                <w:lang w:val="en-US" w:eastAsia="zh-CN"/>
              </w:rPr>
              <w:t>甲方</w:t>
            </w:r>
            <w:r>
              <w:rPr>
                <w:rFonts w:hint="eastAsia" w:ascii="宋体" w:hAnsi="宋体" w:eastAsia="宋体" w:cs="宋体"/>
                <w:szCs w:val="21"/>
              </w:rPr>
              <w:t>根据生产经营需要，</w:t>
            </w:r>
            <w:r>
              <w:rPr>
                <w:rFonts w:hint="eastAsia" w:ascii="宋体" w:hAnsi="宋体" w:eastAsia="宋体" w:cs="宋体"/>
                <w:szCs w:val="21"/>
                <w:lang w:val="en-US" w:eastAsia="zh-CN"/>
              </w:rPr>
              <w:t>按甲方</w:t>
            </w:r>
            <w:r>
              <w:rPr>
                <w:rFonts w:hint="eastAsia" w:ascii="宋体" w:hAnsi="宋体" w:eastAsia="宋体" w:cs="宋体"/>
                <w:szCs w:val="21"/>
              </w:rPr>
              <w:t>需求通知供货。每批</w:t>
            </w:r>
            <w:r>
              <w:rPr>
                <w:rFonts w:hint="eastAsia" w:ascii="宋体" w:hAnsi="宋体" w:eastAsia="宋体" w:cs="宋体"/>
                <w:szCs w:val="21"/>
                <w:lang w:val="en-US" w:eastAsia="zh-CN"/>
              </w:rPr>
              <w:t>55</w:t>
            </w:r>
            <w:r>
              <w:rPr>
                <w:rFonts w:hint="eastAsia" w:ascii="宋体" w:hAnsi="宋体" w:eastAsia="宋体" w:cs="宋体"/>
                <w:szCs w:val="21"/>
                <w:u w:val="single"/>
                <w:lang w:val="en-US" w:eastAsia="zh-CN"/>
              </w:rPr>
              <w:t>%、60%磷酸一铵</w:t>
            </w:r>
            <w:r>
              <w:rPr>
                <w:rFonts w:hint="eastAsia" w:ascii="宋体" w:hAnsi="宋体" w:eastAsia="宋体" w:cs="宋体"/>
                <w:szCs w:val="21"/>
              </w:rPr>
              <w:t>送货时间以</w:t>
            </w:r>
            <w:r>
              <w:rPr>
                <w:rFonts w:hint="eastAsia" w:ascii="宋体" w:hAnsi="宋体" w:eastAsia="宋体" w:cs="宋体"/>
                <w:szCs w:val="21"/>
                <w:lang w:val="en-US" w:eastAsia="zh-CN"/>
              </w:rPr>
              <w:t>甲方</w:t>
            </w:r>
            <w:r>
              <w:rPr>
                <w:rFonts w:hint="eastAsia" w:ascii="宋体" w:hAnsi="宋体" w:eastAsia="宋体" w:cs="宋体"/>
                <w:szCs w:val="21"/>
              </w:rPr>
              <w:t>通知为准。</w:t>
            </w:r>
          </w:p>
          <w:p w14:paraId="257FB7FA">
            <w:pPr>
              <w:snapToGrid w:val="0"/>
              <w:spacing w:line="360" w:lineRule="auto"/>
              <w:outlineLvl w:val="9"/>
              <w:rPr>
                <w:rFonts w:hint="eastAsia" w:ascii="宋体" w:hAnsi="宋体" w:eastAsia="宋体" w:cs="宋体"/>
                <w:szCs w:val="21"/>
              </w:rPr>
            </w:pPr>
            <w:r>
              <w:rPr>
                <w:rFonts w:hint="eastAsia" w:cs="宋体" w:asciiTheme="minorEastAsia" w:hAnsiTheme="minorEastAsia"/>
                <w:szCs w:val="21"/>
              </w:rPr>
              <w:t>（</w:t>
            </w:r>
            <w:r>
              <w:rPr>
                <w:rFonts w:hint="eastAsia" w:cs="宋体" w:asciiTheme="minorEastAsia" w:hAnsiTheme="minorEastAsia"/>
                <w:szCs w:val="21"/>
                <w:lang w:val="en-US" w:eastAsia="zh-CN"/>
              </w:rPr>
              <w:t>2</w:t>
            </w:r>
            <w:r>
              <w:rPr>
                <w:rFonts w:hint="eastAsia" w:cs="宋体" w:asciiTheme="minorEastAsia" w:hAnsiTheme="minorEastAsia"/>
                <w:szCs w:val="21"/>
              </w:rPr>
              <w:t>）交货</w:t>
            </w:r>
            <w:r>
              <w:rPr>
                <w:rFonts w:hint="eastAsia" w:cs="宋体" w:asciiTheme="minorEastAsia" w:hAnsiTheme="minorEastAsia"/>
                <w:szCs w:val="21"/>
                <w:lang w:val="en-US" w:eastAsia="zh-CN"/>
              </w:rPr>
              <w:t>路线及地点</w:t>
            </w:r>
            <w:r>
              <w:rPr>
                <w:rFonts w:hint="eastAsia" w:cs="宋体" w:asciiTheme="minorEastAsia" w:hAnsiTheme="minorEastAsia"/>
                <w:szCs w:val="21"/>
              </w:rPr>
              <w:t>：</w:t>
            </w:r>
            <w:r>
              <w:rPr>
                <w:rFonts w:hint="eastAsia" w:ascii="宋体" w:hAnsi="宋体" w:eastAsia="宋体" w:cs="宋体"/>
                <w:kern w:val="0"/>
                <w:sz w:val="21"/>
                <w:szCs w:val="21"/>
                <w:lang w:val="en-US" w:eastAsia="zh-CN"/>
              </w:rPr>
              <w:t>由四川宏达股份有限公司什邡磷化工分公司磷铵库房--新疆阿拉尔市供销惠垦肥业</w:t>
            </w:r>
            <w:r>
              <w:rPr>
                <w:rFonts w:hint="eastAsia" w:ascii="宋体" w:hAnsi="宋体" w:eastAsia="宋体" w:cs="宋体"/>
                <w:i w:val="0"/>
                <w:iCs w:val="0"/>
                <w:caps w:val="0"/>
                <w:color w:val="111111"/>
                <w:spacing w:val="0"/>
                <w:sz w:val="21"/>
                <w:szCs w:val="21"/>
              </w:rPr>
              <w:t>有限</w:t>
            </w:r>
            <w:r>
              <w:rPr>
                <w:rFonts w:hint="eastAsia" w:ascii="宋体" w:hAnsi="宋体" w:eastAsia="宋体" w:cs="宋体"/>
                <w:i w:val="0"/>
                <w:iCs w:val="0"/>
                <w:caps w:val="0"/>
                <w:color w:val="111111"/>
                <w:spacing w:val="0"/>
                <w:sz w:val="21"/>
                <w:szCs w:val="21"/>
                <w:lang w:val="en-US" w:eastAsia="zh-CN"/>
              </w:rPr>
              <w:t>责任</w:t>
            </w:r>
            <w:r>
              <w:rPr>
                <w:rFonts w:hint="eastAsia" w:ascii="宋体" w:hAnsi="宋体" w:eastAsia="宋体" w:cs="宋体"/>
                <w:i w:val="0"/>
                <w:iCs w:val="0"/>
                <w:caps w:val="0"/>
                <w:color w:val="111111"/>
                <w:spacing w:val="0"/>
                <w:sz w:val="21"/>
                <w:szCs w:val="21"/>
              </w:rPr>
              <w:t>公司</w:t>
            </w:r>
            <w:r>
              <w:rPr>
                <w:rFonts w:hint="eastAsia" w:ascii="宋体" w:hAnsi="宋体" w:eastAsia="宋体" w:cs="宋体"/>
                <w:sz w:val="21"/>
                <w:szCs w:val="21"/>
                <w:lang w:val="en-US" w:eastAsia="zh-CN"/>
              </w:rPr>
              <w:t>。</w:t>
            </w:r>
          </w:p>
          <w:p w14:paraId="3B21D53D">
            <w:pPr>
              <w:snapToGrid w:val="0"/>
              <w:spacing w:line="360" w:lineRule="auto"/>
              <w:outlineLvl w:val="9"/>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3</w:t>
            </w:r>
            <w:r>
              <w:rPr>
                <w:rFonts w:hint="eastAsia" w:ascii="宋体" w:hAnsi="宋体" w:eastAsia="宋体" w:cs="宋体"/>
                <w:szCs w:val="21"/>
              </w:rPr>
              <w:t>）付款方式：</w:t>
            </w:r>
            <w:r>
              <w:rPr>
                <w:rFonts w:hint="eastAsia" w:cs="宋体" w:asciiTheme="minorEastAsia" w:hAnsiTheme="minorEastAsia"/>
                <w:sz w:val="21"/>
                <w:szCs w:val="21"/>
              </w:rPr>
              <w:t>先货后款，</w:t>
            </w:r>
            <w:r>
              <w:rPr>
                <w:rFonts w:hint="eastAsia" w:cs="宋体" w:asciiTheme="minorEastAsia" w:hAnsiTheme="minorEastAsia"/>
                <w:sz w:val="21"/>
                <w:szCs w:val="21"/>
                <w:lang w:val="en-US" w:eastAsia="zh-CN"/>
              </w:rPr>
              <w:t>承兑/现汇支付，运输完成</w:t>
            </w:r>
            <w:r>
              <w:rPr>
                <w:rFonts w:hint="eastAsia" w:cs="宋体" w:asciiTheme="minorEastAsia" w:hAnsiTheme="minorEastAsia"/>
                <w:sz w:val="21"/>
                <w:szCs w:val="21"/>
              </w:rPr>
              <w:t>一票结算。货款在票据齐备后</w:t>
            </w:r>
            <w:r>
              <w:rPr>
                <w:rFonts w:hint="eastAsia" w:cs="宋体" w:asciiTheme="minorEastAsia" w:hAnsiTheme="minorEastAsia"/>
                <w:sz w:val="21"/>
                <w:szCs w:val="21"/>
                <w:lang w:eastAsia="zh-CN"/>
              </w:rPr>
              <w:t>，</w:t>
            </w:r>
            <w:r>
              <w:rPr>
                <w:rFonts w:hint="eastAsia" w:cs="宋体" w:asciiTheme="minorEastAsia" w:hAnsiTheme="minorEastAsia"/>
                <w:sz w:val="21"/>
                <w:szCs w:val="21"/>
                <w:lang w:val="en-US" w:eastAsia="zh-CN"/>
              </w:rPr>
              <w:t>甲</w:t>
            </w:r>
            <w:r>
              <w:rPr>
                <w:rFonts w:hint="eastAsia" w:cs="宋体" w:asciiTheme="minorEastAsia" w:hAnsiTheme="minorEastAsia"/>
                <w:sz w:val="21"/>
                <w:szCs w:val="21"/>
              </w:rPr>
              <w:t>方收到</w:t>
            </w:r>
            <w:r>
              <w:rPr>
                <w:rFonts w:hint="eastAsia" w:cs="宋体" w:asciiTheme="minorEastAsia" w:hAnsiTheme="minorEastAsia"/>
                <w:sz w:val="21"/>
                <w:szCs w:val="21"/>
                <w:lang w:val="en-US" w:eastAsia="zh-CN"/>
              </w:rPr>
              <w:t>乙</w:t>
            </w:r>
            <w:r>
              <w:rPr>
                <w:rFonts w:hint="eastAsia" w:cs="宋体" w:asciiTheme="minorEastAsia" w:hAnsiTheme="minorEastAsia"/>
                <w:sz w:val="21"/>
                <w:szCs w:val="21"/>
              </w:rPr>
              <w:t>方开具全额增值税专用运输发票（税率</w:t>
            </w:r>
            <w:r>
              <w:rPr>
                <w:rFonts w:hint="eastAsia" w:cs="宋体" w:asciiTheme="minorEastAsia" w:hAnsiTheme="minorEastAsia"/>
                <w:sz w:val="21"/>
                <w:szCs w:val="21"/>
                <w:lang w:val="en-US" w:eastAsia="zh-CN"/>
              </w:rPr>
              <w:t xml:space="preserve"> 9 </w:t>
            </w:r>
            <w:r>
              <w:rPr>
                <w:rFonts w:hint="eastAsia" w:cs="宋体" w:asciiTheme="minorEastAsia" w:hAnsiTheme="minorEastAsia"/>
                <w:sz w:val="21"/>
                <w:szCs w:val="21"/>
              </w:rPr>
              <w:t>%）后付清货款</w:t>
            </w:r>
            <w:r>
              <w:rPr>
                <w:rFonts w:hint="eastAsia" w:cs="宋体" w:asciiTheme="minorEastAsia" w:hAnsiTheme="minorEastAsia"/>
                <w:sz w:val="21"/>
                <w:szCs w:val="21"/>
                <w:lang w:eastAsia="zh-CN"/>
              </w:rPr>
              <w:t>。</w:t>
            </w:r>
          </w:p>
          <w:p w14:paraId="4DEDAE32">
            <w:pPr>
              <w:snapToGrid w:val="0"/>
              <w:spacing w:line="360" w:lineRule="auto"/>
              <w:jc w:val="left"/>
              <w:outlineLvl w:val="9"/>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4</w:t>
            </w:r>
            <w:r>
              <w:rPr>
                <w:rFonts w:hint="eastAsia" w:ascii="宋体" w:hAnsi="宋体" w:eastAsia="宋体" w:cs="宋体"/>
                <w:szCs w:val="21"/>
              </w:rPr>
              <w:t>）上述报价为一票含税价（税率</w:t>
            </w:r>
            <w:r>
              <w:rPr>
                <w:rFonts w:hint="eastAsia" w:ascii="宋体" w:hAnsi="宋体" w:eastAsia="宋体" w:cs="宋体"/>
                <w:szCs w:val="21"/>
                <w:lang w:val="en-US" w:eastAsia="zh-CN"/>
              </w:rPr>
              <w:t xml:space="preserve"> 9 </w:t>
            </w:r>
            <w:r>
              <w:rPr>
                <w:rFonts w:hint="eastAsia" w:ascii="宋体" w:hAnsi="宋体" w:eastAsia="宋体" w:cs="宋体"/>
                <w:szCs w:val="21"/>
              </w:rPr>
              <w:t>%），到交货地点</w:t>
            </w:r>
            <w:r>
              <w:rPr>
                <w:rFonts w:hint="eastAsia" w:cs="宋体" w:asciiTheme="minorEastAsia" w:hAnsiTheme="minorEastAsia"/>
                <w:szCs w:val="21"/>
              </w:rPr>
              <w:t>前所有费用、货损风险由</w:t>
            </w:r>
            <w:r>
              <w:rPr>
                <w:rFonts w:hint="eastAsia" w:cs="宋体" w:asciiTheme="minorEastAsia" w:hAnsiTheme="minorEastAsia"/>
                <w:szCs w:val="21"/>
                <w:lang w:val="en-US" w:eastAsia="zh-CN"/>
              </w:rPr>
              <w:t>我方</w:t>
            </w:r>
            <w:r>
              <w:rPr>
                <w:rFonts w:hint="eastAsia" w:cs="宋体" w:asciiTheme="minorEastAsia" w:hAnsiTheme="minorEastAsia"/>
                <w:szCs w:val="21"/>
              </w:rPr>
              <w:t>公司承担。</w:t>
            </w:r>
          </w:p>
        </w:tc>
      </w:tr>
    </w:tbl>
    <w:p w14:paraId="174E3438">
      <w:pPr>
        <w:spacing w:line="400" w:lineRule="exact"/>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2.如我方中标，我方承诺：</w:t>
      </w:r>
    </w:p>
    <w:p w14:paraId="70FB9FB4">
      <w:pPr>
        <w:spacing w:line="400" w:lineRule="exact"/>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（1）在收到中标通知书后，在中标通知书规定的期限内与贵方签订合同；</w:t>
      </w:r>
    </w:p>
    <w:p w14:paraId="46579BEB">
      <w:pPr>
        <w:spacing w:line="400" w:lineRule="exact"/>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（2）在签订合同时不向贵方提出附加条件；</w:t>
      </w:r>
    </w:p>
    <w:p w14:paraId="0762BA78">
      <w:pPr>
        <w:spacing w:line="400" w:lineRule="exact"/>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（3）按照招标文件要求提交履约保证金。</w:t>
      </w:r>
    </w:p>
    <w:p w14:paraId="192DF635">
      <w:pPr>
        <w:spacing w:line="400" w:lineRule="exact"/>
        <w:ind w:firstLine="480" w:firstLineChars="200"/>
        <w:rPr>
          <w:rFonts w:hint="eastAsia" w:ascii="宋体" w:hAnsi="宋体" w:eastAsia="宋体" w:cs="Times New Roman"/>
          <w:sz w:val="24"/>
          <w:lang w:val="en-US" w:eastAsia="zh-CN"/>
        </w:rPr>
      </w:pPr>
      <w:r>
        <w:rPr>
          <w:rFonts w:hint="eastAsia" w:ascii="宋体" w:hAnsi="宋体" w:eastAsia="宋体" w:cs="Times New Roman"/>
          <w:sz w:val="24"/>
          <w:lang w:val="en-US" w:eastAsia="zh-CN"/>
        </w:rPr>
        <w:t>3.我方在此声明，所递交的投标文件及有关资料内容完整、真实和准确。</w:t>
      </w:r>
    </w:p>
    <w:p w14:paraId="3578587B">
      <w:pPr>
        <w:spacing w:line="400" w:lineRule="exact"/>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4.</w:t>
      </w:r>
      <w:r>
        <w:rPr>
          <w:rFonts w:hint="eastAsia" w:ascii="宋体" w:hAnsi="宋体" w:eastAsia="宋体" w:cs="Times New Roman"/>
          <w:sz w:val="24"/>
          <w:u w:val="single"/>
          <w:lang w:val="en-US" w:eastAsia="zh-CN"/>
        </w:rPr>
        <w:t xml:space="preserve">                                     </w:t>
      </w:r>
      <w:r>
        <w:rPr>
          <w:rFonts w:hint="eastAsia" w:ascii="宋体" w:hAnsi="宋体" w:eastAsia="宋体" w:cs="Times New Roman"/>
          <w:sz w:val="24"/>
          <w:lang w:val="en-US" w:eastAsia="zh-CN"/>
        </w:rPr>
        <w:t>（其他补充说明）。</w:t>
      </w:r>
    </w:p>
    <w:p w14:paraId="5DEB35F8">
      <w:pPr>
        <w:spacing w:line="400" w:lineRule="exact"/>
        <w:ind w:firstLine="480" w:firstLineChars="200"/>
        <w:rPr>
          <w:rFonts w:ascii="宋体" w:hAnsi="宋体" w:eastAsia="宋体" w:cs="Times New Roman"/>
          <w:sz w:val="24"/>
        </w:rPr>
      </w:pPr>
    </w:p>
    <w:p w14:paraId="10057780">
      <w:pPr>
        <w:spacing w:line="400" w:lineRule="exact"/>
        <w:ind w:firstLine="480" w:firstLineChars="200"/>
        <w:rPr>
          <w:rFonts w:ascii="宋体" w:hAnsi="宋体" w:eastAsia="宋体" w:cs="Times New Roman"/>
          <w:sz w:val="24"/>
        </w:rPr>
      </w:pPr>
      <w:r>
        <w:rPr>
          <w:rFonts w:hint="eastAsia" w:ascii="宋体" w:hAnsi="宋体" w:eastAsia="宋体" w:cs="Times New Roman"/>
          <w:sz w:val="24"/>
        </w:rPr>
        <w:t xml:space="preserve">                            报价单位：</w:t>
      </w:r>
      <w:r>
        <w:rPr>
          <w:rFonts w:hint="eastAsia" w:ascii="宋体" w:hAnsi="宋体" w:eastAsia="宋体" w:cs="Times New Roman"/>
          <w:sz w:val="24"/>
          <w:u w:val="single"/>
        </w:rPr>
        <w:t xml:space="preserve">                  </w:t>
      </w:r>
      <w:r>
        <w:rPr>
          <w:rFonts w:hint="eastAsia" w:ascii="宋体" w:hAnsi="宋体" w:eastAsia="宋体" w:cs="Times New Roman"/>
          <w:sz w:val="24"/>
        </w:rPr>
        <w:t>（盖</w:t>
      </w:r>
      <w:r>
        <w:rPr>
          <w:rFonts w:hint="eastAsia" w:ascii="宋体" w:hAnsi="宋体" w:eastAsia="宋体" w:cs="Times New Roman"/>
          <w:sz w:val="24"/>
          <w:lang w:val="en-US" w:eastAsia="zh-CN"/>
        </w:rPr>
        <w:t>单位</w:t>
      </w:r>
      <w:r>
        <w:rPr>
          <w:rFonts w:hint="eastAsia" w:ascii="宋体" w:hAnsi="宋体" w:eastAsia="宋体" w:cs="Times New Roman"/>
          <w:sz w:val="24"/>
        </w:rPr>
        <w:t>章）</w:t>
      </w:r>
    </w:p>
    <w:p w14:paraId="69AC5388">
      <w:pPr>
        <w:spacing w:line="400" w:lineRule="exact"/>
        <w:ind w:firstLine="480" w:firstLineChars="200"/>
        <w:rPr>
          <w:rFonts w:ascii="宋体" w:hAnsi="宋体" w:eastAsia="宋体" w:cs="Times New Roman"/>
          <w:sz w:val="24"/>
        </w:rPr>
      </w:pPr>
      <w:r>
        <w:rPr>
          <w:rFonts w:hint="eastAsia" w:ascii="宋体" w:hAnsi="宋体" w:eastAsia="宋体" w:cs="Times New Roman"/>
          <w:sz w:val="24"/>
        </w:rPr>
        <w:t xml:space="preserve">                              </w:t>
      </w:r>
    </w:p>
    <w:p w14:paraId="25E7C907">
      <w:pPr>
        <w:spacing w:line="400" w:lineRule="exact"/>
        <w:ind w:firstLine="480" w:firstLineChars="200"/>
        <w:rPr>
          <w:rFonts w:ascii="宋体" w:hAnsi="宋体" w:eastAsia="宋体" w:cs="Times New Roman"/>
          <w:sz w:val="24"/>
        </w:rPr>
      </w:pPr>
      <w:r>
        <w:rPr>
          <w:rFonts w:hint="eastAsia" w:ascii="宋体" w:hAnsi="宋体" w:eastAsia="宋体" w:cs="Times New Roman"/>
          <w:sz w:val="24"/>
        </w:rPr>
        <w:t xml:space="preserve">                                    </w:t>
      </w:r>
      <w:r>
        <w:rPr>
          <w:rFonts w:hint="eastAsia" w:ascii="宋体" w:hAnsi="宋体" w:eastAsia="宋体" w:cs="Times New Roman"/>
          <w:sz w:val="24"/>
          <w:u w:val="single"/>
        </w:rPr>
        <w:t xml:space="preserve">       </w:t>
      </w:r>
      <w:r>
        <w:rPr>
          <w:rFonts w:hint="eastAsia" w:ascii="宋体" w:hAnsi="宋体" w:eastAsia="宋体" w:cs="Times New Roman"/>
          <w:sz w:val="24"/>
        </w:rPr>
        <w:t>年</w:t>
      </w:r>
      <w:r>
        <w:rPr>
          <w:rFonts w:hint="eastAsia" w:ascii="宋体" w:hAnsi="宋体" w:eastAsia="宋体" w:cs="Times New Roman"/>
          <w:sz w:val="24"/>
          <w:u w:val="single"/>
        </w:rPr>
        <w:t xml:space="preserve">       </w:t>
      </w:r>
      <w:r>
        <w:rPr>
          <w:rFonts w:hint="eastAsia" w:ascii="宋体" w:hAnsi="宋体" w:eastAsia="宋体" w:cs="Times New Roman"/>
          <w:sz w:val="24"/>
        </w:rPr>
        <w:t>月</w:t>
      </w:r>
      <w:r>
        <w:rPr>
          <w:rFonts w:hint="eastAsia" w:ascii="宋体" w:hAnsi="宋体" w:eastAsia="宋体" w:cs="Times New Roman"/>
          <w:sz w:val="24"/>
          <w:u w:val="single"/>
        </w:rPr>
        <w:t xml:space="preserve">       </w:t>
      </w:r>
      <w:r>
        <w:rPr>
          <w:rFonts w:hint="eastAsia" w:ascii="宋体" w:hAnsi="宋体" w:eastAsia="宋体" w:cs="Times New Roman"/>
          <w:sz w:val="24"/>
        </w:rPr>
        <w:t>日</w:t>
      </w:r>
    </w:p>
    <w:p w14:paraId="4150E835">
      <w:pPr>
        <w:spacing w:line="400" w:lineRule="exact"/>
        <w:ind w:firstLine="480" w:firstLineChars="200"/>
        <w:rPr>
          <w:rFonts w:ascii="宋体" w:hAnsi="宋体" w:eastAsia="宋体" w:cs="Times New Roman"/>
          <w:sz w:val="24"/>
        </w:rPr>
      </w:pPr>
    </w:p>
    <w:p w14:paraId="7AC77B8E">
      <w:pPr>
        <w:spacing w:line="400" w:lineRule="exact"/>
        <w:rPr>
          <w:rFonts w:ascii="宋体" w:hAnsi="宋体" w:eastAsia="宋体" w:cs="Times New Roman"/>
          <w:sz w:val="24"/>
        </w:rPr>
      </w:pPr>
    </w:p>
    <w:p w14:paraId="0CF44CEC">
      <w:pPr>
        <w:spacing w:line="400" w:lineRule="exact"/>
        <w:rPr>
          <w:rFonts w:ascii="宋体" w:hAnsi="宋体" w:eastAsia="宋体" w:cs="Times New Roman"/>
          <w:sz w:val="24"/>
        </w:rPr>
      </w:pPr>
    </w:p>
    <w:p w14:paraId="67C678B5">
      <w:pPr>
        <w:spacing w:line="400" w:lineRule="exact"/>
        <w:rPr>
          <w:rFonts w:ascii="宋体" w:hAnsi="宋体" w:eastAsia="宋体" w:cs="Times New Roman"/>
          <w:sz w:val="24"/>
        </w:rPr>
      </w:pPr>
    </w:p>
    <w:p w14:paraId="5A10B255">
      <w:pPr>
        <w:spacing w:line="400" w:lineRule="exact"/>
        <w:rPr>
          <w:rFonts w:ascii="宋体" w:hAnsi="宋体" w:eastAsia="宋体" w:cs="Times New Roman"/>
          <w:sz w:val="24"/>
        </w:rPr>
      </w:pPr>
    </w:p>
    <w:p w14:paraId="5C27125B">
      <w:pPr>
        <w:numPr>
          <w:ilvl w:val="0"/>
          <w:numId w:val="1"/>
        </w:numPr>
        <w:jc w:val="center"/>
        <w:rPr>
          <w:rFonts w:ascii="宋体" w:hAnsi="宋体" w:eastAsia="宋体" w:cs="宋体"/>
          <w:b/>
          <w:bCs/>
          <w:sz w:val="32"/>
          <w:szCs w:val="32"/>
        </w:rPr>
      </w:pPr>
      <w:r>
        <w:rPr>
          <w:rFonts w:hint="eastAsia" w:ascii="宋体" w:hAnsi="宋体" w:eastAsia="宋体" w:cs="宋体"/>
          <w:b/>
          <w:bCs/>
          <w:sz w:val="32"/>
          <w:szCs w:val="32"/>
        </w:rPr>
        <w:t>质量证明文件</w:t>
      </w:r>
    </w:p>
    <w:p w14:paraId="7507EAD2">
      <w:pPr>
        <w:rPr>
          <w:rFonts w:ascii="宋体" w:hAnsi="宋体" w:eastAsia="宋体" w:cs="宋体"/>
          <w:b/>
          <w:bCs/>
          <w:sz w:val="32"/>
          <w:szCs w:val="32"/>
        </w:rPr>
      </w:pPr>
    </w:p>
    <w:p w14:paraId="4280EDFF">
      <w:pPr>
        <w:numPr>
          <w:ilvl w:val="0"/>
          <w:numId w:val="7"/>
        </w:numPr>
        <w:jc w:val="left"/>
        <w:rPr>
          <w:rFonts w:ascii="宋体" w:hAnsi="宋体" w:eastAsia="宋体" w:cs="宋体"/>
          <w:sz w:val="28"/>
          <w:szCs w:val="28"/>
        </w:rPr>
      </w:pPr>
      <w:r>
        <w:rPr>
          <w:rFonts w:hint="eastAsia" w:ascii="宋体" w:hAnsi="宋体" w:eastAsia="宋体" w:cs="宋体"/>
          <w:sz w:val="28"/>
          <w:szCs w:val="28"/>
        </w:rPr>
        <w:t>比选申请人需</w:t>
      </w:r>
      <w:bookmarkStart w:id="17" w:name="OLE_LINK4"/>
      <w:bookmarkStart w:id="18" w:name="OLE_LINK3"/>
      <w:r>
        <w:rPr>
          <w:rFonts w:hint="eastAsia" w:ascii="宋体" w:hAnsi="宋体" w:eastAsia="宋体" w:cs="宋体"/>
          <w:sz w:val="28"/>
          <w:szCs w:val="28"/>
        </w:rPr>
        <w:t>扫描上传营业执照（三证合一）</w:t>
      </w:r>
      <w:bookmarkEnd w:id="17"/>
      <w:bookmarkEnd w:id="18"/>
      <w:r>
        <w:rPr>
          <w:rFonts w:hint="eastAsia" w:ascii="宋体" w:hAnsi="宋体" w:eastAsia="宋体" w:cs="宋体"/>
          <w:sz w:val="28"/>
          <w:szCs w:val="28"/>
        </w:rPr>
        <w:t>。</w:t>
      </w:r>
    </w:p>
    <w:p w14:paraId="59FFE612">
      <w:pPr>
        <w:numPr>
          <w:ilvl w:val="0"/>
          <w:numId w:val="7"/>
        </w:numPr>
        <w:jc w:val="left"/>
        <w:rPr>
          <w:rFonts w:ascii="宋体" w:hAnsi="宋体" w:eastAsia="宋体" w:cs="宋体"/>
          <w:sz w:val="28"/>
          <w:szCs w:val="28"/>
        </w:rPr>
      </w:pPr>
      <w:r>
        <w:rPr>
          <w:rFonts w:hint="eastAsia" w:ascii="宋体" w:hAnsi="宋体" w:eastAsia="宋体" w:cs="宋体"/>
          <w:sz w:val="28"/>
          <w:szCs w:val="28"/>
        </w:rPr>
        <w:t>需提供道路运输经营许可证</w:t>
      </w:r>
      <w:r>
        <w:rPr>
          <w:rFonts w:hint="eastAsia" w:ascii="宋体" w:hAnsi="宋体" w:eastAsia="宋体" w:cs="宋体"/>
          <w:sz w:val="28"/>
          <w:szCs w:val="28"/>
          <w:lang w:eastAsia="zh-CN"/>
        </w:rPr>
        <w:t>。</w:t>
      </w:r>
    </w:p>
    <w:p w14:paraId="56F2F6C3">
      <w:pPr>
        <w:numPr>
          <w:ilvl w:val="0"/>
          <w:numId w:val="0"/>
        </w:numPr>
        <w:jc w:val="left"/>
        <w:rPr>
          <w:rFonts w:ascii="宋体" w:hAnsi="宋体" w:eastAsia="宋体" w:cs="宋体"/>
          <w:sz w:val="28"/>
          <w:szCs w:val="28"/>
        </w:rPr>
      </w:pPr>
    </w:p>
    <w:p w14:paraId="34865638"/>
    <w:p w14:paraId="30364A5B"/>
    <w:p w14:paraId="75DCFA3F"/>
    <w:p w14:paraId="6F253712"/>
    <w:p w14:paraId="3646AB5E"/>
    <w:p w14:paraId="4CB3CE5E"/>
    <w:p w14:paraId="63871DB0"/>
    <w:p w14:paraId="33B0508C"/>
    <w:p w14:paraId="3707BE9E"/>
    <w:p w14:paraId="16187EF5"/>
    <w:p w14:paraId="4A6C2E3C"/>
    <w:p w14:paraId="5EDA608A"/>
    <w:p w14:paraId="03598E80"/>
    <w:p w14:paraId="306C4C22"/>
    <w:p w14:paraId="3C649C4F"/>
    <w:p w14:paraId="4A6DFF2B"/>
    <w:p w14:paraId="6950C679"/>
    <w:p w14:paraId="42B78939"/>
    <w:p w14:paraId="1E460433"/>
    <w:p w14:paraId="6056D80C"/>
    <w:p w14:paraId="7DF57873"/>
    <w:p w14:paraId="4D75F9B6"/>
    <w:p w14:paraId="5C6B0475"/>
    <w:p w14:paraId="19E4D0ED"/>
    <w:p w14:paraId="4277C576"/>
    <w:p w14:paraId="3AF899F8"/>
    <w:p w14:paraId="4250C0BC"/>
    <w:p w14:paraId="6EA4C4FE"/>
    <w:p w14:paraId="7F58A202">
      <w:pPr>
        <w:rPr>
          <w:rFonts w:hint="eastAsia"/>
        </w:rPr>
      </w:pPr>
    </w:p>
    <w:p w14:paraId="0D8C0843"/>
    <w:p w14:paraId="5F0BF330"/>
    <w:p w14:paraId="20E5537F"/>
    <w:p w14:paraId="46215E63"/>
    <w:p w14:paraId="18A73EFB"/>
    <w:p w14:paraId="445932B3">
      <w:pPr>
        <w:numPr>
          <w:ilvl w:val="0"/>
          <w:numId w:val="0"/>
        </w:numPr>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lang w:val="en-US" w:eastAsia="zh-CN"/>
        </w:rPr>
        <w:t>三、保证金</w:t>
      </w:r>
    </w:p>
    <w:p w14:paraId="2E89EFC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若采用现金，比选申请人在此提供汇款凭证的</w:t>
      </w:r>
      <w:r>
        <w:rPr>
          <w:rFonts w:hint="eastAsia" w:ascii="宋体" w:hAnsi="宋体" w:eastAsia="宋体" w:cs="宋体"/>
          <w:color w:val="auto"/>
          <w:sz w:val="24"/>
          <w:szCs w:val="24"/>
          <w:highlight w:val="none"/>
        </w:rPr>
        <w:t>复印件。</w:t>
      </w:r>
    </w:p>
    <w:p w14:paraId="759C0ADD">
      <w:pPr>
        <w:pStyle w:val="3"/>
        <w:keepNext w:val="0"/>
        <w:keepLines w:val="0"/>
        <w:pageBreakBefore w:val="0"/>
        <w:widowControl w:val="0"/>
        <w:kinsoku/>
        <w:wordWrap/>
        <w:overflowPunct/>
        <w:topLinePunct w:val="0"/>
        <w:autoSpaceDE/>
        <w:autoSpaceDN/>
        <w:bidi w:val="0"/>
        <w:adjustRightInd/>
        <w:snapToGrid/>
        <w:spacing w:after="0"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lang w:val="en-US" w:eastAsia="zh-CN"/>
        </w:rPr>
        <w:t>如采用保函，保函复印件装订在</w:t>
      </w:r>
      <w:r>
        <w:rPr>
          <w:rFonts w:hint="eastAsia" w:cs="宋体"/>
          <w:color w:val="0000FF"/>
          <w:sz w:val="24"/>
          <w:szCs w:val="24"/>
          <w:highlight w:val="none"/>
          <w:lang w:val="en-US" w:eastAsia="zh-CN"/>
        </w:rPr>
        <w:t>报价</w:t>
      </w:r>
      <w:r>
        <w:rPr>
          <w:rFonts w:hint="eastAsia" w:ascii="宋体" w:hAnsi="宋体" w:eastAsia="宋体" w:cs="宋体"/>
          <w:color w:val="auto"/>
          <w:sz w:val="24"/>
          <w:szCs w:val="24"/>
          <w:highlight w:val="none"/>
          <w:lang w:val="en-US" w:eastAsia="zh-CN"/>
        </w:rPr>
        <w:t>文件中。</w:t>
      </w:r>
    </w:p>
    <w:p w14:paraId="0FED6C3C">
      <w:pPr>
        <w:shd w:val="clear" w:color="auto" w:fill="auto"/>
        <w:spacing w:line="360" w:lineRule="auto"/>
        <w:rPr>
          <w:rFonts w:hint="eastAsia" w:ascii="宋体" w:hAnsi="宋体" w:eastAsia="宋体" w:cs="宋体"/>
          <w:color w:val="auto"/>
          <w:sz w:val="24"/>
          <w:szCs w:val="24"/>
          <w:highlight w:val="none"/>
        </w:rPr>
      </w:pPr>
    </w:p>
    <w:p w14:paraId="7473C83C">
      <w:pPr>
        <w:pStyle w:val="3"/>
        <w:rPr>
          <w:rFonts w:hint="eastAsia" w:ascii="宋体" w:hAnsi="宋体" w:eastAsia="宋体" w:cs="宋体"/>
          <w:color w:val="auto"/>
          <w:sz w:val="24"/>
          <w:szCs w:val="24"/>
          <w:highlight w:val="none"/>
        </w:rPr>
      </w:pPr>
    </w:p>
    <w:p w14:paraId="1018F7FB">
      <w:pPr>
        <w:pStyle w:val="4"/>
        <w:rPr>
          <w:rFonts w:hint="eastAsia" w:ascii="宋体" w:hAnsi="宋体" w:eastAsia="宋体" w:cs="宋体"/>
          <w:sz w:val="24"/>
          <w:szCs w:val="24"/>
        </w:rPr>
      </w:pPr>
    </w:p>
    <w:p w14:paraId="1D28E04A">
      <w:pPr>
        <w:pStyle w:val="3"/>
        <w:rPr>
          <w:rFonts w:hint="eastAsia" w:ascii="宋体" w:hAnsi="宋体" w:eastAsia="宋体" w:cs="宋体"/>
          <w:sz w:val="24"/>
          <w:szCs w:val="24"/>
        </w:rPr>
      </w:pPr>
    </w:p>
    <w:p w14:paraId="1A6217E6">
      <w:pPr>
        <w:rPr>
          <w:rFonts w:hint="eastAsia"/>
        </w:rPr>
      </w:pPr>
    </w:p>
    <w:p w14:paraId="48CD6CC9">
      <w:pPr>
        <w:shd w:val="clear" w:color="auto" w:fill="auto"/>
        <w:spacing w:line="360" w:lineRule="auto"/>
        <w:ind w:left="31680" w:hanging="76980" w:hangingChars="32075"/>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报价单位</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（盖单位章）</w:t>
      </w:r>
    </w:p>
    <w:p w14:paraId="67F22D0E">
      <w:pPr>
        <w:shd w:val="clear" w:color="auto" w:fill="auto"/>
        <w:spacing w:line="360" w:lineRule="auto"/>
        <w:ind w:left="31680" w:hanging="76980" w:hangingChars="32075"/>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6FB11A1D">
      <w:pPr>
        <w:shd w:val="clear" w:color="auto" w:fill="auto"/>
        <w:spacing w:line="360" w:lineRule="auto"/>
        <w:ind w:left="31680" w:hanging="76980" w:hangingChars="3207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48FD600F">
      <w:pPr>
        <w:jc w:val="center"/>
        <w:rPr>
          <w:rFonts w:hint="eastAsia" w:ascii="宋体" w:hAnsi="宋体" w:eastAsia="宋体" w:cs="宋体"/>
          <w:b/>
          <w:bCs/>
          <w:sz w:val="32"/>
          <w:szCs w:val="32"/>
          <w:highlight w:val="none"/>
        </w:rPr>
      </w:pPr>
    </w:p>
    <w:p w14:paraId="114D71D1">
      <w:pPr>
        <w:rPr>
          <w:rFonts w:hint="eastAsia" w:ascii="宋体" w:hAnsi="宋体" w:eastAsia="宋体" w:cs="宋体"/>
          <w:sz w:val="21"/>
          <w:szCs w:val="21"/>
          <w:highlight w:val="none"/>
        </w:rPr>
      </w:pPr>
    </w:p>
    <w:p w14:paraId="1FF92662">
      <w:pPr>
        <w:rPr>
          <w:rFonts w:hint="eastAsia" w:ascii="宋体" w:hAnsi="宋体" w:eastAsia="宋体" w:cs="宋体"/>
          <w:sz w:val="21"/>
          <w:szCs w:val="21"/>
          <w:highlight w:val="none"/>
        </w:rPr>
      </w:pPr>
    </w:p>
    <w:p w14:paraId="6BC38084">
      <w:pPr>
        <w:rPr>
          <w:rFonts w:hint="eastAsia" w:ascii="宋体" w:hAnsi="宋体" w:eastAsia="宋体" w:cs="宋体"/>
          <w:sz w:val="21"/>
          <w:szCs w:val="21"/>
          <w:highlight w:val="none"/>
        </w:rPr>
      </w:pPr>
    </w:p>
    <w:p w14:paraId="63FC5AA4">
      <w:pPr>
        <w:rPr>
          <w:rFonts w:hint="eastAsia" w:ascii="宋体" w:hAnsi="宋体" w:eastAsia="宋体" w:cs="宋体"/>
          <w:sz w:val="21"/>
          <w:szCs w:val="21"/>
          <w:highlight w:val="none"/>
        </w:rPr>
      </w:pPr>
    </w:p>
    <w:p w14:paraId="48065F5A">
      <w:pPr>
        <w:rPr>
          <w:rFonts w:hint="eastAsia" w:ascii="宋体" w:hAnsi="宋体" w:eastAsia="宋体" w:cs="宋体"/>
          <w:sz w:val="21"/>
          <w:szCs w:val="21"/>
          <w:highlight w:val="none"/>
        </w:rPr>
      </w:pPr>
    </w:p>
    <w:p w14:paraId="71F5D3B1">
      <w:pPr>
        <w:rPr>
          <w:rFonts w:hint="eastAsia" w:ascii="宋体" w:hAnsi="宋体" w:eastAsia="宋体" w:cs="宋体"/>
          <w:sz w:val="21"/>
          <w:szCs w:val="21"/>
          <w:highlight w:val="none"/>
        </w:rPr>
      </w:pPr>
    </w:p>
    <w:p w14:paraId="117E0D8A">
      <w:pPr>
        <w:rPr>
          <w:rFonts w:hint="eastAsia" w:ascii="宋体" w:hAnsi="宋体" w:eastAsia="宋体" w:cs="宋体"/>
          <w:sz w:val="21"/>
          <w:szCs w:val="21"/>
          <w:highlight w:val="none"/>
        </w:rPr>
      </w:pPr>
    </w:p>
    <w:p w14:paraId="48C09396">
      <w:pPr>
        <w:rPr>
          <w:rFonts w:hint="eastAsia" w:ascii="宋体" w:hAnsi="宋体" w:eastAsia="宋体" w:cs="宋体"/>
          <w:sz w:val="21"/>
          <w:szCs w:val="21"/>
          <w:highlight w:val="none"/>
        </w:rPr>
      </w:pPr>
    </w:p>
    <w:p w14:paraId="5A5A8236">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应附比选申请人</w:t>
      </w:r>
      <w:r>
        <w:rPr>
          <w:rFonts w:hint="eastAsia" w:ascii="宋体" w:hAnsi="宋体" w:eastAsia="宋体" w:cs="宋体"/>
          <w:sz w:val="21"/>
          <w:szCs w:val="21"/>
          <w:highlight w:val="none"/>
          <w:u w:val="none"/>
          <w:lang w:val="en-US" w:eastAsia="zh-CN"/>
        </w:rPr>
        <w:t>营业执照</w:t>
      </w:r>
      <w:r>
        <w:rPr>
          <w:rFonts w:hint="eastAsia" w:ascii="宋体" w:hAnsi="宋体" w:cs="宋体"/>
          <w:szCs w:val="21"/>
          <w:highlight w:val="none"/>
          <w:lang w:eastAsia="zh-CN"/>
        </w:rPr>
        <w:t>（</w:t>
      </w:r>
      <w:r>
        <w:rPr>
          <w:rFonts w:hint="eastAsia" w:ascii="宋体" w:hAnsi="宋体" w:cs="宋体"/>
          <w:szCs w:val="21"/>
          <w:highlight w:val="none"/>
          <w:lang w:val="en-US" w:eastAsia="zh-CN"/>
        </w:rPr>
        <w:t>或事业单位法人证书）</w:t>
      </w:r>
      <w:r>
        <w:rPr>
          <w:rFonts w:hint="eastAsia" w:ascii="宋体" w:hAnsi="宋体" w:eastAsia="宋体" w:cs="宋体"/>
          <w:sz w:val="21"/>
          <w:szCs w:val="21"/>
          <w:highlight w:val="none"/>
          <w:u w:val="none"/>
          <w:lang w:val="en-US" w:eastAsia="zh-CN"/>
        </w:rPr>
        <w:t>副本</w:t>
      </w:r>
      <w:r>
        <w:rPr>
          <w:rFonts w:hint="eastAsia" w:ascii="宋体" w:hAnsi="宋体" w:eastAsia="宋体" w:cs="宋体"/>
          <w:sz w:val="21"/>
          <w:szCs w:val="21"/>
          <w:highlight w:val="none"/>
          <w:lang w:val="en-US" w:eastAsia="zh-CN"/>
        </w:rPr>
        <w:t>等</w:t>
      </w:r>
      <w:r>
        <w:rPr>
          <w:rFonts w:hint="eastAsia" w:ascii="宋体" w:hAnsi="宋体" w:eastAsia="宋体" w:cs="宋体"/>
          <w:sz w:val="21"/>
          <w:szCs w:val="21"/>
          <w:highlight w:val="none"/>
        </w:rPr>
        <w:t>证明材料，均加盖鲜章。</w:t>
      </w:r>
    </w:p>
    <w:p w14:paraId="07433E33"/>
    <w:p w14:paraId="36E878E7"/>
    <w:p w14:paraId="4D7C3057"/>
    <w:p w14:paraId="35D5242B"/>
    <w:p w14:paraId="4E43BFFA"/>
    <w:p w14:paraId="38C7F236"/>
    <w:p w14:paraId="3068643F"/>
    <w:p w14:paraId="3FE74029"/>
    <w:p w14:paraId="6B331C32"/>
    <w:p w14:paraId="19B0B223"/>
    <w:p w14:paraId="689B52AD"/>
    <w:p w14:paraId="5E864730"/>
    <w:p w14:paraId="2C213573"/>
    <w:p w14:paraId="7C2F417A"/>
    <w:p w14:paraId="16AC6AA1"/>
    <w:p w14:paraId="2F8D467A"/>
    <w:p w14:paraId="79F6F13B"/>
    <w:p w14:paraId="2A26B7EF">
      <w:pPr>
        <w:ind w:left="420"/>
        <w:jc w:val="center"/>
        <w:rPr>
          <w:rFonts w:ascii="宋体" w:hAnsi="宋体" w:eastAsia="宋体" w:cs="宋体"/>
          <w:b/>
          <w:bCs/>
          <w:sz w:val="32"/>
          <w:szCs w:val="32"/>
        </w:rPr>
      </w:pPr>
      <w:r>
        <w:rPr>
          <w:rFonts w:hint="eastAsia" w:ascii="宋体" w:hAnsi="宋体" w:eastAsia="宋体" w:cs="宋体"/>
          <w:b/>
          <w:bCs/>
          <w:sz w:val="32"/>
          <w:szCs w:val="32"/>
          <w:lang w:val="en-US" w:eastAsia="zh-CN"/>
        </w:rPr>
        <w:t>四</w:t>
      </w:r>
      <w:r>
        <w:rPr>
          <w:rFonts w:hint="eastAsia" w:ascii="宋体" w:hAnsi="宋体" w:eastAsia="宋体" w:cs="宋体"/>
          <w:b/>
          <w:bCs/>
          <w:sz w:val="32"/>
          <w:szCs w:val="32"/>
        </w:rPr>
        <w:t>、承诺</w:t>
      </w:r>
    </w:p>
    <w:p w14:paraId="66DA3E28"/>
    <w:p w14:paraId="44AE33F8">
      <w:pPr>
        <w:spacing w:line="360" w:lineRule="auto"/>
        <w:ind w:firstLine="420" w:firstLineChars="200"/>
        <w:rPr>
          <w:rFonts w:ascii="宋体" w:hAnsi="宋体"/>
        </w:rPr>
      </w:pPr>
      <w:r>
        <w:rPr>
          <w:rFonts w:hint="eastAsia" w:ascii="宋体" w:hAnsi="宋体"/>
        </w:rPr>
        <w:t>致：</w:t>
      </w:r>
    </w:p>
    <w:p w14:paraId="1AB7B1A7">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79F8EFBF">
      <w:pPr>
        <w:spacing w:line="360" w:lineRule="auto"/>
        <w:ind w:firstLine="420" w:firstLineChars="200"/>
        <w:rPr>
          <w:rFonts w:ascii="宋体" w:hAnsi="宋体"/>
        </w:rPr>
      </w:pPr>
      <w:r>
        <w:rPr>
          <w:rFonts w:hint="eastAsia" w:ascii="宋体" w:hAnsi="宋体"/>
        </w:rPr>
        <w:t>⑴我公司提供的物资质量、环保、安全符合国家要求；</w:t>
      </w:r>
    </w:p>
    <w:p w14:paraId="0ABFF29F">
      <w:pPr>
        <w:spacing w:line="360" w:lineRule="auto"/>
        <w:ind w:left="420" w:leftChars="200"/>
        <w:rPr>
          <w:rFonts w:ascii="宋体" w:hAnsi="宋体"/>
        </w:rPr>
      </w:pPr>
      <w:r>
        <w:rPr>
          <w:rFonts w:hint="eastAsia" w:ascii="宋体" w:hAnsi="宋体"/>
        </w:rPr>
        <w:t>⑵我公司具有良好的信誉、企业处于正常生产经营状态；</w:t>
      </w:r>
    </w:p>
    <w:p w14:paraId="46E27A12">
      <w:pPr>
        <w:spacing w:line="360" w:lineRule="auto"/>
        <w:ind w:left="420" w:leftChars="200"/>
        <w:rPr>
          <w:rFonts w:ascii="宋体" w:hAnsi="宋体"/>
        </w:rPr>
      </w:pPr>
      <w:r>
        <w:rPr>
          <w:rFonts w:hint="eastAsia" w:ascii="宋体" w:hAnsi="宋体"/>
        </w:rPr>
        <w:t>⑶我公司完全按报价文件严格执行。</w:t>
      </w:r>
    </w:p>
    <w:p w14:paraId="226E9B6A">
      <w:pPr>
        <w:spacing w:line="360" w:lineRule="auto"/>
        <w:ind w:firstLine="420" w:firstLineChars="200"/>
        <w:rPr>
          <w:rFonts w:ascii="宋体" w:hAnsi="宋体"/>
          <w:szCs w:val="22"/>
        </w:rPr>
      </w:pPr>
      <w:r>
        <w:rPr>
          <w:rFonts w:hint="eastAsia" w:ascii="宋体" w:hAnsi="宋体"/>
        </w:rPr>
        <w:t>⑷</w:t>
      </w:r>
      <w:r>
        <w:rPr>
          <w:rFonts w:hint="eastAsia" w:ascii="宋体" w:hAnsi="宋体"/>
          <w:szCs w:val="22"/>
        </w:rPr>
        <w:t>我公司将严格遵守投标的各项法律法规和程序，若有违规行为，愿意承担相应法律责任。</w:t>
      </w:r>
    </w:p>
    <w:p w14:paraId="293833F1">
      <w:pPr>
        <w:spacing w:line="360" w:lineRule="auto"/>
        <w:ind w:firstLine="420" w:firstLineChars="200"/>
        <w:rPr>
          <w:rFonts w:ascii="宋体" w:hAnsi="宋体"/>
          <w:szCs w:val="22"/>
        </w:rPr>
      </w:pPr>
      <w:r>
        <w:rPr>
          <w:rFonts w:hint="eastAsia" w:ascii="宋体" w:hAnsi="宋体"/>
          <w:szCs w:val="22"/>
        </w:rPr>
        <w:t>⑸若中标，我公司将按照合同约定的时间、地点和方式交付物资，确保项目顺利推进。</w:t>
      </w:r>
    </w:p>
    <w:p w14:paraId="3EFC4559">
      <w:pPr>
        <w:spacing w:line="360" w:lineRule="auto"/>
        <w:ind w:firstLine="420" w:firstLineChars="200"/>
        <w:rPr>
          <w:rFonts w:ascii="宋体" w:hAnsi="宋体"/>
        </w:rPr>
      </w:pPr>
      <w:r>
        <w:rPr>
          <w:rFonts w:hint="eastAsia" w:ascii="宋体" w:hAnsi="宋体"/>
          <w:szCs w:val="22"/>
        </w:rPr>
        <w:t xml:space="preserve">⑹我公司保证所提供的所有资料真实、准确、有效，如有虚假，愿意接受相应处罚。 </w:t>
      </w:r>
      <w:r>
        <w:rPr>
          <w:rFonts w:hint="eastAsia" w:ascii="宋体" w:hAnsi="宋体"/>
        </w:rPr>
        <w:t>一旦我方中标，愿意按照招标文件和招标人的规定和要求签订购销合同，并信守合同、保证质量、如期交货。</w:t>
      </w:r>
    </w:p>
    <w:p w14:paraId="6A922448">
      <w:pPr>
        <w:spacing w:line="360" w:lineRule="auto"/>
        <w:ind w:firstLine="420" w:firstLineChars="200"/>
        <w:rPr>
          <w:rFonts w:ascii="宋体" w:hAnsi="宋体"/>
        </w:rPr>
      </w:pPr>
    </w:p>
    <w:p w14:paraId="566D2A60">
      <w:pPr>
        <w:spacing w:line="360" w:lineRule="auto"/>
        <w:ind w:left="420" w:leftChars="200"/>
        <w:rPr>
          <w:rFonts w:ascii="宋体" w:hAnsi="宋体"/>
        </w:rPr>
      </w:pPr>
    </w:p>
    <w:p w14:paraId="5DB4F430">
      <w:pPr>
        <w:spacing w:line="360" w:lineRule="auto"/>
        <w:ind w:firstLine="420" w:firstLineChars="200"/>
        <w:rPr>
          <w:rFonts w:ascii="宋体" w:hAnsi="宋体"/>
        </w:rPr>
      </w:pPr>
      <w:r>
        <w:rPr>
          <w:rFonts w:hint="eastAsia" w:ascii="宋体" w:hAnsi="宋体"/>
        </w:rPr>
        <w:t xml:space="preserve">                                      </w:t>
      </w:r>
      <w:r>
        <w:rPr>
          <w:rFonts w:hint="eastAsia" w:ascii="宋体" w:hAnsi="宋体"/>
          <w:lang w:val="en-US" w:eastAsia="zh-CN"/>
        </w:rPr>
        <w:t>承运单位</w:t>
      </w:r>
      <w:r>
        <w:rPr>
          <w:rFonts w:hint="eastAsia" w:ascii="宋体" w:hAnsi="宋体"/>
        </w:rPr>
        <w:t>名称：</w:t>
      </w:r>
      <w:r>
        <w:rPr>
          <w:rFonts w:hint="eastAsia" w:ascii="宋体" w:hAnsi="宋体"/>
          <w:u w:val="single"/>
        </w:rPr>
        <w:t xml:space="preserve">              </w:t>
      </w:r>
      <w:r>
        <w:rPr>
          <w:rFonts w:hint="eastAsia" w:ascii="宋体" w:hAnsi="宋体"/>
        </w:rPr>
        <w:t>（盖单位章）</w:t>
      </w:r>
    </w:p>
    <w:p w14:paraId="50EDC6EC">
      <w:pPr>
        <w:spacing w:line="360" w:lineRule="auto"/>
        <w:ind w:firstLine="420" w:firstLineChars="200"/>
        <w:rPr>
          <w:rFonts w:ascii="宋体" w:hAnsi="宋体"/>
        </w:rPr>
      </w:pPr>
      <w:r>
        <w:rPr>
          <w:rFonts w:hint="eastAsia" w:ascii="宋体" w:hAnsi="宋体"/>
        </w:rPr>
        <w:t xml:space="preserve">                                     </w:t>
      </w:r>
    </w:p>
    <w:p w14:paraId="12828721">
      <w:pPr>
        <w:spacing w:line="360" w:lineRule="auto"/>
        <w:ind w:firstLine="4200" w:firstLineChars="2000"/>
        <w:rPr>
          <w:rFonts w:hAnsi="宋体" w:cs="宋体"/>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4562342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B0604020202020204"/>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78EE3">
    <w:pPr>
      <w:tabs>
        <w:tab w:val="left" w:pos="645"/>
      </w:tabs>
      <w:snapToGrid w:val="0"/>
      <w:ind w:right="360"/>
      <w:rPr>
        <w:rFonts w:ascii="Calibri" w:hAnsi="Calibri" w:eastAsia="宋体"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0B8DD">
    <w:pPr>
      <w:tabs>
        <w:tab w:val="center" w:pos="4153"/>
        <w:tab w:val="right" w:pos="8306"/>
      </w:tabs>
      <w:snapToGrid w:val="0"/>
      <w:ind w:right="360"/>
      <w:jc w:val="center"/>
      <w:rPr>
        <w:rFonts w:ascii="Calibri" w:hAnsi="Calibri" w:eastAsia="宋体" w:cs="Times New Roman"/>
        <w:sz w:val="18"/>
        <w:szCs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A2CDA">
    <w:pPr>
      <w:autoSpaceDE w:val="0"/>
      <w:autoSpaceDN w:val="0"/>
      <w:adjustRightInd w:val="0"/>
      <w:spacing w:before="100" w:after="100"/>
      <w:rPr>
        <w:rFonts w:ascii="Calibri" w:hAnsi="Calibri" w:eastAsia="宋体" w:cs="Times New Roman"/>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2904DB"/>
    <w:multiLevelType w:val="singleLevel"/>
    <w:tmpl w:val="C22904DB"/>
    <w:lvl w:ilvl="0" w:tentative="0">
      <w:start w:val="1"/>
      <w:numFmt w:val="decimal"/>
      <w:lvlText w:val="(%1)"/>
      <w:lvlJc w:val="left"/>
      <w:pPr>
        <w:ind w:left="425" w:hanging="425"/>
      </w:pPr>
      <w:rPr>
        <w:rFonts w:hint="default"/>
      </w:rPr>
    </w:lvl>
  </w:abstractNum>
  <w:abstractNum w:abstractNumId="1">
    <w:nsid w:val="CCEFC65D"/>
    <w:multiLevelType w:val="singleLevel"/>
    <w:tmpl w:val="CCEFC65D"/>
    <w:lvl w:ilvl="0" w:tentative="0">
      <w:start w:val="1"/>
      <w:numFmt w:val="decimalEnclosedCircleChinese"/>
      <w:suff w:val="nothing"/>
      <w:lvlText w:val="%1　"/>
      <w:lvlJc w:val="left"/>
      <w:pPr>
        <w:ind w:left="0" w:firstLine="400"/>
      </w:pPr>
      <w:rPr>
        <w:rFonts w:hint="eastAsia"/>
      </w:rPr>
    </w:lvl>
  </w:abstractNum>
  <w:abstractNum w:abstractNumId="2">
    <w:nsid w:val="13328CEB"/>
    <w:multiLevelType w:val="singleLevel"/>
    <w:tmpl w:val="13328CEB"/>
    <w:lvl w:ilvl="0" w:tentative="0">
      <w:start w:val="1"/>
      <w:numFmt w:val="decimal"/>
      <w:lvlText w:val="%1."/>
      <w:lvlJc w:val="left"/>
      <w:pPr>
        <w:tabs>
          <w:tab w:val="left" w:pos="312"/>
        </w:tabs>
      </w:pPr>
    </w:lvl>
  </w:abstractNum>
  <w:abstractNum w:abstractNumId="3">
    <w:nsid w:val="1A66AB48"/>
    <w:multiLevelType w:val="singleLevel"/>
    <w:tmpl w:val="1A66AB48"/>
    <w:lvl w:ilvl="0" w:tentative="0">
      <w:start w:val="3"/>
      <w:numFmt w:val="decimal"/>
      <w:suff w:val="nothing"/>
      <w:lvlText w:val="%1、"/>
      <w:lvlJc w:val="left"/>
    </w:lvl>
  </w:abstractNum>
  <w:abstractNum w:abstractNumId="4">
    <w:nsid w:val="45612F23"/>
    <w:multiLevelType w:val="singleLevel"/>
    <w:tmpl w:val="45612F23"/>
    <w:lvl w:ilvl="0" w:tentative="0">
      <w:start w:val="1"/>
      <w:numFmt w:val="chineseCounting"/>
      <w:suff w:val="nothing"/>
      <w:lvlText w:val="%1、"/>
      <w:lvlJc w:val="left"/>
      <w:rPr>
        <w:rFonts w:hint="eastAsia"/>
      </w:rPr>
    </w:lvl>
  </w:abstractNum>
  <w:abstractNum w:abstractNumId="5">
    <w:nsid w:val="4F42B07E"/>
    <w:multiLevelType w:val="singleLevel"/>
    <w:tmpl w:val="4F42B07E"/>
    <w:lvl w:ilvl="0" w:tentative="0">
      <w:start w:val="1"/>
      <w:numFmt w:val="decimal"/>
      <w:lvlText w:val="(%1)"/>
      <w:lvlJc w:val="left"/>
      <w:pPr>
        <w:ind w:left="425" w:hanging="425"/>
      </w:pPr>
      <w:rPr>
        <w:rFonts w:hint="default"/>
        <w:color w:val="auto"/>
      </w:rPr>
    </w:lvl>
  </w:abstractNum>
  <w:abstractNum w:abstractNumId="6">
    <w:nsid w:val="6DF4E4AB"/>
    <w:multiLevelType w:val="singleLevel"/>
    <w:tmpl w:val="6DF4E4AB"/>
    <w:lvl w:ilvl="0" w:tentative="0">
      <w:start w:val="8"/>
      <w:numFmt w:val="decimal"/>
      <w:suff w:val="nothing"/>
      <w:lvlText w:val="%1、"/>
      <w:lvlJc w:val="left"/>
    </w:lvl>
  </w:abstractNum>
  <w:num w:numId="1">
    <w:abstractNumId w:val="4"/>
  </w:num>
  <w:num w:numId="2">
    <w:abstractNumId w:val="0"/>
  </w:num>
  <w:num w:numId="3">
    <w:abstractNumId w:val="3"/>
  </w:num>
  <w:num w:numId="4">
    <w:abstractNumId w:val="6"/>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wM2VlNzQ5NjExNTBhODlhNjBjOGIwNDY3NTY1MWIifQ=="/>
  </w:docVars>
  <w:rsids>
    <w:rsidRoot w:val="00427704"/>
    <w:rsid w:val="00310EB4"/>
    <w:rsid w:val="003F073B"/>
    <w:rsid w:val="00427704"/>
    <w:rsid w:val="006209EC"/>
    <w:rsid w:val="00B84BC3"/>
    <w:rsid w:val="00D8723B"/>
    <w:rsid w:val="00E564EB"/>
    <w:rsid w:val="01E64B62"/>
    <w:rsid w:val="12961C90"/>
    <w:rsid w:val="151314EF"/>
    <w:rsid w:val="15385073"/>
    <w:rsid w:val="1B8F7586"/>
    <w:rsid w:val="1E54273A"/>
    <w:rsid w:val="20255C86"/>
    <w:rsid w:val="25855A93"/>
    <w:rsid w:val="27C01C9C"/>
    <w:rsid w:val="2DA038A7"/>
    <w:rsid w:val="300E75D9"/>
    <w:rsid w:val="35E55B49"/>
    <w:rsid w:val="36816F26"/>
    <w:rsid w:val="3A361B71"/>
    <w:rsid w:val="3F3A7566"/>
    <w:rsid w:val="43066EA0"/>
    <w:rsid w:val="4A07656E"/>
    <w:rsid w:val="568B6FA9"/>
    <w:rsid w:val="58A238DA"/>
    <w:rsid w:val="59D01CEF"/>
    <w:rsid w:val="5AAC0EB0"/>
    <w:rsid w:val="62B73748"/>
    <w:rsid w:val="63A11245"/>
    <w:rsid w:val="653273DF"/>
    <w:rsid w:val="666135E9"/>
    <w:rsid w:val="66AE626B"/>
    <w:rsid w:val="677E25C4"/>
    <w:rsid w:val="68190258"/>
    <w:rsid w:val="6B8F4DC1"/>
    <w:rsid w:val="782B0A80"/>
    <w:rsid w:val="7C720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4">
    <w:name w:val="Subtitle"/>
    <w:basedOn w:val="1"/>
    <w:next w:val="1"/>
    <w:qFormat/>
    <w:uiPriority w:val="0"/>
    <w:pPr>
      <w:wordWrap w:val="0"/>
      <w:spacing w:after="60"/>
      <w:jc w:val="center"/>
    </w:pPr>
    <w:rPr>
      <w:sz w:val="24"/>
      <w:lang w:val="en-US" w:eastAsia="zh-CN" w:bidi="ar-SA"/>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s23"/>
    <w:basedOn w:val="8"/>
    <w:qFormat/>
    <w:uiPriority w:val="0"/>
  </w:style>
  <w:style w:type="character" w:customStyle="1" w:styleId="10">
    <w:name w:val="s22"/>
    <w:basedOn w:val="8"/>
    <w:qFormat/>
    <w:uiPriority w:val="0"/>
  </w:style>
  <w:style w:type="paragraph" w:customStyle="1" w:styleId="11">
    <w:name w:val="Table Text"/>
    <w:basedOn w:val="1"/>
    <w:semiHidden/>
    <w:qFormat/>
    <w:uiPriority w:val="0"/>
    <w:rPr>
      <w:rFonts w:ascii="宋体" w:hAnsi="宋体" w:eastAsia="宋体" w:cs="宋体"/>
      <w:sz w:val="23"/>
      <w:szCs w:val="23"/>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72</Words>
  <Characters>88</Characters>
  <Lines>20</Lines>
  <Paragraphs>5</Paragraphs>
  <TotalTime>11</TotalTime>
  <ScaleCrop>false</ScaleCrop>
  <LinksUpToDate>false</LinksUpToDate>
  <CharactersWithSpaces>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2025-09-17T06:54:00Z</dcterms:created>
  <dc:creator>lijiewai</dc:creator>
  <cp:lastModifiedBy>李斌</cp:lastModifiedBy>
  <dcterms:modified xsi:type="dcterms:W3CDTF">2026-09-10T07:06:43Z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6F9C5CE883F94B0485DE53266BE21F22_13</vt:lpwstr>
  </property>
  <property fmtid="{D5CDD505-2E9C-101B-9397-08002B2CF9AE}" pid="4" name="KSOTemplateDocerSaveRecord">
    <vt:lpwstr>eyJoZGlkIjoiMGU4ZDNlYzg5OWQ1NjU5YjBmMTZjNzllZjgxNDI2ODUiLCJ1c2VySWQiOiI4MzcxNDU3NDYifQ==</vt:lpwstr>
  </property>
</Properties>
</file>