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058E9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</w:rPr>
      </w:pPr>
      <w:bookmarkStart w:id="0" w:name="OLE_LINK12"/>
    </w:p>
    <w:p w14:paraId="6DB98020">
      <w:pPr>
        <w:autoSpaceDE w:val="0"/>
        <w:autoSpaceDN w:val="0"/>
        <w:adjustRightInd w:val="0"/>
        <w:spacing w:before="100" w:after="100"/>
        <w:jc w:val="center"/>
        <w:rPr>
          <w:rFonts w:hint="default" w:ascii="宋体" w:hAnsi="宋体" w:cs="宋体" w:eastAsiaTheme="minorEastAsia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48"/>
        </w:rPr>
        <w:t>宏达股份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磷化工分公司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PE管及PE电熔接头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采购</w:t>
      </w:r>
    </w:p>
    <w:bookmarkEnd w:id="0"/>
    <w:p w14:paraId="1FAE45D5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538E90AF">
      <w:pPr>
        <w:pStyle w:val="5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33D068A5">
      <w:pPr>
        <w:pStyle w:val="11"/>
        <w:rPr>
          <w:rFonts w:asciiTheme="minorEastAsia" w:hAnsiTheme="minorEastAsia"/>
          <w:b/>
          <w:kern w:val="0"/>
          <w:sz w:val="72"/>
          <w:szCs w:val="72"/>
        </w:rPr>
      </w:pPr>
    </w:p>
    <w:p w14:paraId="44917994"/>
    <w:p w14:paraId="7C29320C">
      <w:pPr>
        <w:pStyle w:val="11"/>
      </w:pPr>
    </w:p>
    <w:p w14:paraId="789A982C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>比选文件</w:t>
      </w:r>
    </w:p>
    <w:p w14:paraId="6A3A4420">
      <w:pPr>
        <w:pStyle w:val="5"/>
        <w:ind w:firstLine="643"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4C7901ED">
      <w:pPr>
        <w:pStyle w:val="5"/>
        <w:ind w:firstLine="643"/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编号：SFLHG-GKBX-2026-FW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133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/>
          <w:sz w:val="48"/>
          <w:szCs w:val="48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43784FA0">
      <w:pPr>
        <w:jc w:val="center"/>
        <w:rPr>
          <w:rFonts w:cs="黑体" w:asciiTheme="minorEastAsia" w:hAnsiTheme="minorEastAsia"/>
          <w:lang w:val="zh-CN"/>
        </w:rPr>
      </w:pPr>
    </w:p>
    <w:p w14:paraId="205AB8C1">
      <w:pPr>
        <w:jc w:val="center"/>
        <w:rPr>
          <w:rFonts w:cs="黑体" w:asciiTheme="minorEastAsia" w:hAnsiTheme="minorEastAsia"/>
          <w:lang w:val="zh-CN"/>
        </w:rPr>
      </w:pPr>
    </w:p>
    <w:p w14:paraId="6D5AE92C">
      <w:pPr>
        <w:jc w:val="center"/>
        <w:rPr>
          <w:rFonts w:cs="黑体" w:asciiTheme="minorEastAsia" w:hAnsiTheme="minorEastAsia"/>
          <w:lang w:val="zh-CN"/>
        </w:rPr>
      </w:pPr>
    </w:p>
    <w:p w14:paraId="0AD65B3A">
      <w:pPr>
        <w:jc w:val="center"/>
        <w:rPr>
          <w:rFonts w:cs="黑体" w:asciiTheme="minorEastAsia" w:hAnsiTheme="minorEastAsia"/>
          <w:lang w:val="zh-CN"/>
        </w:rPr>
      </w:pPr>
    </w:p>
    <w:p w14:paraId="40735AE9">
      <w:pPr>
        <w:jc w:val="center"/>
        <w:rPr>
          <w:rFonts w:cs="黑体" w:asciiTheme="minorEastAsia" w:hAnsiTheme="minorEastAsia"/>
          <w:lang w:val="zh-CN"/>
        </w:rPr>
      </w:pPr>
    </w:p>
    <w:p w14:paraId="709DC411">
      <w:pPr>
        <w:spacing w:line="480" w:lineRule="auto"/>
        <w:ind w:right="1050" w:rightChars="500" w:firstLine="2711" w:firstLineChars="900"/>
        <w:jc w:val="both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9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hint="default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宏达股份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磷化工分公司</w:t>
      </w:r>
    </w:p>
    <w:p w14:paraId="3C2905FA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 xml:space="preserve">  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eastAsia="zh-CN"/>
        </w:rPr>
        <w:t>PE管及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PE电熔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eastAsia="zh-CN"/>
        </w:rPr>
        <w:t>接头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比选文件</w:t>
      </w:r>
    </w:p>
    <w:p w14:paraId="4D403B75">
      <w:pPr>
        <w:pStyle w:val="5"/>
        <w:ind w:firstLine="643"/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编号：SFLHG-GKBX-2026-FW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133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bookmarkStart w:id="1" w:name="OLE_LINK2"/>
      <w:bookmarkStart w:id="2" w:name="OLE_LINK1"/>
      <w:bookmarkStart w:id="3" w:name="OLE_LINK5"/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四川宏达股份有限公司需采购一批</w:t>
      </w:r>
      <w:bookmarkEnd w:id="1"/>
      <w:bookmarkEnd w:id="2"/>
      <w:bookmarkEnd w:id="3"/>
      <w:r>
        <w:rPr>
          <w:rFonts w:hint="eastAsia" w:ascii="黑体" w:hAnsi="黑体" w:eastAsia="黑体" w:cs="宋体"/>
          <w:kern w:val="0"/>
          <w:sz w:val="28"/>
          <w:szCs w:val="28"/>
        </w:rPr>
        <w:t>增强聚乙烯PE管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及PE电熔接头</w:t>
      </w:r>
      <w:r>
        <w:rPr>
          <w:rFonts w:hint="eastAsia" w:ascii="黑体" w:hAnsi="黑体" w:eastAsia="黑体" w:cs="宋体"/>
          <w:kern w:val="0"/>
          <w:sz w:val="28"/>
          <w:szCs w:val="28"/>
        </w:rPr>
        <w:t>，本着“公开、公平、公正”的原则，现对该批次增强聚乙烯PE管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及PE电熔接头</w:t>
      </w:r>
      <w:r>
        <w:rPr>
          <w:rFonts w:hint="eastAsia" w:ascii="黑体" w:hAnsi="黑体" w:eastAsia="黑体" w:cs="宋体"/>
          <w:kern w:val="0"/>
          <w:sz w:val="28"/>
          <w:szCs w:val="28"/>
        </w:rPr>
        <w:t>进行公开比选。欢迎贵公司前来报价，现将相关事项公告如下：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标的物：增强聚乙烯PE管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及PE电熔接头一批</w:t>
      </w:r>
    </w:p>
    <w:p w14:paraId="3189E225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3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1.</w:t>
      </w:r>
      <w:r>
        <w:rPr>
          <w:rFonts w:hint="eastAsia" w:ascii="黑体" w:hAnsi="黑体" w:eastAsia="黑体" w:cs="黑体"/>
          <w:sz w:val="28"/>
          <w:szCs w:val="28"/>
        </w:rPr>
        <w:t>标的物要求：</w:t>
      </w:r>
    </w:p>
    <w:p w14:paraId="438CC69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1.1工艺条件</w:t>
      </w:r>
    </w:p>
    <w:tbl>
      <w:tblPr>
        <w:tblStyle w:val="17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8"/>
        <w:gridCol w:w="4068"/>
        <w:gridCol w:w="840"/>
        <w:gridCol w:w="1476"/>
      </w:tblGrid>
      <w:tr w14:paraId="6C229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noWrap/>
          </w:tcPr>
          <w:p w14:paraId="631E4B05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bookmarkStart w:id="4" w:name="_Hlk208324771"/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448" w:type="dxa"/>
            <w:noWrap/>
          </w:tcPr>
          <w:p w14:paraId="505621DD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材料名称</w:t>
            </w:r>
          </w:p>
        </w:tc>
        <w:tc>
          <w:tcPr>
            <w:tcW w:w="4068" w:type="dxa"/>
          </w:tcPr>
          <w:p w14:paraId="0CA8AC4C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规格型号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及标准</w:t>
            </w:r>
          </w:p>
        </w:tc>
        <w:tc>
          <w:tcPr>
            <w:tcW w:w="840" w:type="dxa"/>
          </w:tcPr>
          <w:p w14:paraId="775B9AAD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476" w:type="dxa"/>
          </w:tcPr>
          <w:p w14:paraId="6A44954C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z w:val="28"/>
                <w:szCs w:val="28"/>
              </w:rPr>
              <w:t>数量</w:t>
            </w:r>
          </w:p>
        </w:tc>
      </w:tr>
      <w:tr w14:paraId="0C074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7827D238">
            <w:pPr>
              <w:pStyle w:val="38"/>
              <w:spacing w:before="83" w:line="251" w:lineRule="exact"/>
              <w:ind w:left="192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position w:val="1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top"/>
          </w:tcPr>
          <w:p w14:paraId="778BF026">
            <w:pPr>
              <w:pStyle w:val="38"/>
              <w:spacing w:before="83" w:line="228" w:lineRule="auto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增强聚乙烯</w:t>
            </w: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  <w:t>PE管</w:t>
            </w:r>
          </w:p>
        </w:tc>
        <w:tc>
          <w:tcPr>
            <w:tcW w:w="4068" w:type="dxa"/>
            <w:shd w:val="clear" w:color="auto" w:fill="auto"/>
            <w:vAlign w:val="top"/>
          </w:tcPr>
          <w:p w14:paraId="1B964F2F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φ160 1.0MPa，直管，单根≥9m，标准GB/T13663.2-2018,原料等级PE100</w:t>
            </w:r>
          </w:p>
        </w:tc>
        <w:tc>
          <w:tcPr>
            <w:tcW w:w="840" w:type="dxa"/>
            <w:shd w:val="clear" w:color="auto" w:fill="auto"/>
            <w:vAlign w:val="top"/>
          </w:tcPr>
          <w:p w14:paraId="4C6AB10D">
            <w:pPr>
              <w:pStyle w:val="38"/>
              <w:spacing w:before="83" w:line="228" w:lineRule="auto"/>
              <w:jc w:val="center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米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1193AEC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650</w:t>
            </w:r>
          </w:p>
        </w:tc>
      </w:tr>
      <w:tr w14:paraId="3CD9C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7EC385BA">
            <w:pPr>
              <w:pStyle w:val="38"/>
              <w:spacing w:before="75" w:line="241" w:lineRule="auto"/>
              <w:ind w:left="179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t>2</w:t>
            </w:r>
          </w:p>
        </w:tc>
        <w:tc>
          <w:tcPr>
            <w:tcW w:w="2448" w:type="dxa"/>
            <w:shd w:val="clear" w:color="auto" w:fill="auto"/>
            <w:noWrap/>
            <w:vAlign w:val="top"/>
          </w:tcPr>
          <w:p w14:paraId="3F721C3E">
            <w:pPr>
              <w:pStyle w:val="38"/>
              <w:spacing w:before="83" w:line="228" w:lineRule="auto"/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  <w:t>PE电熔直接头</w:t>
            </w:r>
          </w:p>
        </w:tc>
        <w:tc>
          <w:tcPr>
            <w:tcW w:w="4068" w:type="dxa"/>
            <w:vMerge w:val="restart"/>
            <w:shd w:val="clear" w:color="auto" w:fill="auto"/>
            <w:vAlign w:val="top"/>
          </w:tcPr>
          <w:p w14:paraId="3B3D2FE4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  <w:p w14:paraId="21D28039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φ160 1.0MPa，标准GB/T13663.3-2018,原料等级PE100</w:t>
            </w:r>
          </w:p>
        </w:tc>
        <w:tc>
          <w:tcPr>
            <w:tcW w:w="840" w:type="dxa"/>
            <w:shd w:val="clear" w:color="auto" w:fill="auto"/>
            <w:vAlign w:val="top"/>
          </w:tcPr>
          <w:p w14:paraId="107C3288">
            <w:pPr>
              <w:pStyle w:val="38"/>
              <w:spacing w:before="83" w:line="228" w:lineRule="auto"/>
              <w:jc w:val="center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81B571F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75</w:t>
            </w:r>
          </w:p>
        </w:tc>
      </w:tr>
      <w:tr w14:paraId="74293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4D130ED5">
            <w:pPr>
              <w:pStyle w:val="38"/>
              <w:spacing w:before="76" w:line="241" w:lineRule="auto"/>
              <w:ind w:left="181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t>3</w:t>
            </w:r>
          </w:p>
        </w:tc>
        <w:tc>
          <w:tcPr>
            <w:tcW w:w="2448" w:type="dxa"/>
            <w:shd w:val="clear" w:color="auto" w:fill="auto"/>
            <w:noWrap/>
            <w:vAlign w:val="top"/>
          </w:tcPr>
          <w:p w14:paraId="53ECB776">
            <w:pPr>
              <w:pStyle w:val="38"/>
              <w:spacing w:before="83" w:line="228" w:lineRule="auto"/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  <w:t>PE电熔90°弯头</w:t>
            </w:r>
          </w:p>
        </w:tc>
        <w:tc>
          <w:tcPr>
            <w:tcW w:w="4068" w:type="dxa"/>
            <w:vMerge w:val="continue"/>
            <w:shd w:val="clear" w:color="auto" w:fill="auto"/>
            <w:vAlign w:val="top"/>
          </w:tcPr>
          <w:p w14:paraId="3B65CCEF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40" w:type="dxa"/>
            <w:shd w:val="clear" w:color="auto" w:fill="auto"/>
            <w:vAlign w:val="top"/>
          </w:tcPr>
          <w:p w14:paraId="3C77BBEA">
            <w:pPr>
              <w:pStyle w:val="38"/>
              <w:spacing w:before="83" w:line="228" w:lineRule="auto"/>
              <w:jc w:val="center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1933A1B3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15</w:t>
            </w:r>
          </w:p>
        </w:tc>
      </w:tr>
      <w:tr w14:paraId="1EF59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10A3ED7F">
            <w:pPr>
              <w:pStyle w:val="38"/>
              <w:spacing w:before="76" w:line="241" w:lineRule="auto"/>
              <w:ind w:left="176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t>4</w:t>
            </w:r>
          </w:p>
        </w:tc>
        <w:tc>
          <w:tcPr>
            <w:tcW w:w="2448" w:type="dxa"/>
            <w:shd w:val="clear" w:color="auto" w:fill="auto"/>
            <w:noWrap/>
            <w:vAlign w:val="top"/>
          </w:tcPr>
          <w:p w14:paraId="401C086B">
            <w:pPr>
              <w:pStyle w:val="38"/>
              <w:spacing w:before="83" w:line="228" w:lineRule="auto"/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  <w:t>PE电熔135°弯头</w:t>
            </w:r>
          </w:p>
        </w:tc>
        <w:tc>
          <w:tcPr>
            <w:tcW w:w="4068" w:type="dxa"/>
            <w:vMerge w:val="continue"/>
            <w:shd w:val="clear" w:color="auto" w:fill="auto"/>
            <w:vAlign w:val="top"/>
          </w:tcPr>
          <w:p w14:paraId="735DB72F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40" w:type="dxa"/>
            <w:shd w:val="clear" w:color="auto" w:fill="auto"/>
            <w:vAlign w:val="top"/>
          </w:tcPr>
          <w:p w14:paraId="6FB650BB">
            <w:pPr>
              <w:pStyle w:val="38"/>
              <w:spacing w:before="83" w:line="228" w:lineRule="auto"/>
              <w:jc w:val="center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463DD75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2</w:t>
            </w:r>
          </w:p>
        </w:tc>
      </w:tr>
      <w:tr w14:paraId="7575A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71AC796D">
            <w:pPr>
              <w:pStyle w:val="38"/>
              <w:spacing w:before="78" w:line="239" w:lineRule="auto"/>
              <w:ind w:left="181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t>5</w:t>
            </w:r>
          </w:p>
        </w:tc>
        <w:tc>
          <w:tcPr>
            <w:tcW w:w="2448" w:type="dxa"/>
            <w:shd w:val="clear" w:color="auto" w:fill="auto"/>
            <w:noWrap/>
            <w:vAlign w:val="top"/>
          </w:tcPr>
          <w:p w14:paraId="242EAA56">
            <w:pPr>
              <w:pStyle w:val="38"/>
              <w:spacing w:before="83" w:line="228" w:lineRule="auto"/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  <w:t>PE电熔法兰</w:t>
            </w:r>
          </w:p>
        </w:tc>
        <w:tc>
          <w:tcPr>
            <w:tcW w:w="4068" w:type="dxa"/>
            <w:vMerge w:val="continue"/>
            <w:shd w:val="clear" w:color="auto" w:fill="auto"/>
            <w:vAlign w:val="top"/>
          </w:tcPr>
          <w:p w14:paraId="4946763E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40" w:type="dxa"/>
            <w:shd w:val="clear" w:color="auto" w:fill="auto"/>
            <w:vAlign w:val="top"/>
          </w:tcPr>
          <w:p w14:paraId="5B19C767">
            <w:pPr>
              <w:pStyle w:val="38"/>
              <w:spacing w:before="83" w:line="228" w:lineRule="auto"/>
              <w:jc w:val="center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08C930B7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4</w:t>
            </w:r>
          </w:p>
        </w:tc>
      </w:tr>
      <w:bookmarkEnd w:id="4"/>
    </w:tbl>
    <w:p w14:paraId="1B0A084D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13394D2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1.2技术要求：</w:t>
      </w:r>
      <w:bookmarkStart w:id="5" w:name="OLE_LINK14"/>
      <w:bookmarkStart w:id="6" w:name="OLE_LINK13"/>
      <w:r>
        <w:rPr>
          <w:rFonts w:hint="eastAsia" w:ascii="黑体" w:hAnsi="黑体" w:eastAsia="黑体" w:cs="黑体"/>
          <w:sz w:val="28"/>
          <w:szCs w:val="28"/>
        </w:rPr>
        <w:t>符合国家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行业</w:t>
      </w:r>
      <w:r>
        <w:rPr>
          <w:rFonts w:hint="eastAsia" w:ascii="黑体" w:hAnsi="黑体" w:eastAsia="黑体" w:cs="黑体"/>
          <w:sz w:val="28"/>
          <w:szCs w:val="28"/>
        </w:rPr>
        <w:t>标准</w:t>
      </w:r>
      <w:bookmarkEnd w:id="5"/>
      <w:bookmarkEnd w:id="6"/>
      <w:r>
        <w:rPr>
          <w:rFonts w:hint="eastAsia" w:ascii="黑体" w:hAnsi="黑体" w:eastAsia="黑体" w:cs="黑体"/>
          <w:sz w:val="28"/>
          <w:szCs w:val="28"/>
        </w:rPr>
        <w:t>且满足买方使用要求。</w:t>
      </w:r>
    </w:p>
    <w:p w14:paraId="00932954">
      <w:pPr>
        <w:numPr>
          <w:ilvl w:val="0"/>
          <w:numId w:val="2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交货地点：四川宏达股份有限公司什邡磷化工分公司（什邡市洛水镇）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。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3.交货期：</w:t>
      </w:r>
      <w:r>
        <w:rPr>
          <w:rFonts w:hint="eastAsia" w:ascii="黑体" w:hAnsi="黑体" w:eastAsia="黑体" w:cs="Times New Roman"/>
          <w:sz w:val="28"/>
          <w:szCs w:val="28"/>
        </w:rPr>
        <w:t>合同生效之日起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15</w:t>
      </w:r>
      <w:r>
        <w:rPr>
          <w:rFonts w:hint="eastAsia" w:ascii="黑体" w:hAnsi="黑体" w:eastAsia="黑体" w:cs="Times New Roman"/>
          <w:sz w:val="28"/>
          <w:szCs w:val="28"/>
        </w:rPr>
        <w:t>个自然日内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4.付款方式及发票：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付款方式：先货后款。</w:t>
      </w:r>
    </w:p>
    <w:p w14:paraId="24A08032">
      <w:pPr>
        <w:spacing w:line="42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一票制，供应商开具全额增值税专用发票，税率1</w:t>
      </w:r>
      <w:r>
        <w:rPr>
          <w:rFonts w:ascii="黑体" w:hAnsi="黑体" w:eastAsia="黑体" w:cs="宋体"/>
          <w:kern w:val="0"/>
          <w:sz w:val="28"/>
          <w:szCs w:val="28"/>
        </w:rPr>
        <w:t>3%</w:t>
      </w:r>
      <w:r>
        <w:rPr>
          <w:rFonts w:hint="eastAsia" w:ascii="黑体" w:hAnsi="黑体" w:eastAsia="黑体" w:cs="宋体"/>
          <w:kern w:val="0"/>
          <w:sz w:val="28"/>
          <w:szCs w:val="28"/>
        </w:rPr>
        <w:t>。</w:t>
      </w:r>
    </w:p>
    <w:p w14:paraId="6F201807">
      <w:pPr>
        <w:numPr>
          <w:ilvl w:val="0"/>
          <w:numId w:val="3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比选文件的获取</w:t>
      </w:r>
    </w:p>
    <w:p w14:paraId="2AE6E591">
      <w:p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获取方式为：自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>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 w:cs="黑体"/>
          <w:sz w:val="28"/>
          <w:szCs w:val="28"/>
        </w:rPr>
        <w:t>日00 时 00 分至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 xml:space="preserve">年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 xml:space="preserve">月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16 </w:t>
      </w:r>
      <w:r>
        <w:rPr>
          <w:rFonts w:hint="eastAsia" w:ascii="黑体" w:hAnsi="黑体" w:eastAsia="黑体" w:cs="黑体"/>
          <w:sz w:val="28"/>
          <w:szCs w:val="28"/>
        </w:rPr>
        <w:t xml:space="preserve">日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23</w:t>
      </w:r>
      <w:r>
        <w:rPr>
          <w:rFonts w:hint="eastAsia" w:ascii="黑体" w:hAnsi="黑体" w:eastAsia="黑体" w:cs="黑体"/>
          <w:sz w:val="28"/>
          <w:szCs w:val="28"/>
        </w:rPr>
        <w:t xml:space="preserve">时 0分通过四川宏达股份有限公司集采中心招投标平台(以下简称“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3"/>
        </w:num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响应性文件的递交</w:t>
      </w:r>
    </w:p>
    <w:p w14:paraId="03D00619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递交截止时间：202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仿宋_GB2312"/>
          <w:sz w:val="28"/>
          <w:szCs w:val="28"/>
        </w:rPr>
        <w:t xml:space="preserve">年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仿宋_GB2312"/>
          <w:sz w:val="28"/>
          <w:szCs w:val="28"/>
        </w:rPr>
        <w:t xml:space="preserve">月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 xml:space="preserve">17 </w:t>
      </w:r>
      <w:r>
        <w:rPr>
          <w:rFonts w:hint="eastAsia" w:ascii="黑体" w:hAnsi="黑体" w:eastAsia="黑体" w:cs="仿宋_GB2312"/>
          <w:sz w:val="28"/>
          <w:szCs w:val="28"/>
        </w:rPr>
        <w:t>日 1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0</w:t>
      </w:r>
      <w:r>
        <w:rPr>
          <w:rFonts w:hint="eastAsia" w:ascii="黑体" w:hAnsi="黑体" w:eastAsia="黑体" w:cs="仿宋_GB2312"/>
          <w:sz w:val="28"/>
          <w:szCs w:val="28"/>
        </w:rPr>
        <w:t xml:space="preserve"> 时 0分。</w:t>
      </w:r>
    </w:p>
    <w:p w14:paraId="0E7C9B66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比选申请人按本比选文件第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kern w:val="0"/>
          <w:sz w:val="28"/>
          <w:szCs w:val="28"/>
        </w:rPr>
        <w:t>章响应性文件格式制作报价文件，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BDA6A4D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8.响应性文件的要求</w:t>
      </w:r>
    </w:p>
    <w:p w14:paraId="5C2DC8B1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① 比选申请人需提供</w:t>
      </w:r>
      <w:bookmarkStart w:id="7" w:name="OLE_LINK4"/>
      <w:bookmarkStart w:id="8" w:name="OLE_LINK3"/>
      <w:r>
        <w:rPr>
          <w:rFonts w:hint="eastAsia" w:ascii="黑体" w:hAnsi="黑体" w:eastAsia="黑体" w:cs="仿宋_GB2312"/>
          <w:sz w:val="28"/>
          <w:szCs w:val="28"/>
        </w:rPr>
        <w:t>营业执照</w:t>
      </w:r>
      <w:bookmarkEnd w:id="7"/>
      <w:bookmarkEnd w:id="8"/>
      <w:r>
        <w:rPr>
          <w:rFonts w:hint="eastAsia" w:ascii="黑体" w:hAnsi="黑体" w:eastAsia="黑体" w:cs="仿宋_GB2312"/>
          <w:sz w:val="28"/>
          <w:szCs w:val="28"/>
        </w:rPr>
        <w:t>。</w:t>
      </w:r>
    </w:p>
    <w:p w14:paraId="54DDC833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9.</w:t>
      </w:r>
      <w:r>
        <w:rPr>
          <w:rFonts w:hint="eastAsia" w:ascii="黑体" w:hAnsi="黑体" w:eastAsia="黑体" w:cs="Times New Roman"/>
          <w:sz w:val="28"/>
          <w:szCs w:val="28"/>
        </w:rPr>
        <w:t>本项目采用合理最低价法进行比选。由比选人根据投标人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资质及报价总金额</w:t>
      </w:r>
      <w:r>
        <w:rPr>
          <w:rFonts w:hint="eastAsia" w:ascii="黑体" w:hAnsi="黑体" w:eastAsia="黑体" w:cs="Times New Roman"/>
          <w:sz w:val="28"/>
          <w:szCs w:val="28"/>
        </w:rPr>
        <w:t>进行综合评审后确定中选人。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开标时</w:t>
      </w:r>
      <w:r>
        <w:rPr>
          <w:rFonts w:hint="eastAsia" w:ascii="黑体" w:hAnsi="黑体" w:eastAsia="黑体" w:cs="Times New Roman"/>
          <w:sz w:val="28"/>
          <w:szCs w:val="28"/>
        </w:rPr>
        <w:t>不在进行二次议价。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10.验收方式：</w:t>
      </w:r>
    </w:p>
    <w:p w14:paraId="799BB05B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比选人按比选文件或合同约定对标的物外观质量、规格型号、数量等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11.交送报价文件前，供应商方可自愿前来我公司进行实地考查、技术交流或咨询。</w:t>
      </w:r>
    </w:p>
    <w:p w14:paraId="440F1485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联系人：曾伟13890211318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         </w:t>
      </w:r>
    </w:p>
    <w:p w14:paraId="0BEE090F">
      <w:pPr>
        <w:pStyle w:val="5"/>
        <w:ind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bookmarkStart w:id="9" w:name="_GoBack"/>
      <w:bookmarkEnd w:id="9"/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EE89FF4">
      <w:pPr>
        <w:widowControl/>
        <w:jc w:val="left"/>
        <w:rPr>
          <w:rFonts w:ascii="宋体" w:hAnsi="宋体" w:cs="仿宋"/>
          <w:szCs w:val="21"/>
        </w:rPr>
      </w:pPr>
    </w:p>
    <w:p w14:paraId="0746F890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48BA5D04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308F3ED7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026A9686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43EB5449">
      <w:pPr>
        <w:ind w:firstLine="640" w:firstLineChars="200"/>
        <w:jc w:val="center"/>
        <w:rPr>
          <w:rFonts w:hint="eastAsia" w:ascii="黑体" w:hAnsi="宋体" w:eastAsia="黑体"/>
          <w:sz w:val="32"/>
          <w:szCs w:val="32"/>
        </w:rPr>
      </w:pPr>
    </w:p>
    <w:p w14:paraId="16DFE2E5">
      <w:pPr>
        <w:ind w:firstLine="3840" w:firstLineChars="1200"/>
        <w:jc w:val="both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 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宋体" w:eastAsia="黑体"/>
          <w:sz w:val="32"/>
          <w:szCs w:val="32"/>
        </w:rPr>
        <w:t>第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二</w:t>
      </w:r>
      <w:r>
        <w:rPr>
          <w:rFonts w:hint="eastAsia" w:ascii="黑体" w:hAnsi="宋体" w:eastAsia="黑体"/>
          <w:sz w:val="32"/>
          <w:szCs w:val="32"/>
        </w:rPr>
        <w:t xml:space="preserve">章 </w:t>
      </w:r>
    </w:p>
    <w:p w14:paraId="711C438E">
      <w:pPr>
        <w:ind w:firstLine="640" w:firstLineChars="200"/>
        <w:jc w:val="center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left"/>
        <w:textAlignment w:val="bottom"/>
        <w:rPr>
          <w:rFonts w:ascii="黑体" w:hAnsi="黑体" w:eastAsia="黑体" w:cs="宋体"/>
          <w:sz w:val="44"/>
          <w:szCs w:val="44"/>
          <w:u w:val="single"/>
        </w:rPr>
      </w:pPr>
    </w:p>
    <w:p w14:paraId="7CCB02D5">
      <w:pPr>
        <w:jc w:val="center"/>
        <w:rPr>
          <w:rFonts w:ascii="黑体" w:hAnsi="黑体" w:eastAsia="黑体" w:cs="宋体"/>
          <w:sz w:val="40"/>
          <w:szCs w:val="40"/>
        </w:rPr>
      </w:pPr>
      <w:r>
        <w:rPr>
          <w:rFonts w:hint="eastAsia" w:ascii="黑体" w:hAnsi="黑体" w:eastAsia="黑体" w:cs="宋体"/>
          <w:sz w:val="40"/>
          <w:szCs w:val="40"/>
        </w:rPr>
        <w:t xml:space="preserve"> </w:t>
      </w:r>
      <w:r>
        <w:rPr>
          <w:rFonts w:hint="eastAsia" w:ascii="黑体" w:hAnsi="黑体" w:eastAsia="黑体" w:cs="宋体"/>
          <w:sz w:val="40"/>
          <w:szCs w:val="40"/>
          <w:lang w:eastAsia="zh-CN"/>
        </w:rPr>
        <w:t>PE管及</w:t>
      </w:r>
      <w:r>
        <w:rPr>
          <w:rFonts w:hint="eastAsia" w:ascii="黑体" w:hAnsi="黑体" w:eastAsia="黑体" w:cs="宋体"/>
          <w:sz w:val="40"/>
          <w:szCs w:val="40"/>
          <w:lang w:val="en-US" w:eastAsia="zh-CN"/>
        </w:rPr>
        <w:t>PE电熔</w:t>
      </w:r>
      <w:r>
        <w:rPr>
          <w:rFonts w:hint="eastAsia" w:ascii="黑体" w:hAnsi="黑体" w:eastAsia="黑体" w:cs="宋体"/>
          <w:sz w:val="40"/>
          <w:szCs w:val="40"/>
          <w:lang w:eastAsia="zh-CN"/>
        </w:rPr>
        <w:t>接头</w:t>
      </w:r>
      <w:r>
        <w:rPr>
          <w:rFonts w:hint="eastAsia" w:ascii="黑体" w:hAnsi="黑体" w:eastAsia="黑体" w:cs="宋体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</w:p>
    <w:p w14:paraId="038AF0B6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65B7478D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20F6E255">
      <w:pPr>
        <w:jc w:val="center"/>
        <w:rPr>
          <w:rFonts w:ascii="楷体_GB2312" w:eastAsia="楷体_GB2312"/>
          <w:sz w:val="72"/>
          <w:szCs w:val="72"/>
        </w:rPr>
      </w:pPr>
      <w:r>
        <w:rPr>
          <w:rFonts w:hint="eastAsia" w:ascii="楷体_GB2312" w:eastAsia="楷体_GB2312"/>
          <w:sz w:val="72"/>
          <w:szCs w:val="72"/>
        </w:rPr>
        <w:t>响应性文件</w:t>
      </w:r>
    </w:p>
    <w:p w14:paraId="63281EB3">
      <w:pPr>
        <w:ind w:firstLine="720" w:firstLineChars="200"/>
        <w:jc w:val="center"/>
        <w:rPr>
          <w:rFonts w:ascii="黑体" w:hAnsi="宋体" w:eastAsia="黑体"/>
          <w:sz w:val="36"/>
          <w:szCs w:val="36"/>
        </w:rPr>
      </w:pPr>
    </w:p>
    <w:p w14:paraId="53C30D38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6EE9AD25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1BA4ADEE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1B578B9A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C8BC3D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513F1F8D">
      <w:pPr>
        <w:spacing w:line="440" w:lineRule="exact"/>
        <w:ind w:firstLine="1440" w:firstLineChars="400"/>
        <w:jc w:val="left"/>
        <w:rPr>
          <w:rFonts w:ascii="楷体_GB2312" w:hAnsi="宋体" w:eastAsia="楷体_GB2312"/>
          <w:sz w:val="36"/>
          <w:szCs w:val="36"/>
        </w:rPr>
      </w:pPr>
      <w:r>
        <w:rPr>
          <w:rFonts w:hint="eastAsia" w:ascii="楷体_GB2312" w:hAnsi="宋体" w:eastAsia="楷体_GB2312"/>
          <w:sz w:val="36"/>
          <w:szCs w:val="36"/>
        </w:rPr>
        <w:t>供应商名称：</w:t>
      </w:r>
      <w:r>
        <w:rPr>
          <w:rFonts w:hint="eastAsia" w:ascii="楷体_GB2312" w:hAnsi="宋体" w:eastAsia="楷体_GB2312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sz w:val="36"/>
          <w:szCs w:val="36"/>
        </w:rPr>
        <w:t>（盖单位章）</w:t>
      </w:r>
    </w:p>
    <w:p w14:paraId="4C40C091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0091A756">
      <w:pPr>
        <w:ind w:firstLine="1285" w:firstLineChars="400"/>
        <w:rPr>
          <w:rFonts w:ascii="新宋体" w:hAnsi="新宋体" w:eastAsia="楷体_GB2312" w:cs="新宋体"/>
          <w:b/>
          <w:sz w:val="32"/>
          <w:u w:val="single"/>
        </w:rPr>
      </w:pPr>
    </w:p>
    <w:p w14:paraId="25B4D47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7FF0CDEC">
      <w:pPr>
        <w:spacing w:line="560" w:lineRule="exact"/>
        <w:ind w:firstLine="562" w:firstLineChars="200"/>
        <w:rPr>
          <w:rFonts w:asciiTheme="minorEastAsia" w:hAnsiTheme="minorEastAsia"/>
          <w:szCs w:val="21"/>
        </w:rPr>
      </w:pPr>
      <w:r>
        <w:rPr>
          <w:rFonts w:hint="eastAsia" w:ascii="宋体" w:hAnsi="宋体" w:cs="宋体"/>
          <w:b/>
          <w:bCs/>
          <w:sz w:val="28"/>
          <w:szCs w:val="28"/>
        </w:rPr>
        <w:br w:type="page"/>
      </w:r>
    </w:p>
    <w:p w14:paraId="01C32111">
      <w:pPr>
        <w:spacing w:line="360" w:lineRule="auto"/>
        <w:ind w:firstLine="480" w:firstLineChars="200"/>
        <w:rPr>
          <w:rFonts w:ascii="宋体" w:hAnsi="宋体"/>
          <w:sz w:val="24"/>
        </w:rPr>
      </w:pPr>
    </w:p>
    <w:p w14:paraId="614616D9">
      <w:pPr>
        <w:numPr>
          <w:ilvl w:val="0"/>
          <w:numId w:val="4"/>
        </w:numPr>
        <w:jc w:val="left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营业执照</w:t>
      </w:r>
    </w:p>
    <w:p w14:paraId="69D21AFB">
      <w:pPr>
        <w:numPr>
          <w:ilvl w:val="0"/>
          <w:numId w:val="0"/>
        </w:numPr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营业执照复印件盖章。</w:t>
      </w:r>
    </w:p>
    <w:p w14:paraId="76EF6F4A">
      <w:pPr>
        <w:pStyle w:val="51"/>
        <w:spacing w:line="240" w:lineRule="auto"/>
        <w:jc w:val="both"/>
        <w:rPr>
          <w:rFonts w:hint="eastAsia" w:ascii="宋体" w:hAnsi="宋体" w:eastAsia="宋体"/>
          <w:b/>
        </w:rPr>
      </w:pPr>
    </w:p>
    <w:p w14:paraId="06323E7F">
      <w:pPr>
        <w:pStyle w:val="51"/>
        <w:spacing w:line="360" w:lineRule="auto"/>
        <w:ind w:firstLine="482" w:firstLineChars="200"/>
        <w:jc w:val="both"/>
        <w:rPr>
          <w:rFonts w:hint="eastAsia" w:ascii="宋体" w:hAnsi="宋体" w:eastAsia="宋体"/>
          <w:b/>
        </w:rPr>
      </w:pPr>
    </w:p>
    <w:p w14:paraId="17AA3279">
      <w:pPr>
        <w:pStyle w:val="51"/>
        <w:spacing w:line="360" w:lineRule="auto"/>
        <w:ind w:firstLine="482" w:firstLineChars="200"/>
        <w:jc w:val="both"/>
        <w:rPr>
          <w:rFonts w:hint="eastAsia" w:ascii="宋体" w:hAnsi="宋体" w:eastAsia="宋体"/>
          <w:b/>
        </w:rPr>
      </w:pPr>
    </w:p>
    <w:p w14:paraId="063CD285">
      <w:pPr>
        <w:pStyle w:val="51"/>
        <w:spacing w:line="360" w:lineRule="auto"/>
        <w:ind w:firstLine="482" w:firstLineChars="200"/>
        <w:jc w:val="both"/>
        <w:rPr>
          <w:rFonts w:hint="eastAsia" w:ascii="宋体" w:hAnsi="宋体" w:eastAsia="宋体"/>
          <w:b/>
        </w:rPr>
      </w:pPr>
    </w:p>
    <w:p w14:paraId="6E4C7CA7">
      <w:pPr>
        <w:pStyle w:val="51"/>
        <w:spacing w:line="360" w:lineRule="auto"/>
        <w:ind w:firstLine="482" w:firstLineChars="200"/>
        <w:jc w:val="both"/>
        <w:rPr>
          <w:rFonts w:hint="eastAsia" w:ascii="宋体" w:hAnsi="宋体" w:eastAsia="宋体"/>
          <w:b/>
        </w:rPr>
      </w:pPr>
    </w:p>
    <w:p w14:paraId="4D4FB581">
      <w:pPr>
        <w:pStyle w:val="51"/>
        <w:spacing w:line="360" w:lineRule="auto"/>
        <w:ind w:firstLine="482" w:firstLineChars="200"/>
        <w:jc w:val="both"/>
        <w:rPr>
          <w:rFonts w:hint="eastAsia" w:ascii="宋体" w:hAnsi="宋体" w:eastAsia="宋体"/>
          <w:b/>
        </w:rPr>
      </w:pPr>
    </w:p>
    <w:p w14:paraId="1A562196">
      <w:pPr>
        <w:pStyle w:val="51"/>
        <w:spacing w:line="360" w:lineRule="auto"/>
        <w:jc w:val="both"/>
        <w:rPr>
          <w:rFonts w:ascii="宋体" w:hAnsi="宋体" w:cs="宋体"/>
          <w:sz w:val="24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79E6E945">
      <w:pPr>
        <w:pStyle w:val="51"/>
        <w:numPr>
          <w:ilvl w:val="0"/>
          <w:numId w:val="1"/>
        </w:numPr>
        <w:spacing w:line="360" w:lineRule="auto"/>
        <w:ind w:left="0" w:leftChars="0" w:firstLine="0" w:firstLineChars="0"/>
        <w:jc w:val="center"/>
        <w:rPr>
          <w:rFonts w:hint="eastAsia" w:ascii="宋体" w:hAnsi="宋体" w:eastAsia="宋体"/>
          <w:b/>
        </w:rPr>
      </w:pPr>
      <w:r>
        <w:rPr>
          <w:rFonts w:hint="eastAsia" w:ascii="宋体" w:hAnsi="宋体" w:eastAsia="宋体"/>
          <w:b/>
        </w:rPr>
        <w:t>报价表</w:t>
      </w:r>
    </w:p>
    <w:tbl>
      <w:tblPr>
        <w:tblStyle w:val="17"/>
        <w:tblW w:w="135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893"/>
        <w:gridCol w:w="3612"/>
        <w:gridCol w:w="840"/>
        <w:gridCol w:w="996"/>
        <w:gridCol w:w="1572"/>
        <w:gridCol w:w="1980"/>
        <w:gridCol w:w="1872"/>
      </w:tblGrid>
      <w:tr w14:paraId="2F2C1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noWrap/>
          </w:tcPr>
          <w:p w14:paraId="0124C4BE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  <w:p w14:paraId="68FBEBDA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893" w:type="dxa"/>
            <w:noWrap/>
          </w:tcPr>
          <w:p w14:paraId="6A049220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材料名称</w:t>
            </w:r>
          </w:p>
        </w:tc>
        <w:tc>
          <w:tcPr>
            <w:tcW w:w="3612" w:type="dxa"/>
          </w:tcPr>
          <w:p w14:paraId="11B44662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规格型号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及标准</w:t>
            </w:r>
          </w:p>
        </w:tc>
        <w:tc>
          <w:tcPr>
            <w:tcW w:w="840" w:type="dxa"/>
          </w:tcPr>
          <w:p w14:paraId="264DFCC9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996" w:type="dxa"/>
          </w:tcPr>
          <w:p w14:paraId="059F3F09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sz w:val="21"/>
                <w:szCs w:val="21"/>
              </w:rPr>
              <w:t>数量</w:t>
            </w:r>
          </w:p>
        </w:tc>
        <w:tc>
          <w:tcPr>
            <w:tcW w:w="1572" w:type="dxa"/>
          </w:tcPr>
          <w:p w14:paraId="27DB69DD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到厂含税单价（元）</w:t>
            </w:r>
          </w:p>
        </w:tc>
        <w:tc>
          <w:tcPr>
            <w:tcW w:w="1980" w:type="dxa"/>
          </w:tcPr>
          <w:p w14:paraId="08706415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到厂含税金额 (元）</w:t>
            </w:r>
          </w:p>
        </w:tc>
        <w:tc>
          <w:tcPr>
            <w:tcW w:w="1872" w:type="dxa"/>
          </w:tcPr>
          <w:p w14:paraId="159B29F9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品牌</w:t>
            </w:r>
          </w:p>
        </w:tc>
      </w:tr>
      <w:tr w14:paraId="28115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67336CC7">
            <w:pPr>
              <w:pStyle w:val="38"/>
              <w:spacing w:before="83" w:line="251" w:lineRule="exact"/>
              <w:ind w:left="192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position w:val="1"/>
                <w:sz w:val="21"/>
                <w:szCs w:val="21"/>
              </w:rPr>
              <w:t>1</w:t>
            </w:r>
          </w:p>
        </w:tc>
        <w:tc>
          <w:tcPr>
            <w:tcW w:w="1893" w:type="dxa"/>
            <w:shd w:val="clear" w:color="auto" w:fill="auto"/>
            <w:noWrap/>
            <w:vAlign w:val="top"/>
          </w:tcPr>
          <w:p w14:paraId="47FC6096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增强聚乙烯</w:t>
            </w: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  <w:t>PE管</w:t>
            </w:r>
          </w:p>
        </w:tc>
        <w:tc>
          <w:tcPr>
            <w:tcW w:w="3612" w:type="dxa"/>
            <w:shd w:val="clear" w:color="auto" w:fill="auto"/>
            <w:vAlign w:val="top"/>
          </w:tcPr>
          <w:p w14:paraId="377016A9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φ160 1.0MPa，直管，单根≥9m，标准GB/T13663.2-2018,原料等级PE100</w:t>
            </w:r>
          </w:p>
        </w:tc>
        <w:tc>
          <w:tcPr>
            <w:tcW w:w="840" w:type="dxa"/>
            <w:shd w:val="clear" w:color="auto" w:fill="auto"/>
            <w:vAlign w:val="top"/>
          </w:tcPr>
          <w:p w14:paraId="366CB1FC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米</w:t>
            </w:r>
          </w:p>
        </w:tc>
        <w:tc>
          <w:tcPr>
            <w:tcW w:w="996" w:type="dxa"/>
            <w:shd w:val="clear" w:color="auto" w:fill="auto"/>
            <w:vAlign w:val="top"/>
          </w:tcPr>
          <w:p w14:paraId="07D9E995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650</w:t>
            </w:r>
          </w:p>
        </w:tc>
        <w:tc>
          <w:tcPr>
            <w:tcW w:w="1572" w:type="dxa"/>
            <w:shd w:val="clear" w:color="auto" w:fill="auto"/>
            <w:vAlign w:val="top"/>
          </w:tcPr>
          <w:p w14:paraId="42B376D7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shd w:val="clear" w:color="auto" w:fill="auto"/>
            <w:vAlign w:val="top"/>
          </w:tcPr>
          <w:p w14:paraId="30FDBF2A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2" w:type="dxa"/>
            <w:shd w:val="clear" w:color="auto" w:fill="auto"/>
            <w:vAlign w:val="top"/>
          </w:tcPr>
          <w:p w14:paraId="10FD11AE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7B09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5733DA79">
            <w:pPr>
              <w:pStyle w:val="38"/>
              <w:spacing w:before="75" w:line="241" w:lineRule="auto"/>
              <w:ind w:left="179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1893" w:type="dxa"/>
            <w:shd w:val="clear" w:color="auto" w:fill="auto"/>
            <w:noWrap/>
            <w:vAlign w:val="top"/>
          </w:tcPr>
          <w:p w14:paraId="3F426ECD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  <w:t>PE电熔直接头</w:t>
            </w:r>
          </w:p>
        </w:tc>
        <w:tc>
          <w:tcPr>
            <w:tcW w:w="3612" w:type="dxa"/>
            <w:vMerge w:val="restart"/>
            <w:shd w:val="clear" w:color="auto" w:fill="auto"/>
            <w:vAlign w:val="top"/>
          </w:tcPr>
          <w:p w14:paraId="05314A12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  <w:p w14:paraId="11A4C166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φ160 1.0MPa，标准GB/T13663.3-2018,原料等级PE100</w:t>
            </w:r>
          </w:p>
        </w:tc>
        <w:tc>
          <w:tcPr>
            <w:tcW w:w="840" w:type="dxa"/>
            <w:shd w:val="clear" w:color="auto" w:fill="auto"/>
            <w:vAlign w:val="top"/>
          </w:tcPr>
          <w:p w14:paraId="70E4538B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只</w:t>
            </w:r>
          </w:p>
        </w:tc>
        <w:tc>
          <w:tcPr>
            <w:tcW w:w="996" w:type="dxa"/>
            <w:shd w:val="clear" w:color="auto" w:fill="auto"/>
            <w:vAlign w:val="top"/>
          </w:tcPr>
          <w:p w14:paraId="1E2D07FC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75</w:t>
            </w:r>
          </w:p>
        </w:tc>
        <w:tc>
          <w:tcPr>
            <w:tcW w:w="1572" w:type="dxa"/>
            <w:shd w:val="clear" w:color="auto" w:fill="auto"/>
            <w:vAlign w:val="top"/>
          </w:tcPr>
          <w:p w14:paraId="15A1366E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shd w:val="clear" w:color="auto" w:fill="auto"/>
            <w:vAlign w:val="top"/>
          </w:tcPr>
          <w:p w14:paraId="22E71E9F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2" w:type="dxa"/>
            <w:shd w:val="clear" w:color="auto" w:fill="auto"/>
            <w:vAlign w:val="top"/>
          </w:tcPr>
          <w:p w14:paraId="2C41A87A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E66D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6A06076D">
            <w:pPr>
              <w:pStyle w:val="38"/>
              <w:spacing w:before="76" w:line="241" w:lineRule="auto"/>
              <w:ind w:left="181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1893" w:type="dxa"/>
            <w:shd w:val="clear" w:color="auto" w:fill="auto"/>
            <w:noWrap/>
            <w:vAlign w:val="top"/>
          </w:tcPr>
          <w:p w14:paraId="7993AB74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  <w:t>PE电熔90°弯头</w:t>
            </w:r>
          </w:p>
        </w:tc>
        <w:tc>
          <w:tcPr>
            <w:tcW w:w="3612" w:type="dxa"/>
            <w:vMerge w:val="continue"/>
            <w:shd w:val="clear" w:color="auto" w:fill="auto"/>
            <w:vAlign w:val="top"/>
          </w:tcPr>
          <w:p w14:paraId="58B62830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0" w:type="dxa"/>
            <w:shd w:val="clear" w:color="auto" w:fill="auto"/>
            <w:vAlign w:val="top"/>
          </w:tcPr>
          <w:p w14:paraId="4B246355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只</w:t>
            </w:r>
          </w:p>
        </w:tc>
        <w:tc>
          <w:tcPr>
            <w:tcW w:w="996" w:type="dxa"/>
            <w:shd w:val="clear" w:color="auto" w:fill="auto"/>
            <w:vAlign w:val="top"/>
          </w:tcPr>
          <w:p w14:paraId="79F3987F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1572" w:type="dxa"/>
            <w:shd w:val="clear" w:color="auto" w:fill="auto"/>
            <w:vAlign w:val="top"/>
          </w:tcPr>
          <w:p w14:paraId="30C0CA9E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shd w:val="clear" w:color="auto" w:fill="auto"/>
            <w:vAlign w:val="top"/>
          </w:tcPr>
          <w:p w14:paraId="69D37BFB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2" w:type="dxa"/>
            <w:shd w:val="clear" w:color="auto" w:fill="auto"/>
            <w:vAlign w:val="top"/>
          </w:tcPr>
          <w:p w14:paraId="6D8D0FB9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AF01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6E327725">
            <w:pPr>
              <w:pStyle w:val="38"/>
              <w:spacing w:before="76" w:line="241" w:lineRule="auto"/>
              <w:ind w:left="176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1893" w:type="dxa"/>
            <w:shd w:val="clear" w:color="auto" w:fill="auto"/>
            <w:noWrap/>
            <w:vAlign w:val="top"/>
          </w:tcPr>
          <w:p w14:paraId="1807D5A0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  <w:t>PE电熔135°弯头</w:t>
            </w:r>
          </w:p>
        </w:tc>
        <w:tc>
          <w:tcPr>
            <w:tcW w:w="3612" w:type="dxa"/>
            <w:vMerge w:val="continue"/>
            <w:shd w:val="clear" w:color="auto" w:fill="auto"/>
            <w:vAlign w:val="top"/>
          </w:tcPr>
          <w:p w14:paraId="7C50E369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0" w:type="dxa"/>
            <w:shd w:val="clear" w:color="auto" w:fill="auto"/>
            <w:vAlign w:val="top"/>
          </w:tcPr>
          <w:p w14:paraId="7EF1330F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只</w:t>
            </w:r>
          </w:p>
        </w:tc>
        <w:tc>
          <w:tcPr>
            <w:tcW w:w="996" w:type="dxa"/>
            <w:shd w:val="clear" w:color="auto" w:fill="auto"/>
            <w:vAlign w:val="top"/>
          </w:tcPr>
          <w:p w14:paraId="019ED618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572" w:type="dxa"/>
            <w:shd w:val="clear" w:color="auto" w:fill="auto"/>
            <w:vAlign w:val="top"/>
          </w:tcPr>
          <w:p w14:paraId="00CE4CD6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shd w:val="clear" w:color="auto" w:fill="auto"/>
            <w:vAlign w:val="top"/>
          </w:tcPr>
          <w:p w14:paraId="43A2F950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2" w:type="dxa"/>
            <w:shd w:val="clear" w:color="auto" w:fill="auto"/>
            <w:vAlign w:val="top"/>
          </w:tcPr>
          <w:p w14:paraId="4C8292D7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153B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10B3AEEE">
            <w:pPr>
              <w:pStyle w:val="38"/>
              <w:spacing w:before="78" w:line="239" w:lineRule="auto"/>
              <w:ind w:left="181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</w:t>
            </w:r>
          </w:p>
        </w:tc>
        <w:tc>
          <w:tcPr>
            <w:tcW w:w="1893" w:type="dxa"/>
            <w:shd w:val="clear" w:color="auto" w:fill="auto"/>
            <w:noWrap/>
            <w:vAlign w:val="top"/>
          </w:tcPr>
          <w:p w14:paraId="25EB1425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  <w:t>PE电熔法兰</w:t>
            </w:r>
          </w:p>
        </w:tc>
        <w:tc>
          <w:tcPr>
            <w:tcW w:w="3612" w:type="dxa"/>
            <w:vMerge w:val="continue"/>
            <w:shd w:val="clear" w:color="auto" w:fill="auto"/>
            <w:vAlign w:val="top"/>
          </w:tcPr>
          <w:p w14:paraId="2E5D2AE3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0" w:type="dxa"/>
            <w:shd w:val="clear" w:color="auto" w:fill="auto"/>
            <w:vAlign w:val="top"/>
          </w:tcPr>
          <w:p w14:paraId="4BCDCFCD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只</w:t>
            </w:r>
          </w:p>
        </w:tc>
        <w:tc>
          <w:tcPr>
            <w:tcW w:w="996" w:type="dxa"/>
            <w:shd w:val="clear" w:color="auto" w:fill="auto"/>
            <w:vAlign w:val="top"/>
          </w:tcPr>
          <w:p w14:paraId="07A52081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572" w:type="dxa"/>
            <w:shd w:val="clear" w:color="auto" w:fill="auto"/>
            <w:vAlign w:val="top"/>
          </w:tcPr>
          <w:p w14:paraId="11BA5D99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shd w:val="clear" w:color="auto" w:fill="auto"/>
            <w:vAlign w:val="top"/>
          </w:tcPr>
          <w:p w14:paraId="4D3E4BEF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2" w:type="dxa"/>
            <w:shd w:val="clear" w:color="auto" w:fill="auto"/>
            <w:vAlign w:val="top"/>
          </w:tcPr>
          <w:p w14:paraId="330034D7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 w14:paraId="02B311A6">
      <w:pPr>
        <w:pStyle w:val="51"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/>
          <w:b/>
        </w:rPr>
      </w:pPr>
    </w:p>
    <w:p w14:paraId="15414075">
      <w:pPr>
        <w:pStyle w:val="5"/>
        <w:ind w:firstLine="0" w:firstLineChars="0"/>
        <w:jc w:val="left"/>
        <w:rPr>
          <w:kern w:val="0"/>
        </w:rPr>
      </w:pPr>
      <w:r>
        <w:rPr>
          <w:rFonts w:hint="eastAsia"/>
          <w:sz w:val="20"/>
          <w:szCs w:val="20"/>
        </w:rPr>
        <w:t xml:space="preserve">          </w:t>
      </w:r>
      <w:r>
        <w:rPr>
          <w:rFonts w:hint="eastAsia"/>
        </w:rPr>
        <w:t xml:space="preserve">                                               </w:t>
      </w:r>
    </w:p>
    <w:p w14:paraId="6D5AF54D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供应商名称：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Cs w:val="21"/>
          <w:u w:val="single"/>
        </w:rPr>
        <w:t>（</w:t>
      </w:r>
      <w:r>
        <w:rPr>
          <w:rFonts w:hint="eastAsia" w:ascii="宋体" w:hAnsi="宋体"/>
          <w:szCs w:val="21"/>
        </w:rPr>
        <w:t xml:space="preserve">加盖单位公章） </w:t>
      </w:r>
    </w:p>
    <w:p w14:paraId="3E9B13C6">
      <w:pPr>
        <w:pStyle w:val="36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付款方式：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399020A2">
      <w:pPr>
        <w:pStyle w:val="36"/>
        <w:spacing w:before="120" w:line="500" w:lineRule="exact"/>
        <w:rPr>
          <w:rFonts w:hint="eastAsia"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 xml:space="preserve">交货期：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4F084EDA">
      <w:pPr>
        <w:pStyle w:val="36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  <w:lang w:val="en-US" w:eastAsia="zh-CN"/>
        </w:rPr>
        <w:t>质保期：</w:t>
      </w:r>
      <w:r>
        <w:rPr>
          <w:rFonts w:hint="eastAsia" w:eastAsiaTheme="minorEastAsia" w:cstheme="minorBidi"/>
          <w:kern w:val="2"/>
          <w:sz w:val="21"/>
          <w:szCs w:val="21"/>
          <w:u w:val="single"/>
          <w:lang w:val="en-US" w:eastAsia="zh-CN"/>
        </w:rPr>
        <w:t xml:space="preserve">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                                                                                       </w:t>
      </w:r>
    </w:p>
    <w:p w14:paraId="50E62643">
      <w:pPr>
        <w:pStyle w:val="36"/>
        <w:spacing w:before="120" w:line="480" w:lineRule="exact"/>
        <w:rPr>
          <w:rFonts w:eastAsiaTheme="minorEastAsia" w:cstheme="minorBidi"/>
          <w:kern w:val="2"/>
          <w:sz w:val="21"/>
          <w:szCs w:val="21"/>
          <w:u w:val="single"/>
        </w:rPr>
      </w:pPr>
      <w:r>
        <w:rPr>
          <w:rFonts w:hint="eastAsia" w:eastAsiaTheme="minorEastAsia" w:cstheme="minorBidi"/>
          <w:kern w:val="2"/>
          <w:sz w:val="21"/>
          <w:szCs w:val="21"/>
          <w:lang w:val="en-US" w:eastAsia="zh-CN"/>
        </w:rPr>
        <w:t>备注：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</w:t>
      </w:r>
      <w:r>
        <w:rPr>
          <w:rFonts w:hint="eastAsia" w:eastAsiaTheme="minorEastAsia" w:cstheme="minorBidi"/>
          <w:kern w:val="2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</w:t>
      </w:r>
      <w:r>
        <w:rPr>
          <w:rFonts w:hint="eastAsia" w:eastAsiaTheme="minorEastAsia" w:cstheme="minorBidi"/>
          <w:kern w:val="2"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</w:t>
      </w:r>
    </w:p>
    <w:p w14:paraId="48FD1DBF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报价包含但不限于材料费、包装费、装车费、运费、保险费、税金等。</w:t>
      </w:r>
      <w:r>
        <w:rPr>
          <w:rFonts w:hint="eastAsia" w:ascii="宋体" w:hAnsi="宋体"/>
          <w:szCs w:val="21"/>
        </w:rPr>
        <w:t xml:space="preserve">                    </w:t>
      </w:r>
    </w:p>
    <w:p w14:paraId="6CC58E74">
      <w:pPr>
        <w:rPr>
          <w:rFonts w:ascii="宋体" w:hAnsi="宋体"/>
          <w:szCs w:val="21"/>
        </w:rPr>
        <w:sectPr>
          <w:pgSz w:w="16838" w:h="11906" w:orient="landscape"/>
          <w:pgMar w:top="1191" w:right="1440" w:bottom="1191" w:left="1440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22E51DE1">
      <w:pPr>
        <w:tabs>
          <w:tab w:val="center" w:pos="4212"/>
          <w:tab w:val="left" w:pos="5173"/>
        </w:tabs>
        <w:jc w:val="left"/>
        <w:rPr>
          <w:rFonts w:ascii="宋体" w:hAnsi="宋体"/>
          <w:b/>
          <w:sz w:val="28"/>
        </w:rPr>
      </w:pPr>
      <w:r>
        <w:rPr>
          <w:rFonts w:hint="eastAsia"/>
        </w:rPr>
        <w:t xml:space="preserve">   </w:t>
      </w:r>
      <w:r>
        <w:rPr>
          <w:rFonts w:hint="eastAsia" w:ascii="宋体" w:hAnsi="宋体" w:cs="宋体"/>
          <w:b/>
          <w:bCs/>
          <w:sz w:val="28"/>
          <w:szCs w:val="28"/>
        </w:rPr>
        <w:t>三、</w:t>
      </w:r>
      <w:r>
        <w:rPr>
          <w:rFonts w:hint="eastAsia" w:ascii="宋体" w:hAnsi="宋体"/>
          <w:b/>
          <w:sz w:val="28"/>
        </w:rPr>
        <w:t>承 诺</w:t>
      </w:r>
    </w:p>
    <w:p w14:paraId="7A195E7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44D64504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四川 宏达股份有限公司的</w:t>
      </w:r>
      <w:r>
        <w:rPr>
          <w:rFonts w:hint="eastAsia" w:ascii="宋体" w:hAnsi="宋体"/>
          <w:u w:val="single"/>
          <w:lang w:val="en-US" w:eastAsia="zh-CN"/>
        </w:rPr>
        <w:t>PE管及PE电熔接头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的投标，现郑重作出以下承诺：</w:t>
      </w:r>
    </w:p>
    <w:p w14:paraId="21AC3CA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20129581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1EF0A584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0CDE38C9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⑷我公司将严格遵守投标的各项法律法规和程序，若有违规行为，愿意承担相应法律责任。</w:t>
      </w:r>
    </w:p>
    <w:p w14:paraId="0AD64EA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⑸若中标，我公司将按照合同约定的时间、地点和方式交付物资，确保项目顺利推进。</w:t>
      </w:r>
    </w:p>
    <w:p w14:paraId="772E9EA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66C3D41B">
      <w:pPr>
        <w:spacing w:line="360" w:lineRule="auto"/>
        <w:ind w:firstLine="420" w:firstLineChars="200"/>
        <w:rPr>
          <w:rFonts w:ascii="宋体" w:hAnsi="宋体"/>
        </w:rPr>
      </w:pPr>
    </w:p>
    <w:p w14:paraId="79CDFCBE">
      <w:pPr>
        <w:spacing w:line="360" w:lineRule="auto"/>
        <w:ind w:left="420" w:leftChars="200"/>
        <w:rPr>
          <w:rFonts w:ascii="宋体" w:hAnsi="宋体"/>
        </w:rPr>
      </w:pPr>
    </w:p>
    <w:p w14:paraId="4E81A8FB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0E1611B5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247CC6D0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3E454479">
      <w:pPr>
        <w:pStyle w:val="36"/>
        <w:spacing w:before="120" w:line="480" w:lineRule="exact"/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                                                 </w:t>
      </w:r>
    </w:p>
    <w:p w14:paraId="2316C6D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</w:t>
    </w:r>
    <w:r>
      <w:fldChar w:fldCharType="end"/>
    </w:r>
  </w:p>
  <w:p w14:paraId="7BADD2CA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B883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F0F150C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2CC7F8"/>
    <w:multiLevelType w:val="singleLevel"/>
    <w:tmpl w:val="A72CC7F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761641E"/>
    <w:multiLevelType w:val="singleLevel"/>
    <w:tmpl w:val="E76164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A88"/>
    <w:rsid w:val="00003FDE"/>
    <w:rsid w:val="00005CF9"/>
    <w:rsid w:val="000138D0"/>
    <w:rsid w:val="00017EA1"/>
    <w:rsid w:val="00035DC6"/>
    <w:rsid w:val="00044B92"/>
    <w:rsid w:val="0005211C"/>
    <w:rsid w:val="0006135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0B54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3B8E"/>
    <w:rsid w:val="00214289"/>
    <w:rsid w:val="002203ED"/>
    <w:rsid w:val="0022557E"/>
    <w:rsid w:val="00227339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3D5D"/>
    <w:rsid w:val="002E7A79"/>
    <w:rsid w:val="002E7F96"/>
    <w:rsid w:val="00301EF7"/>
    <w:rsid w:val="0031109D"/>
    <w:rsid w:val="00312836"/>
    <w:rsid w:val="00335D84"/>
    <w:rsid w:val="00337D58"/>
    <w:rsid w:val="0034055A"/>
    <w:rsid w:val="003414F3"/>
    <w:rsid w:val="003470FC"/>
    <w:rsid w:val="003476B8"/>
    <w:rsid w:val="003522B3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982"/>
    <w:rsid w:val="003D2A0C"/>
    <w:rsid w:val="003D39EC"/>
    <w:rsid w:val="003D5F59"/>
    <w:rsid w:val="003D64A9"/>
    <w:rsid w:val="003D68DF"/>
    <w:rsid w:val="003E4EC9"/>
    <w:rsid w:val="0040534D"/>
    <w:rsid w:val="00427D3E"/>
    <w:rsid w:val="00435A40"/>
    <w:rsid w:val="004448F3"/>
    <w:rsid w:val="0045342B"/>
    <w:rsid w:val="004620A2"/>
    <w:rsid w:val="00462F2A"/>
    <w:rsid w:val="004633FD"/>
    <w:rsid w:val="00467908"/>
    <w:rsid w:val="004A40F2"/>
    <w:rsid w:val="004B55EE"/>
    <w:rsid w:val="004B7B6D"/>
    <w:rsid w:val="004C3A30"/>
    <w:rsid w:val="004C645A"/>
    <w:rsid w:val="004D6284"/>
    <w:rsid w:val="004D69C7"/>
    <w:rsid w:val="004E033B"/>
    <w:rsid w:val="004E1035"/>
    <w:rsid w:val="004E6ED5"/>
    <w:rsid w:val="004F4AB3"/>
    <w:rsid w:val="004F5A03"/>
    <w:rsid w:val="00501B9F"/>
    <w:rsid w:val="00504752"/>
    <w:rsid w:val="00520A4A"/>
    <w:rsid w:val="00525759"/>
    <w:rsid w:val="00532F4F"/>
    <w:rsid w:val="00533F31"/>
    <w:rsid w:val="00537419"/>
    <w:rsid w:val="0054013B"/>
    <w:rsid w:val="00543302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A650E"/>
    <w:rsid w:val="005C0AA7"/>
    <w:rsid w:val="005C2AF9"/>
    <w:rsid w:val="005C2F1E"/>
    <w:rsid w:val="005C4C3F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2287A"/>
    <w:rsid w:val="0063138C"/>
    <w:rsid w:val="00637A3F"/>
    <w:rsid w:val="00642EC8"/>
    <w:rsid w:val="00644EEC"/>
    <w:rsid w:val="00653EE2"/>
    <w:rsid w:val="0065569C"/>
    <w:rsid w:val="0065589D"/>
    <w:rsid w:val="00660712"/>
    <w:rsid w:val="0067099D"/>
    <w:rsid w:val="00674861"/>
    <w:rsid w:val="00683C35"/>
    <w:rsid w:val="006947BA"/>
    <w:rsid w:val="006B0C12"/>
    <w:rsid w:val="006D6169"/>
    <w:rsid w:val="006D68F2"/>
    <w:rsid w:val="006E2ACF"/>
    <w:rsid w:val="006E42DF"/>
    <w:rsid w:val="006F5241"/>
    <w:rsid w:val="007007B8"/>
    <w:rsid w:val="00710417"/>
    <w:rsid w:val="00715769"/>
    <w:rsid w:val="007175C3"/>
    <w:rsid w:val="00725B99"/>
    <w:rsid w:val="00725D3D"/>
    <w:rsid w:val="0072609D"/>
    <w:rsid w:val="00732403"/>
    <w:rsid w:val="00740DBE"/>
    <w:rsid w:val="00741BE9"/>
    <w:rsid w:val="007542CF"/>
    <w:rsid w:val="00766E8D"/>
    <w:rsid w:val="007712E5"/>
    <w:rsid w:val="00775ECF"/>
    <w:rsid w:val="007812BD"/>
    <w:rsid w:val="007860DE"/>
    <w:rsid w:val="00792619"/>
    <w:rsid w:val="007A069F"/>
    <w:rsid w:val="007A1660"/>
    <w:rsid w:val="007A51B4"/>
    <w:rsid w:val="007A5F8C"/>
    <w:rsid w:val="007C17B7"/>
    <w:rsid w:val="007C3F2D"/>
    <w:rsid w:val="007D29EB"/>
    <w:rsid w:val="007E6D3F"/>
    <w:rsid w:val="007F2EA0"/>
    <w:rsid w:val="007F53CF"/>
    <w:rsid w:val="00805453"/>
    <w:rsid w:val="00805D41"/>
    <w:rsid w:val="008105C3"/>
    <w:rsid w:val="00810A47"/>
    <w:rsid w:val="00812E44"/>
    <w:rsid w:val="008336F8"/>
    <w:rsid w:val="00841F48"/>
    <w:rsid w:val="00871447"/>
    <w:rsid w:val="008748A5"/>
    <w:rsid w:val="00891A2B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3C6B"/>
    <w:rsid w:val="0092587A"/>
    <w:rsid w:val="00925DF5"/>
    <w:rsid w:val="00952C4B"/>
    <w:rsid w:val="00953BFF"/>
    <w:rsid w:val="009608C8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76C72"/>
    <w:rsid w:val="00A82099"/>
    <w:rsid w:val="00A86EB3"/>
    <w:rsid w:val="00A945A7"/>
    <w:rsid w:val="00A9571D"/>
    <w:rsid w:val="00A967EE"/>
    <w:rsid w:val="00AA2C4C"/>
    <w:rsid w:val="00AB5F82"/>
    <w:rsid w:val="00AC3ABC"/>
    <w:rsid w:val="00AC4B9D"/>
    <w:rsid w:val="00AC7A9E"/>
    <w:rsid w:val="00AE06F0"/>
    <w:rsid w:val="00AE0FC0"/>
    <w:rsid w:val="00AF688D"/>
    <w:rsid w:val="00B10379"/>
    <w:rsid w:val="00B12B53"/>
    <w:rsid w:val="00B204A9"/>
    <w:rsid w:val="00B24FFF"/>
    <w:rsid w:val="00B40D20"/>
    <w:rsid w:val="00B4274F"/>
    <w:rsid w:val="00B55EA0"/>
    <w:rsid w:val="00B64EA1"/>
    <w:rsid w:val="00B65751"/>
    <w:rsid w:val="00B66EE0"/>
    <w:rsid w:val="00B7470B"/>
    <w:rsid w:val="00B82DBD"/>
    <w:rsid w:val="00B831F0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68FD"/>
    <w:rsid w:val="00C07394"/>
    <w:rsid w:val="00C12AB1"/>
    <w:rsid w:val="00C16D22"/>
    <w:rsid w:val="00C172FB"/>
    <w:rsid w:val="00C23E07"/>
    <w:rsid w:val="00C2542F"/>
    <w:rsid w:val="00C34112"/>
    <w:rsid w:val="00C42056"/>
    <w:rsid w:val="00C44139"/>
    <w:rsid w:val="00C6057C"/>
    <w:rsid w:val="00C67A65"/>
    <w:rsid w:val="00C7171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CF7276"/>
    <w:rsid w:val="00D00BC6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747"/>
    <w:rsid w:val="00D54B54"/>
    <w:rsid w:val="00D66C88"/>
    <w:rsid w:val="00D73FDA"/>
    <w:rsid w:val="00D80B8F"/>
    <w:rsid w:val="00DA7914"/>
    <w:rsid w:val="00DB4E8D"/>
    <w:rsid w:val="00DC28D7"/>
    <w:rsid w:val="00DC308B"/>
    <w:rsid w:val="00DC661D"/>
    <w:rsid w:val="00DE12E2"/>
    <w:rsid w:val="00DE33D0"/>
    <w:rsid w:val="00DE52F3"/>
    <w:rsid w:val="00DE5648"/>
    <w:rsid w:val="00DE64E3"/>
    <w:rsid w:val="00DF0BD8"/>
    <w:rsid w:val="00DF1753"/>
    <w:rsid w:val="00E00269"/>
    <w:rsid w:val="00E0273F"/>
    <w:rsid w:val="00E0351C"/>
    <w:rsid w:val="00E117B3"/>
    <w:rsid w:val="00E13267"/>
    <w:rsid w:val="00E23E49"/>
    <w:rsid w:val="00E324B9"/>
    <w:rsid w:val="00E33C43"/>
    <w:rsid w:val="00E42739"/>
    <w:rsid w:val="00E45179"/>
    <w:rsid w:val="00E454BC"/>
    <w:rsid w:val="00E65122"/>
    <w:rsid w:val="00E67ADB"/>
    <w:rsid w:val="00E70EA2"/>
    <w:rsid w:val="00E7146C"/>
    <w:rsid w:val="00E7505E"/>
    <w:rsid w:val="00E7542E"/>
    <w:rsid w:val="00E7711F"/>
    <w:rsid w:val="00E87C9B"/>
    <w:rsid w:val="00E91EA2"/>
    <w:rsid w:val="00E935F6"/>
    <w:rsid w:val="00E944A0"/>
    <w:rsid w:val="00E94CF8"/>
    <w:rsid w:val="00E965E0"/>
    <w:rsid w:val="00EA2469"/>
    <w:rsid w:val="00EA54A9"/>
    <w:rsid w:val="00EA5D30"/>
    <w:rsid w:val="00EB39ED"/>
    <w:rsid w:val="00EC4353"/>
    <w:rsid w:val="00ED03DD"/>
    <w:rsid w:val="00ED700E"/>
    <w:rsid w:val="00EE2879"/>
    <w:rsid w:val="00EF4688"/>
    <w:rsid w:val="00F0047E"/>
    <w:rsid w:val="00F02FF4"/>
    <w:rsid w:val="00F165B6"/>
    <w:rsid w:val="00F417A8"/>
    <w:rsid w:val="00F43B59"/>
    <w:rsid w:val="00F43EF6"/>
    <w:rsid w:val="00F4527F"/>
    <w:rsid w:val="00F542A9"/>
    <w:rsid w:val="00F709E5"/>
    <w:rsid w:val="00F76284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D4A4A"/>
    <w:rsid w:val="00FE4088"/>
    <w:rsid w:val="00FE6B97"/>
    <w:rsid w:val="017D438D"/>
    <w:rsid w:val="02F81774"/>
    <w:rsid w:val="038F62BE"/>
    <w:rsid w:val="03A80897"/>
    <w:rsid w:val="03BC1030"/>
    <w:rsid w:val="041E3808"/>
    <w:rsid w:val="043B2184"/>
    <w:rsid w:val="047542D8"/>
    <w:rsid w:val="0475718F"/>
    <w:rsid w:val="0485137E"/>
    <w:rsid w:val="04C66C1A"/>
    <w:rsid w:val="04D1736D"/>
    <w:rsid w:val="05573D16"/>
    <w:rsid w:val="057443B4"/>
    <w:rsid w:val="05C017FD"/>
    <w:rsid w:val="0687687D"/>
    <w:rsid w:val="06F2489E"/>
    <w:rsid w:val="070268E6"/>
    <w:rsid w:val="07153A96"/>
    <w:rsid w:val="07501427"/>
    <w:rsid w:val="076636BD"/>
    <w:rsid w:val="08084777"/>
    <w:rsid w:val="094A00EB"/>
    <w:rsid w:val="094D7C7A"/>
    <w:rsid w:val="097507C7"/>
    <w:rsid w:val="097D22E2"/>
    <w:rsid w:val="098967ED"/>
    <w:rsid w:val="09AD2157"/>
    <w:rsid w:val="0A3C4D43"/>
    <w:rsid w:val="0B6C6FDB"/>
    <w:rsid w:val="0C5F0F6E"/>
    <w:rsid w:val="0D004BE0"/>
    <w:rsid w:val="0D6635DC"/>
    <w:rsid w:val="0DF948B4"/>
    <w:rsid w:val="0E2624D8"/>
    <w:rsid w:val="0EC51CF1"/>
    <w:rsid w:val="0F783207"/>
    <w:rsid w:val="0F797A29"/>
    <w:rsid w:val="0FBB34F5"/>
    <w:rsid w:val="0FFD54BA"/>
    <w:rsid w:val="10525110"/>
    <w:rsid w:val="110E7C3C"/>
    <w:rsid w:val="120F5BA7"/>
    <w:rsid w:val="1235718D"/>
    <w:rsid w:val="128A3A09"/>
    <w:rsid w:val="12A6008B"/>
    <w:rsid w:val="12D009A7"/>
    <w:rsid w:val="13C54541"/>
    <w:rsid w:val="14676D7E"/>
    <w:rsid w:val="15916DD0"/>
    <w:rsid w:val="15CE063D"/>
    <w:rsid w:val="16413351"/>
    <w:rsid w:val="164E090F"/>
    <w:rsid w:val="16937390"/>
    <w:rsid w:val="16D0758F"/>
    <w:rsid w:val="172F5937"/>
    <w:rsid w:val="17660053"/>
    <w:rsid w:val="177C482D"/>
    <w:rsid w:val="18612761"/>
    <w:rsid w:val="190E59FE"/>
    <w:rsid w:val="19393A07"/>
    <w:rsid w:val="1A294B27"/>
    <w:rsid w:val="1A683441"/>
    <w:rsid w:val="1A725877"/>
    <w:rsid w:val="1C4C57FF"/>
    <w:rsid w:val="1D4F55EB"/>
    <w:rsid w:val="1D64697C"/>
    <w:rsid w:val="1DD969AB"/>
    <w:rsid w:val="1ED14404"/>
    <w:rsid w:val="1EF74148"/>
    <w:rsid w:val="1F980D5B"/>
    <w:rsid w:val="1FA15E62"/>
    <w:rsid w:val="1FDB7383"/>
    <w:rsid w:val="20A629C0"/>
    <w:rsid w:val="21196F94"/>
    <w:rsid w:val="21263865"/>
    <w:rsid w:val="213571AA"/>
    <w:rsid w:val="217D645B"/>
    <w:rsid w:val="21843C8D"/>
    <w:rsid w:val="21F13065"/>
    <w:rsid w:val="22A07CA6"/>
    <w:rsid w:val="237F15B6"/>
    <w:rsid w:val="240E783E"/>
    <w:rsid w:val="24511AD5"/>
    <w:rsid w:val="245F7C14"/>
    <w:rsid w:val="246966F1"/>
    <w:rsid w:val="2470465E"/>
    <w:rsid w:val="24F6510A"/>
    <w:rsid w:val="24FA55ED"/>
    <w:rsid w:val="25BD0469"/>
    <w:rsid w:val="25CC5B88"/>
    <w:rsid w:val="266D4CF0"/>
    <w:rsid w:val="26933E36"/>
    <w:rsid w:val="26BC19A6"/>
    <w:rsid w:val="279E3E6D"/>
    <w:rsid w:val="279F42C9"/>
    <w:rsid w:val="27A73E71"/>
    <w:rsid w:val="27B8643F"/>
    <w:rsid w:val="28564D7B"/>
    <w:rsid w:val="289607B9"/>
    <w:rsid w:val="28F11C08"/>
    <w:rsid w:val="290166AE"/>
    <w:rsid w:val="29800201"/>
    <w:rsid w:val="2A494963"/>
    <w:rsid w:val="2A5A72A6"/>
    <w:rsid w:val="2A7A0382"/>
    <w:rsid w:val="2AAB5DE7"/>
    <w:rsid w:val="2AC075D6"/>
    <w:rsid w:val="2C0635BA"/>
    <w:rsid w:val="2C612895"/>
    <w:rsid w:val="2C672453"/>
    <w:rsid w:val="2E2959A0"/>
    <w:rsid w:val="2EC03E0B"/>
    <w:rsid w:val="2EE64169"/>
    <w:rsid w:val="300E355A"/>
    <w:rsid w:val="30337F16"/>
    <w:rsid w:val="303F652C"/>
    <w:rsid w:val="30464A25"/>
    <w:rsid w:val="3082583C"/>
    <w:rsid w:val="317A07B3"/>
    <w:rsid w:val="31A45B7D"/>
    <w:rsid w:val="31A5035D"/>
    <w:rsid w:val="3264344B"/>
    <w:rsid w:val="32A735AF"/>
    <w:rsid w:val="33064502"/>
    <w:rsid w:val="33980AB1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7F56BA7"/>
    <w:rsid w:val="388703D9"/>
    <w:rsid w:val="388861A3"/>
    <w:rsid w:val="38A50319"/>
    <w:rsid w:val="38DC340E"/>
    <w:rsid w:val="39426BDA"/>
    <w:rsid w:val="3A801D52"/>
    <w:rsid w:val="3ABF1B60"/>
    <w:rsid w:val="3B10121D"/>
    <w:rsid w:val="3BA23F27"/>
    <w:rsid w:val="3BB75F0B"/>
    <w:rsid w:val="3BF62074"/>
    <w:rsid w:val="3C956C5B"/>
    <w:rsid w:val="3D2D4ECB"/>
    <w:rsid w:val="3D8E7046"/>
    <w:rsid w:val="3DB1150E"/>
    <w:rsid w:val="3DC23D1C"/>
    <w:rsid w:val="3DD85B51"/>
    <w:rsid w:val="3E197344"/>
    <w:rsid w:val="3E583D12"/>
    <w:rsid w:val="3EC22693"/>
    <w:rsid w:val="3F213F33"/>
    <w:rsid w:val="3FE536F1"/>
    <w:rsid w:val="40083152"/>
    <w:rsid w:val="40085CD0"/>
    <w:rsid w:val="40152CC3"/>
    <w:rsid w:val="4041301D"/>
    <w:rsid w:val="420257DC"/>
    <w:rsid w:val="42587944"/>
    <w:rsid w:val="42932E0A"/>
    <w:rsid w:val="43243278"/>
    <w:rsid w:val="435B56FC"/>
    <w:rsid w:val="43884ABF"/>
    <w:rsid w:val="43B236C4"/>
    <w:rsid w:val="44022E7C"/>
    <w:rsid w:val="44A00219"/>
    <w:rsid w:val="45367494"/>
    <w:rsid w:val="45877724"/>
    <w:rsid w:val="45D27314"/>
    <w:rsid w:val="467A2DE5"/>
    <w:rsid w:val="470A03A4"/>
    <w:rsid w:val="47F46EAE"/>
    <w:rsid w:val="48724017"/>
    <w:rsid w:val="48750F6C"/>
    <w:rsid w:val="492B4B3C"/>
    <w:rsid w:val="49A168DB"/>
    <w:rsid w:val="4A185620"/>
    <w:rsid w:val="4A6F4C2B"/>
    <w:rsid w:val="4B964C95"/>
    <w:rsid w:val="4BDF7931"/>
    <w:rsid w:val="4D477799"/>
    <w:rsid w:val="4DCF4AEB"/>
    <w:rsid w:val="4E0D1159"/>
    <w:rsid w:val="4E5A52AA"/>
    <w:rsid w:val="4EE10E98"/>
    <w:rsid w:val="4EE97C85"/>
    <w:rsid w:val="4F203C16"/>
    <w:rsid w:val="4FAB158B"/>
    <w:rsid w:val="4FE70DC0"/>
    <w:rsid w:val="50033095"/>
    <w:rsid w:val="502E581F"/>
    <w:rsid w:val="50644D4D"/>
    <w:rsid w:val="50CC06E1"/>
    <w:rsid w:val="50F46497"/>
    <w:rsid w:val="514328A4"/>
    <w:rsid w:val="51875472"/>
    <w:rsid w:val="51EA7BD9"/>
    <w:rsid w:val="51F577C4"/>
    <w:rsid w:val="51FF0A8E"/>
    <w:rsid w:val="52884ADC"/>
    <w:rsid w:val="52A80CDA"/>
    <w:rsid w:val="533212A1"/>
    <w:rsid w:val="53EE72C6"/>
    <w:rsid w:val="54887ACF"/>
    <w:rsid w:val="548B2661"/>
    <w:rsid w:val="54AA722A"/>
    <w:rsid w:val="55BE4F5F"/>
    <w:rsid w:val="55C844F0"/>
    <w:rsid w:val="55E22755"/>
    <w:rsid w:val="57193C9E"/>
    <w:rsid w:val="57541431"/>
    <w:rsid w:val="576C2775"/>
    <w:rsid w:val="586048F0"/>
    <w:rsid w:val="588549CE"/>
    <w:rsid w:val="58AE7DA1"/>
    <w:rsid w:val="58DD7D9A"/>
    <w:rsid w:val="59475B90"/>
    <w:rsid w:val="59AD4E28"/>
    <w:rsid w:val="5A167477"/>
    <w:rsid w:val="5B1D65E8"/>
    <w:rsid w:val="5B32014C"/>
    <w:rsid w:val="5C8C341B"/>
    <w:rsid w:val="5D2F2B1E"/>
    <w:rsid w:val="5DEF5A0F"/>
    <w:rsid w:val="5DF72B16"/>
    <w:rsid w:val="5E7E0C7E"/>
    <w:rsid w:val="5ECA3D86"/>
    <w:rsid w:val="5F4D50E3"/>
    <w:rsid w:val="5FC5111D"/>
    <w:rsid w:val="60303C60"/>
    <w:rsid w:val="60320809"/>
    <w:rsid w:val="610B7220"/>
    <w:rsid w:val="61E15FB7"/>
    <w:rsid w:val="626B0ACC"/>
    <w:rsid w:val="626F728B"/>
    <w:rsid w:val="62A42563"/>
    <w:rsid w:val="63210307"/>
    <w:rsid w:val="633B16F7"/>
    <w:rsid w:val="63613BBD"/>
    <w:rsid w:val="639C3F43"/>
    <w:rsid w:val="64132ACB"/>
    <w:rsid w:val="644F1AB3"/>
    <w:rsid w:val="64712CA8"/>
    <w:rsid w:val="64D04D88"/>
    <w:rsid w:val="661512EF"/>
    <w:rsid w:val="66A77D57"/>
    <w:rsid w:val="66C75014"/>
    <w:rsid w:val="672B6AD9"/>
    <w:rsid w:val="67CD5013"/>
    <w:rsid w:val="681D4E4E"/>
    <w:rsid w:val="68C72254"/>
    <w:rsid w:val="68E42148"/>
    <w:rsid w:val="68F0088D"/>
    <w:rsid w:val="68F9171A"/>
    <w:rsid w:val="693A47A3"/>
    <w:rsid w:val="699B0CEB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343A27"/>
    <w:rsid w:val="6DCF182B"/>
    <w:rsid w:val="6E023726"/>
    <w:rsid w:val="6F712728"/>
    <w:rsid w:val="6FF06CE8"/>
    <w:rsid w:val="705135C4"/>
    <w:rsid w:val="70EE440E"/>
    <w:rsid w:val="71196A08"/>
    <w:rsid w:val="715220E5"/>
    <w:rsid w:val="71710FBA"/>
    <w:rsid w:val="72C9287B"/>
    <w:rsid w:val="72F9402A"/>
    <w:rsid w:val="733A4279"/>
    <w:rsid w:val="73441F01"/>
    <w:rsid w:val="74125240"/>
    <w:rsid w:val="74D06143"/>
    <w:rsid w:val="75284014"/>
    <w:rsid w:val="75D4756D"/>
    <w:rsid w:val="75E36E5B"/>
    <w:rsid w:val="76B36C8E"/>
    <w:rsid w:val="775744D2"/>
    <w:rsid w:val="77E24ED1"/>
    <w:rsid w:val="789E730E"/>
    <w:rsid w:val="79042BD4"/>
    <w:rsid w:val="7963467E"/>
    <w:rsid w:val="7A450456"/>
    <w:rsid w:val="7AC516D6"/>
    <w:rsid w:val="7AEE0B4F"/>
    <w:rsid w:val="7BBE5F26"/>
    <w:rsid w:val="7D902913"/>
    <w:rsid w:val="7DA00113"/>
    <w:rsid w:val="7E6B5FAF"/>
    <w:rsid w:val="7EC34622"/>
    <w:rsid w:val="7ED33846"/>
    <w:rsid w:val="7F632E2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2">
    <w:name w:val="HTML Preformatted"/>
    <w:basedOn w:val="1"/>
    <w:link w:val="53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3">
    <w:name w:val="HTML 预设格式 Char"/>
    <w:basedOn w:val="19"/>
    <w:link w:val="12"/>
    <w:semiHidden/>
    <w:qFormat/>
    <w:uiPriority w:val="99"/>
    <w:rPr>
      <w:rFonts w:ascii="Courier New" w:hAnsi="Courier New" w:cs="Courier New" w:eastAsiaTheme="minorEastAsia"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599AC-C97C-40D7-920C-3E2F068599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1447</Words>
  <Characters>1707</Characters>
  <Lines>32</Lines>
  <Paragraphs>9</Paragraphs>
  <TotalTime>10</TotalTime>
  <ScaleCrop>false</ScaleCrop>
  <LinksUpToDate>false</LinksUpToDate>
  <CharactersWithSpaces>2366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2026-09-09T07:59:10Z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638278A91B6247A3A14F33886A0DB3EB_13</vt:lpwstr>
  </property>
</Properties>
</file>