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气体探测器采购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编号：CR-GKBX-2026-HW28</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日</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四川宏达股份公司气体探测器</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编号：CR-GKBX-2025-HW29</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宏达股份川润公司因仪表安全整改需要，需采购气体</w:t>
      </w:r>
      <w:r>
        <w:rPr>
          <w:rFonts w:hint="eastAsia" w:ascii="黑体" w:hAnsi="黑体" w:eastAsia="黑体" w:cs="宋体"/>
          <w:kern w:val="0"/>
          <w:sz w:val="28"/>
          <w:szCs w:val="28"/>
          <w:lang w:val="en-US" w:eastAsia="zh-CN" w:bidi="ar-SA"/>
        </w:rPr>
        <w:t>探测器</w:t>
      </w:r>
      <w:r>
        <w:rPr>
          <w:rFonts w:hint="eastAsia" w:ascii="黑体" w:hAnsi="黑体" w:eastAsia="黑体" w:cs="宋体"/>
          <w:kern w:val="0"/>
          <w:sz w:val="28"/>
          <w:szCs w:val="28"/>
          <w:lang w:val="en-US" w:eastAsia="zh-CN"/>
        </w:rPr>
        <w:t>1批，</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气体</w:t>
      </w:r>
      <w:r>
        <w:rPr>
          <w:rFonts w:hint="eastAsia" w:ascii="黑体" w:hAnsi="黑体" w:eastAsia="黑体" w:cs="宋体"/>
          <w:kern w:val="0"/>
          <w:sz w:val="28"/>
          <w:szCs w:val="28"/>
          <w:lang w:val="en-US" w:eastAsia="zh-CN" w:bidi="ar-SA"/>
        </w:rPr>
        <w:t>探测器</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1718"/>
        <w:gridCol w:w="5466"/>
        <w:gridCol w:w="862"/>
        <w:gridCol w:w="934"/>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718"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5466"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参数配置</w:t>
            </w:r>
          </w:p>
        </w:tc>
        <w:tc>
          <w:tcPr>
            <w:tcW w:w="862"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934"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1718" w:type="dxa"/>
            <w:tcBorders>
              <w:left w:val="single" w:color="auto" w:sz="4" w:space="0"/>
            </w:tcBorders>
            <w:noWrap w:val="0"/>
            <w:vAlign w:val="center"/>
          </w:tcPr>
          <w:p w14:paraId="6CA0CEBB">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点型可燃气体探测器</w:t>
            </w:r>
          </w:p>
        </w:tc>
        <w:tc>
          <w:tcPr>
            <w:tcW w:w="5466" w:type="dxa"/>
            <w:tcBorders>
              <w:right w:val="single" w:color="auto" w:sz="4" w:space="0"/>
            </w:tcBorders>
            <w:shd w:val="clear" w:color="auto" w:fill="auto"/>
            <w:noWrap w:val="0"/>
            <w:vAlign w:val="center"/>
          </w:tcPr>
          <w:p w14:paraId="352AF86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检测:氢气；量程：3-100%LEL；输出：4-20MA（三线）；带一体化声光报警器≥93db；现场LCD显示；</w:t>
            </w:r>
          </w:p>
          <w:p w14:paraId="52051D17">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外壳材质：铸铝材质（L-L)，功耗＜3W（DC24V)，</w:t>
            </w:r>
          </w:p>
          <w:p w14:paraId="3480BF1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电气接口：NPT3/4螺纹（内）；防爆等级:Ex db IIC T6Gb，</w:t>
            </w:r>
          </w:p>
          <w:p w14:paraId="1E8E1E9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防护等级IP66；带2寸安装附件；一级报警:25%LEL</w:t>
            </w:r>
          </w:p>
          <w:p w14:paraId="04C0F21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二级报警:50%LEL</w:t>
            </w:r>
          </w:p>
        </w:tc>
        <w:tc>
          <w:tcPr>
            <w:tcW w:w="862"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10</w:t>
            </w:r>
          </w:p>
        </w:tc>
        <w:tc>
          <w:tcPr>
            <w:tcW w:w="934" w:type="dxa"/>
            <w:tcBorders>
              <w:right w:val="single" w:color="auto" w:sz="4" w:space="0"/>
            </w:tcBorders>
            <w:noWrap w:val="0"/>
            <w:vAlign w:val="center"/>
          </w:tcPr>
          <w:p w14:paraId="2BA9942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62C27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0E7F91C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w:t>
            </w:r>
          </w:p>
        </w:tc>
        <w:tc>
          <w:tcPr>
            <w:tcW w:w="1718" w:type="dxa"/>
            <w:tcBorders>
              <w:left w:val="single" w:color="auto" w:sz="4" w:space="0"/>
            </w:tcBorders>
            <w:noWrap w:val="0"/>
            <w:vAlign w:val="center"/>
          </w:tcPr>
          <w:p w14:paraId="1DB8B218">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有毒有害气体探测器</w:t>
            </w:r>
          </w:p>
        </w:tc>
        <w:tc>
          <w:tcPr>
            <w:tcW w:w="5466" w:type="dxa"/>
            <w:tcBorders>
              <w:right w:val="single" w:color="auto" w:sz="4" w:space="0"/>
            </w:tcBorders>
            <w:shd w:val="clear" w:color="auto" w:fill="auto"/>
            <w:noWrap w:val="0"/>
            <w:vAlign w:val="center"/>
          </w:tcPr>
          <w:p w14:paraId="67F8D9E5">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检测:氨气；量程：0-80PPM；输出：4-20MA（三线）；带一体化声光报警器≥93db；现场LCD显示；</w:t>
            </w:r>
          </w:p>
          <w:p w14:paraId="412AA27C">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外壳材质：铸铝材质（L-L)，功耗＜3W（DC24V)，电气接口：NPT3/4螺纹（内）；防爆等级:Ex db IIC T6Gb，防护等级IP66；带2寸安装附件；一级报警:26ppm</w:t>
            </w:r>
          </w:p>
          <w:p w14:paraId="67F6306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二级报警:52ppm</w:t>
            </w:r>
          </w:p>
        </w:tc>
        <w:tc>
          <w:tcPr>
            <w:tcW w:w="862" w:type="dxa"/>
            <w:tcBorders>
              <w:right w:val="single" w:color="auto" w:sz="4" w:space="0"/>
            </w:tcBorders>
            <w:noWrap w:val="0"/>
            <w:vAlign w:val="center"/>
          </w:tcPr>
          <w:p w14:paraId="0EE83BF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10</w:t>
            </w:r>
          </w:p>
        </w:tc>
        <w:tc>
          <w:tcPr>
            <w:tcW w:w="934" w:type="dxa"/>
            <w:tcBorders>
              <w:right w:val="single" w:color="auto" w:sz="4" w:space="0"/>
            </w:tcBorders>
            <w:noWrap w:val="0"/>
            <w:vAlign w:val="center"/>
          </w:tcPr>
          <w:p w14:paraId="74149BA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0836C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730" w:type="dxa"/>
            <w:tcBorders>
              <w:right w:val="single" w:color="auto" w:sz="4" w:space="0"/>
            </w:tcBorders>
            <w:noWrap w:val="0"/>
            <w:vAlign w:val="center"/>
          </w:tcPr>
          <w:p w14:paraId="55E38E8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3</w:t>
            </w:r>
          </w:p>
        </w:tc>
        <w:tc>
          <w:tcPr>
            <w:tcW w:w="1718" w:type="dxa"/>
            <w:tcBorders>
              <w:left w:val="single" w:color="auto" w:sz="4" w:space="0"/>
            </w:tcBorders>
            <w:noWrap w:val="0"/>
            <w:vAlign w:val="center"/>
          </w:tcPr>
          <w:p w14:paraId="0AB3FFE9">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点型可燃气体探测器</w:t>
            </w:r>
          </w:p>
        </w:tc>
        <w:tc>
          <w:tcPr>
            <w:tcW w:w="5466" w:type="dxa"/>
            <w:tcBorders>
              <w:right w:val="single" w:color="auto" w:sz="4" w:space="0"/>
            </w:tcBorders>
            <w:shd w:val="clear" w:color="auto" w:fill="auto"/>
            <w:noWrap w:val="0"/>
            <w:vAlign w:val="center"/>
          </w:tcPr>
          <w:p w14:paraId="2DFB511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检测:甲烷；量程：3-100%LEL；输出：4-20MA（三线）；带一体化声光报警器≥93db；现场LCD显示；</w:t>
            </w:r>
          </w:p>
          <w:p w14:paraId="03C2558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外壳材质：铸铝材质（L-L)，功耗＜3W（DC24V)，电气接口：NPT3/4螺纹（内）；防爆等级:Ex db IIC T6Gb，防护等级IP66；带2寸安装附件；一级报警:25%LEL</w:t>
            </w:r>
          </w:p>
          <w:p w14:paraId="10D4317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二级报警:50%LEL</w:t>
            </w:r>
          </w:p>
        </w:tc>
        <w:tc>
          <w:tcPr>
            <w:tcW w:w="862" w:type="dxa"/>
            <w:tcBorders>
              <w:right w:val="single" w:color="auto" w:sz="4" w:space="0"/>
            </w:tcBorders>
            <w:noWrap w:val="0"/>
            <w:vAlign w:val="center"/>
          </w:tcPr>
          <w:p w14:paraId="487A211A">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5</w:t>
            </w:r>
          </w:p>
        </w:tc>
        <w:tc>
          <w:tcPr>
            <w:tcW w:w="934" w:type="dxa"/>
            <w:tcBorders>
              <w:right w:val="single" w:color="auto" w:sz="4" w:space="0"/>
            </w:tcBorders>
            <w:noWrap w:val="0"/>
            <w:vAlign w:val="center"/>
          </w:tcPr>
          <w:p w14:paraId="08E8335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6AD36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9710" w:type="dxa"/>
            <w:gridSpan w:val="5"/>
            <w:tcBorders>
              <w:right w:val="single" w:color="auto" w:sz="4" w:space="0"/>
            </w:tcBorders>
            <w:noWrap w:val="0"/>
            <w:vAlign w:val="center"/>
          </w:tcPr>
          <w:p w14:paraId="26099288">
            <w:pPr>
              <w:keepNext w:val="0"/>
              <w:keepLines w:val="0"/>
              <w:pageBreakBefore w:val="0"/>
              <w:kinsoku/>
              <w:wordWrap/>
              <w:overflowPunct/>
              <w:topLinePunct w:val="0"/>
              <w:autoSpaceDE/>
              <w:autoSpaceDN/>
              <w:bidi w:val="0"/>
              <w:spacing w:line="360" w:lineRule="auto"/>
              <w:jc w:val="left"/>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说明：传感器品牌要求：霍尼韦尔/城市技术（英国）、阿尔法（英国）、梦巴博（瑞士）、盛密科技、日本根本或同等品牌。其他参数详见数据表。</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地点：四川省德阳市绵竹市孝德镇茶店子村九组</w:t>
      </w:r>
      <w:r>
        <w:rPr>
          <w:rFonts w:hint="eastAsia" w:ascii="黑体" w:hAnsi="黑体" w:eastAsia="黑体" w:cs="宋体"/>
          <w:kern w:val="0"/>
          <w:sz w:val="28"/>
          <w:szCs w:val="28"/>
          <w:lang w:eastAsia="zh-CN"/>
        </w:rPr>
        <w:t>。</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20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探测器</w:t>
      </w:r>
      <w:r>
        <w:rPr>
          <w:rFonts w:hint="eastAsia" w:ascii="黑体" w:hAnsi="黑体" w:eastAsia="黑体" w:cs="宋体"/>
          <w:kern w:val="0"/>
          <w:sz w:val="28"/>
          <w:szCs w:val="28"/>
        </w:rPr>
        <w:t>规格型号</w:t>
      </w:r>
      <w:r>
        <w:rPr>
          <w:rFonts w:hint="eastAsia" w:ascii="黑体" w:hAnsi="黑体" w:eastAsia="黑体" w:cs="宋体"/>
          <w:kern w:val="0"/>
          <w:sz w:val="28"/>
          <w:szCs w:val="28"/>
          <w:lang w:val="en-US" w:eastAsia="zh-CN"/>
        </w:rPr>
        <w:t>、</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②第三方检测，费用由买方承担。</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获取方式为：自 2026年9月8日10时 00 分至 2026年9月14日 10时 00 分通过四川宏达股份有限公司集采中心招投标平台(以下简称“ 宏达股份集采平台”）（http://jc.sichuanhong</w:t>
      </w:r>
      <w:bookmarkStart w:id="4" w:name="_GoBack"/>
      <w:bookmarkEnd w:id="4"/>
      <w:r>
        <w:rPr>
          <w:rFonts w:hint="eastAsia" w:ascii="黑体" w:hAnsi="黑体" w:eastAsia="黑体" w:cs="黑体"/>
          <w:kern w:val="2"/>
          <w:sz w:val="28"/>
          <w:szCs w:val="28"/>
          <w:lang w:val="en-US" w:eastAsia="zh-CN" w:bidi="ar-SA"/>
        </w:rPr>
        <w:t xml:space="preserve">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递交截止时间：2026年9月 14日10时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spacing w:line="400" w:lineRule="exact"/>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w:t>
      </w:r>
      <w:r>
        <w:rPr>
          <w:rFonts w:hint="eastAsia" w:ascii="黑体" w:hAnsi="黑体" w:eastAsia="黑体" w:cs="宋体"/>
          <w:kern w:val="0"/>
          <w:sz w:val="28"/>
          <w:szCs w:val="28"/>
        </w:rPr>
        <w:t>应提供投标单位出具的委托书、</w:t>
      </w:r>
      <w:r>
        <w:rPr>
          <w:rFonts w:hint="eastAsia" w:ascii="黑体" w:hAnsi="黑体" w:eastAsia="黑体"/>
          <w:sz w:val="28"/>
          <w:szCs w:val="28"/>
        </w:rPr>
        <w:t>项目授权书</w:t>
      </w:r>
      <w:r>
        <w:rPr>
          <w:rFonts w:hint="eastAsia" w:ascii="黑体" w:hAnsi="黑体" w:eastAsia="黑体" w:cs="宋体"/>
          <w:kern w:val="0"/>
          <w:sz w:val="28"/>
          <w:szCs w:val="28"/>
        </w:rPr>
        <w:t>及身份证明文件。</w:t>
      </w:r>
    </w:p>
    <w:p w14:paraId="7DDAFCD2">
      <w:pPr>
        <w:spacing w:line="40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②比选申请人</w:t>
      </w:r>
      <w:r>
        <w:rPr>
          <w:rFonts w:hint="eastAsia" w:ascii="黑体" w:hAnsi="黑体" w:eastAsia="黑体" w:cs="宋体"/>
          <w:kern w:val="0"/>
          <w:sz w:val="28"/>
          <w:szCs w:val="28"/>
        </w:rPr>
        <w:t>应提供公司资质文件，包括但不限于：营业执照（三证合一）、计量许可证、型式试验报告等相关资料</w:t>
      </w:r>
      <w:r>
        <w:rPr>
          <w:rFonts w:hint="eastAsia" w:ascii="黑体" w:hAnsi="黑体" w:eastAsia="黑体" w:cs="仿宋_GB2312"/>
          <w:sz w:val="28"/>
          <w:szCs w:val="28"/>
          <w:lang w:val="en-US" w:eastAsia="zh-CN"/>
        </w:rPr>
        <w:t>。代理商投标另需提供授权文件。</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探测器规格型号不限。</w:t>
      </w:r>
    </w:p>
    <w:p w14:paraId="4D244DAF">
      <w:pPr>
        <w:numPr>
          <w:ilvl w:val="0"/>
          <w:numId w:val="0"/>
        </w:numPr>
        <w:spacing w:line="420" w:lineRule="exact"/>
        <w:ind w:leftChars="0"/>
        <w:rPr>
          <w:rFonts w:hint="default" w:ascii="黑体" w:hAnsi="黑体" w:eastAsia="黑体" w:cs="Segoe UI"/>
          <w:kern w:val="0"/>
          <w:sz w:val="28"/>
          <w:szCs w:val="28"/>
          <w:lang w:val="en-US" w:eastAsia="zh-CN"/>
        </w:rPr>
      </w:pPr>
      <w:r>
        <w:rPr>
          <w:rFonts w:hint="eastAsia" w:ascii="黑体" w:hAnsi="黑体" w:eastAsia="黑体" w:cs="黑体"/>
          <w:kern w:val="0"/>
          <w:sz w:val="28"/>
          <w:szCs w:val="28"/>
          <w:lang w:val="en-US" w:eastAsia="zh-CN"/>
        </w:rPr>
        <w:t>④</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r>
        <w:rPr>
          <w:rFonts w:hint="eastAsia" w:ascii="黑体" w:hAnsi="黑体" w:eastAsia="黑体" w:cs="Segoe UI"/>
          <w:kern w:val="0"/>
          <w:sz w:val="28"/>
          <w:szCs w:val="28"/>
          <w:lang w:val="en-US" w:eastAsia="zh-CN"/>
        </w:rPr>
        <w:t>产品名称、规格型号务必与实物铭牌一致。</w:t>
      </w:r>
    </w:p>
    <w:p w14:paraId="3A94AC3E">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技术规格书。比选申请人根据</w:t>
      </w:r>
      <w:r>
        <w:rPr>
          <w:rFonts w:hint="eastAsia" w:ascii="黑体" w:hAnsi="黑体" w:eastAsia="黑体" w:cs="Segoe UI"/>
          <w:kern w:val="0"/>
          <w:sz w:val="28"/>
          <w:szCs w:val="28"/>
          <w:lang w:val="en-US" w:eastAsia="zh-CN"/>
        </w:rPr>
        <w:t>探测器</w:t>
      </w:r>
      <w:r>
        <w:rPr>
          <w:rFonts w:hint="eastAsia" w:ascii="黑体" w:hAnsi="黑体" w:eastAsia="黑体" w:cs="仿宋_GB2312"/>
          <w:sz w:val="28"/>
          <w:szCs w:val="28"/>
          <w:lang w:val="en-US" w:eastAsia="zh-CN"/>
        </w:rPr>
        <w:t>数据表要求，提供技术规格书，注明产品准确名称、规格型号、安装方式、报警点设置、传感器规格型号及生产商等相关参数。</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6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⑥</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3F9BE77B">
      <w:pPr>
        <w:numPr>
          <w:ilvl w:val="0"/>
          <w:numId w:val="0"/>
        </w:num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Times New Roman"/>
          <w:sz w:val="28"/>
          <w:szCs w:val="28"/>
          <w:lang w:val="en-US" w:eastAsia="zh-CN"/>
        </w:rPr>
        <w:t>本项目采用符合响应性条款的最低价法进行比选，一次性报价。</w:t>
      </w:r>
    </w:p>
    <w:p w14:paraId="56674FAE">
      <w:pPr>
        <w:numPr>
          <w:ilvl w:val="0"/>
          <w:numId w:val="0"/>
        </w:num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技术咨询：林先生13778234955 商务咨询：姚先生13908109048</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D8E37F">
      <w:pPr>
        <w:spacing w:line="360" w:lineRule="exact"/>
        <w:rPr>
          <w:rFonts w:hint="eastAsia" w:ascii="黑体" w:hAnsi="黑体" w:eastAsia="黑体" w:cs="宋体"/>
          <w:b/>
          <w:kern w:val="0"/>
          <w:sz w:val="28"/>
          <w:szCs w:val="28"/>
          <w:lang w:val="en-US" w:eastAsia="zh-CN"/>
        </w:rPr>
      </w:pPr>
    </w:p>
    <w:p w14:paraId="5AF614C3">
      <w:pPr>
        <w:spacing w:line="360" w:lineRule="exact"/>
        <w:rPr>
          <w:rFonts w:hint="eastAsia" w:ascii="黑体" w:hAnsi="黑体" w:eastAsia="黑体" w:cs="宋体"/>
          <w:b/>
          <w:kern w:val="0"/>
          <w:sz w:val="28"/>
          <w:szCs w:val="28"/>
          <w:lang w:val="en-US" w:eastAsia="zh-CN"/>
        </w:rPr>
      </w:pPr>
    </w:p>
    <w:p w14:paraId="634E5C38">
      <w:pPr>
        <w:spacing w:line="360" w:lineRule="exact"/>
        <w:rPr>
          <w:rFonts w:hint="eastAsia" w:ascii="黑体" w:hAnsi="黑体" w:eastAsia="黑体" w:cs="宋体"/>
          <w:b/>
          <w:kern w:val="0"/>
          <w:sz w:val="28"/>
          <w:szCs w:val="28"/>
          <w:lang w:val="en-US" w:eastAsia="zh-CN"/>
        </w:rPr>
      </w:pPr>
    </w:p>
    <w:p w14:paraId="6CCB220D">
      <w:pPr>
        <w:spacing w:line="360" w:lineRule="exact"/>
        <w:rPr>
          <w:rFonts w:hint="eastAsia" w:ascii="黑体" w:hAnsi="黑体" w:eastAsia="黑体" w:cs="宋体"/>
          <w:b/>
          <w:kern w:val="0"/>
          <w:sz w:val="28"/>
          <w:szCs w:val="28"/>
          <w:lang w:val="en-US" w:eastAsia="zh-CN"/>
        </w:rPr>
      </w:pPr>
    </w:p>
    <w:p w14:paraId="292F8E8D">
      <w:pPr>
        <w:spacing w:line="360" w:lineRule="exact"/>
        <w:rPr>
          <w:rFonts w:hint="eastAsia" w:ascii="黑体" w:hAnsi="黑体" w:eastAsia="黑体" w:cs="宋体"/>
          <w:b/>
          <w:kern w:val="0"/>
          <w:sz w:val="28"/>
          <w:szCs w:val="28"/>
          <w:lang w:val="en-US" w:eastAsia="zh-CN"/>
        </w:rPr>
      </w:pPr>
    </w:p>
    <w:p w14:paraId="700BC1BB">
      <w:pPr>
        <w:spacing w:line="360" w:lineRule="exact"/>
        <w:rPr>
          <w:rFonts w:hint="eastAsia" w:ascii="黑体" w:hAnsi="黑体" w:eastAsia="黑体" w:cs="宋体"/>
          <w:b/>
          <w:kern w:val="0"/>
          <w:sz w:val="28"/>
          <w:szCs w:val="28"/>
          <w:lang w:val="en-US" w:eastAsia="zh-CN"/>
        </w:rPr>
      </w:pPr>
    </w:p>
    <w:p w14:paraId="225BD9C5">
      <w:pPr>
        <w:spacing w:line="360" w:lineRule="exact"/>
        <w:rPr>
          <w:rFonts w:hint="eastAsia" w:ascii="黑体" w:hAnsi="黑体" w:eastAsia="黑体" w:cs="宋体"/>
          <w:b/>
          <w:kern w:val="0"/>
          <w:sz w:val="28"/>
          <w:szCs w:val="28"/>
          <w:lang w:val="en-US" w:eastAsia="zh-CN"/>
        </w:rPr>
      </w:pPr>
    </w:p>
    <w:p w14:paraId="40EE21B2">
      <w:pPr>
        <w:spacing w:line="360" w:lineRule="exact"/>
        <w:rPr>
          <w:rFonts w:hint="eastAsia" w:ascii="黑体" w:hAnsi="黑体" w:eastAsia="黑体" w:cs="宋体"/>
          <w:b/>
          <w:kern w:val="0"/>
          <w:sz w:val="28"/>
          <w:szCs w:val="28"/>
          <w:lang w:val="en-US" w:eastAsia="zh-CN"/>
        </w:rPr>
      </w:pPr>
    </w:p>
    <w:p w14:paraId="4D17E4CD">
      <w:pPr>
        <w:spacing w:line="360" w:lineRule="exact"/>
        <w:rPr>
          <w:rFonts w:hint="eastAsia" w:ascii="黑体" w:hAnsi="黑体" w:eastAsia="黑体" w:cs="宋体"/>
          <w:b/>
          <w:kern w:val="0"/>
          <w:sz w:val="28"/>
          <w:szCs w:val="28"/>
          <w:lang w:val="en-US" w:eastAsia="zh-CN"/>
        </w:rPr>
      </w:pPr>
    </w:p>
    <w:p w14:paraId="30327911">
      <w:pPr>
        <w:spacing w:line="360" w:lineRule="exact"/>
        <w:rPr>
          <w:rFonts w:hint="eastAsia" w:ascii="黑体" w:hAnsi="黑体" w:eastAsia="黑体" w:cs="宋体"/>
          <w:b/>
          <w:kern w:val="0"/>
          <w:sz w:val="28"/>
          <w:szCs w:val="28"/>
          <w:lang w:val="en-US" w:eastAsia="zh-CN"/>
        </w:rPr>
      </w:pPr>
    </w:p>
    <w:p w14:paraId="7D5FF1F7">
      <w:pPr>
        <w:spacing w:line="360" w:lineRule="exact"/>
        <w:rPr>
          <w:rFonts w:hint="eastAsia" w:ascii="黑体" w:hAnsi="黑体" w:eastAsia="黑体" w:cs="宋体"/>
          <w:b/>
          <w:kern w:val="0"/>
          <w:sz w:val="28"/>
          <w:szCs w:val="28"/>
          <w:lang w:val="en-US" w:eastAsia="zh-CN"/>
        </w:rPr>
      </w:pPr>
    </w:p>
    <w:p w14:paraId="51349380">
      <w:pPr>
        <w:spacing w:line="360" w:lineRule="exact"/>
        <w:rPr>
          <w:rFonts w:hint="eastAsia" w:ascii="黑体" w:hAnsi="黑体" w:eastAsia="黑体" w:cs="宋体"/>
          <w:b/>
          <w:kern w:val="0"/>
          <w:sz w:val="28"/>
          <w:szCs w:val="28"/>
          <w:lang w:val="en-US" w:eastAsia="zh-CN"/>
        </w:rPr>
      </w:pPr>
    </w:p>
    <w:p w14:paraId="54158910">
      <w:pPr>
        <w:spacing w:line="360" w:lineRule="exact"/>
        <w:rPr>
          <w:rFonts w:hint="eastAsia" w:ascii="黑体" w:hAnsi="黑体" w:eastAsia="黑体" w:cs="宋体"/>
          <w:b/>
          <w:kern w:val="0"/>
          <w:sz w:val="28"/>
          <w:szCs w:val="28"/>
          <w:lang w:val="en-US" w:eastAsia="zh-CN"/>
        </w:rPr>
      </w:pPr>
    </w:p>
    <w:p w14:paraId="238A4AC4">
      <w:pPr>
        <w:spacing w:line="360" w:lineRule="exact"/>
        <w:rPr>
          <w:rFonts w:hint="eastAsia" w:ascii="黑体" w:hAnsi="黑体" w:eastAsia="黑体" w:cs="宋体"/>
          <w:b/>
          <w:kern w:val="0"/>
          <w:sz w:val="28"/>
          <w:szCs w:val="28"/>
          <w:lang w:val="en-US" w:eastAsia="zh-CN"/>
        </w:rPr>
      </w:pPr>
    </w:p>
    <w:p w14:paraId="67E8566B">
      <w:pPr>
        <w:spacing w:line="360" w:lineRule="exact"/>
        <w:rPr>
          <w:rFonts w:hint="eastAsia" w:ascii="黑体" w:hAnsi="黑体" w:eastAsia="黑体" w:cs="宋体"/>
          <w:b/>
          <w:kern w:val="0"/>
          <w:sz w:val="28"/>
          <w:szCs w:val="28"/>
          <w:lang w:val="en-US" w:eastAsia="zh-CN"/>
        </w:rPr>
      </w:pPr>
    </w:p>
    <w:p w14:paraId="29181604">
      <w:pPr>
        <w:spacing w:line="360" w:lineRule="exact"/>
        <w:rPr>
          <w:rFonts w:hint="eastAsia" w:ascii="黑体" w:hAnsi="黑体" w:eastAsia="黑体" w:cs="宋体"/>
          <w:b/>
          <w:kern w:val="0"/>
          <w:sz w:val="28"/>
          <w:szCs w:val="28"/>
          <w:lang w:val="en-US" w:eastAsia="zh-CN"/>
        </w:rPr>
      </w:pPr>
    </w:p>
    <w:p w14:paraId="46E3001C">
      <w:pPr>
        <w:spacing w:line="360" w:lineRule="exact"/>
        <w:rPr>
          <w:rFonts w:hint="eastAsia" w:ascii="黑体" w:hAnsi="黑体" w:eastAsia="黑体" w:cs="宋体"/>
          <w:b/>
          <w:kern w:val="0"/>
          <w:sz w:val="28"/>
          <w:szCs w:val="28"/>
          <w:lang w:val="en-US" w:eastAsia="zh-CN"/>
        </w:rPr>
      </w:pPr>
    </w:p>
    <w:p w14:paraId="3183D2E7">
      <w:pPr>
        <w:spacing w:line="360" w:lineRule="exact"/>
        <w:rPr>
          <w:rFonts w:hint="eastAsia" w:ascii="黑体" w:hAnsi="黑体" w:eastAsia="黑体" w:cs="宋体"/>
          <w:b/>
          <w:kern w:val="0"/>
          <w:sz w:val="28"/>
          <w:szCs w:val="28"/>
          <w:lang w:val="en-US" w:eastAsia="zh-CN"/>
        </w:rPr>
      </w:pPr>
    </w:p>
    <w:p w14:paraId="42CB7F94">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535B11D4">
      <w:pPr>
        <w:spacing w:line="360" w:lineRule="exact"/>
        <w:rPr>
          <w:rFonts w:hint="eastAsia" w:ascii="黑体" w:hAnsi="黑体" w:eastAsia="黑体" w:cs="宋体"/>
          <w:b/>
          <w:kern w:val="0"/>
          <w:sz w:val="28"/>
          <w:szCs w:val="28"/>
          <w:lang w:val="en-US" w:eastAsia="zh-CN"/>
        </w:rPr>
      </w:pPr>
    </w:p>
    <w:p w14:paraId="104220A3">
      <w:pPr>
        <w:spacing w:line="360" w:lineRule="exact"/>
        <w:rPr>
          <w:rFonts w:hint="eastAsia" w:ascii="黑体" w:hAnsi="黑体" w:eastAsia="黑体" w:cs="宋体"/>
          <w:b/>
          <w:kern w:val="0"/>
          <w:sz w:val="28"/>
          <w:szCs w:val="28"/>
          <w:lang w:val="en-US" w:eastAsia="zh-CN"/>
        </w:rPr>
      </w:pPr>
    </w:p>
    <w:p w14:paraId="235C310C">
      <w:pPr>
        <w:spacing w:line="360" w:lineRule="exact"/>
        <w:rPr>
          <w:rFonts w:hint="eastAsia" w:ascii="黑体" w:hAnsi="黑体" w:eastAsia="黑体" w:cs="宋体"/>
          <w:b/>
          <w:kern w:val="0"/>
          <w:sz w:val="28"/>
          <w:szCs w:val="28"/>
          <w:lang w:val="en-US" w:eastAsia="zh-CN"/>
        </w:rPr>
      </w:pPr>
    </w:p>
    <w:p w14:paraId="488FC81A">
      <w:pPr>
        <w:spacing w:line="360" w:lineRule="exact"/>
        <w:rPr>
          <w:rFonts w:hint="eastAsia" w:ascii="黑体" w:hAnsi="黑体" w:eastAsia="黑体" w:cs="宋体"/>
          <w:b/>
          <w:kern w:val="0"/>
          <w:sz w:val="28"/>
          <w:szCs w:val="28"/>
          <w:lang w:val="en-US" w:eastAsia="zh-CN"/>
        </w:rPr>
      </w:pPr>
    </w:p>
    <w:p w14:paraId="5EFBE5B7">
      <w:pPr>
        <w:spacing w:line="360" w:lineRule="exact"/>
        <w:rPr>
          <w:rFonts w:hint="eastAsia" w:ascii="黑体" w:hAnsi="黑体" w:eastAsia="黑体" w:cs="宋体"/>
          <w:b/>
          <w:kern w:val="0"/>
          <w:sz w:val="28"/>
          <w:szCs w:val="28"/>
          <w:lang w:val="en-US" w:eastAsia="zh-CN"/>
        </w:rPr>
      </w:pPr>
    </w:p>
    <w:p w14:paraId="330DEB28">
      <w:pPr>
        <w:spacing w:line="360" w:lineRule="exact"/>
        <w:rPr>
          <w:rFonts w:hint="eastAsia" w:ascii="黑体" w:hAnsi="黑体" w:eastAsia="黑体" w:cs="宋体"/>
          <w:b/>
          <w:kern w:val="0"/>
          <w:sz w:val="28"/>
          <w:szCs w:val="28"/>
          <w:lang w:val="en-US" w:eastAsia="zh-CN"/>
        </w:rPr>
      </w:pPr>
    </w:p>
    <w:p w14:paraId="50EAA6D6">
      <w:pPr>
        <w:spacing w:line="360" w:lineRule="exact"/>
        <w:rPr>
          <w:rFonts w:hint="eastAsia" w:ascii="黑体" w:hAnsi="黑体" w:eastAsia="黑体" w:cs="宋体"/>
          <w:b/>
          <w:kern w:val="0"/>
          <w:sz w:val="28"/>
          <w:szCs w:val="28"/>
          <w:lang w:val="en-US" w:eastAsia="zh-CN"/>
        </w:rPr>
      </w:pPr>
    </w:p>
    <w:p w14:paraId="19D237E1">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32"/>
          <w:szCs w:val="32"/>
          <w:lang w:eastAsia="zh-CN"/>
        </w:rPr>
      </w:pPr>
      <w:r>
        <w:rPr>
          <w:rFonts w:hint="eastAsia" w:ascii="黑体" w:hAnsi="黑体" w:eastAsia="黑体" w:cs="宋体"/>
          <w:b/>
          <w:kern w:val="0"/>
          <w:sz w:val="32"/>
          <w:szCs w:val="32"/>
          <w:lang w:val="en-US" w:eastAsia="zh-CN"/>
        </w:rPr>
        <w:t>第二章   气体</w:t>
      </w:r>
      <w:r>
        <w:rPr>
          <w:rFonts w:hint="eastAsia" w:ascii="黑体" w:hAnsi="黑体" w:eastAsia="黑体" w:cs="Segoe UI"/>
          <w:b/>
          <w:bCs w:val="0"/>
          <w:kern w:val="0"/>
          <w:sz w:val="30"/>
          <w:szCs w:val="30"/>
          <w:lang w:val="en-US" w:eastAsia="zh-CN"/>
        </w:rPr>
        <w:t>探测器</w:t>
      </w:r>
      <w:r>
        <w:rPr>
          <w:rFonts w:hint="eastAsia" w:ascii="黑体" w:hAnsi="黑体" w:eastAsia="黑体" w:cs="黑体"/>
          <w:color w:val="auto"/>
          <w:sz w:val="32"/>
          <w:szCs w:val="32"/>
        </w:rPr>
        <w:t>采</w:t>
      </w:r>
      <w:r>
        <w:rPr>
          <w:rFonts w:hint="eastAsia" w:ascii="黑体" w:hAnsi="黑体" w:eastAsia="黑体" w:cs="黑体"/>
          <w:b/>
          <w:bCs/>
          <w:sz w:val="32"/>
          <w:szCs w:val="32"/>
        </w:rPr>
        <w:t>购</w:t>
      </w:r>
      <w:r>
        <w:rPr>
          <w:rFonts w:hint="eastAsia" w:ascii="黑体" w:hAnsi="黑体" w:eastAsia="黑体" w:cs="黑体"/>
          <w:b/>
          <w:bCs/>
          <w:sz w:val="32"/>
          <w:szCs w:val="32"/>
          <w:lang w:val="en-US" w:eastAsia="zh-CN"/>
        </w:rPr>
        <w:t>项目</w:t>
      </w:r>
    </w:p>
    <w:p w14:paraId="7DB94885">
      <w:pPr>
        <w:spacing w:line="360" w:lineRule="exact"/>
        <w:rPr>
          <w:rFonts w:hint="default" w:ascii="黑体" w:hAnsi="黑体" w:eastAsia="黑体" w:cs="宋体"/>
          <w:b/>
          <w:kern w:val="0"/>
          <w:sz w:val="32"/>
          <w:szCs w:val="32"/>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5CCC70A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宋体" w:hAnsi="宋体" w:cs="宋体"/>
          <w:b/>
          <w:bCs/>
          <w:color w:val="auto"/>
          <w:sz w:val="28"/>
          <w:szCs w:val="28"/>
        </w:rPr>
        <w:br w:type="page"/>
      </w:r>
      <w:bookmarkStart w:id="0" w:name="_Toc30198"/>
      <w:bookmarkStart w:id="1" w:name="_Toc9978"/>
      <w:bookmarkStart w:id="2" w:name="_Toc4384"/>
      <w:r>
        <w:rPr>
          <w:rFonts w:hint="eastAsia" w:cs="黑体" w:asciiTheme="minorEastAsia" w:hAnsiTheme="minorEastAsia" w:eastAsiaTheme="minorEastAsia"/>
          <w:b/>
          <w:bCs/>
          <w:kern w:val="44"/>
          <w:sz w:val="28"/>
          <w:szCs w:val="28"/>
          <w:highlight w:val="none"/>
          <w:lang w:val="zh-CN"/>
        </w:rPr>
        <w:t>（一）</w:t>
      </w:r>
      <w:r>
        <w:rPr>
          <w:rFonts w:hint="eastAsia" w:ascii="黑体" w:hAnsi="黑体" w:eastAsia="黑体" w:cs="宋体"/>
          <w:kern w:val="0"/>
          <w:sz w:val="28"/>
          <w:szCs w:val="28"/>
        </w:rPr>
        <w:t>投标单位出具的委托书、</w:t>
      </w:r>
      <w:r>
        <w:rPr>
          <w:rFonts w:hint="eastAsia" w:ascii="黑体" w:hAnsi="黑体" w:eastAsia="黑体"/>
          <w:sz w:val="28"/>
          <w:szCs w:val="28"/>
        </w:rPr>
        <w:t>项目授权书</w:t>
      </w:r>
      <w:r>
        <w:rPr>
          <w:rFonts w:hint="eastAsia" w:ascii="黑体" w:hAnsi="黑体" w:eastAsia="黑体" w:cs="宋体"/>
          <w:kern w:val="0"/>
          <w:sz w:val="28"/>
          <w:szCs w:val="28"/>
        </w:rPr>
        <w:t>及身份证明文件</w:t>
      </w:r>
    </w:p>
    <w:p w14:paraId="07E367AB">
      <w:pPr>
        <w:kinsoku/>
        <w:overflowPunct/>
        <w:topLinePunct w:val="0"/>
        <w:bidi w:val="0"/>
        <w:ind w:left="0" w:leftChars="0" w:right="0" w:rightChars="0" w:firstLine="480" w:firstLineChars="200"/>
        <w:jc w:val="both"/>
        <w:rPr>
          <w:rFonts w:hint="eastAsia"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69FA86B8">
      <w:pPr>
        <w:numPr>
          <w:ilvl w:val="0"/>
          <w:numId w:val="0"/>
        </w:numPr>
        <w:spacing w:line="420" w:lineRule="exact"/>
        <w:ind w:leftChars="0"/>
        <w:rPr>
          <w:rFonts w:hint="eastAsia" w:ascii="黑体" w:hAnsi="黑体" w:eastAsia="黑体" w:cs="仿宋_GB2312"/>
          <w:sz w:val="28"/>
          <w:szCs w:val="28"/>
          <w:lang w:val="en-US" w:eastAsia="zh-CN"/>
        </w:rPr>
      </w:pPr>
      <w:r>
        <w:rPr>
          <w:rFonts w:hint="eastAsia" w:cs="黑体" w:asciiTheme="minorEastAsia" w:hAnsiTheme="minorEastAsia"/>
          <w:b/>
          <w:bCs/>
          <w:kern w:val="44"/>
          <w:sz w:val="28"/>
          <w:szCs w:val="28"/>
          <w:highlight w:val="none"/>
          <w:lang w:val="en-US" w:eastAsia="zh-CN"/>
        </w:rPr>
        <w:t>（二）</w:t>
      </w:r>
      <w:r>
        <w:rPr>
          <w:rFonts w:hint="eastAsia" w:ascii="黑体" w:hAnsi="黑体" w:eastAsia="黑体" w:cs="仿宋_GB2312"/>
          <w:sz w:val="28"/>
          <w:szCs w:val="28"/>
          <w:lang w:val="en-US" w:eastAsia="zh-CN"/>
        </w:rPr>
        <w:t>比选申请人</w:t>
      </w:r>
      <w:r>
        <w:rPr>
          <w:rFonts w:hint="eastAsia" w:ascii="黑体" w:hAnsi="黑体" w:eastAsia="黑体" w:cs="宋体"/>
          <w:kern w:val="0"/>
          <w:sz w:val="28"/>
          <w:szCs w:val="28"/>
        </w:rPr>
        <w:t>资质文件，包括但不限于：营业执照（三证合一）、计量许可证、型式试验报告等相关资料</w:t>
      </w:r>
      <w:r>
        <w:rPr>
          <w:rFonts w:hint="eastAsia" w:ascii="黑体" w:hAnsi="黑体" w:eastAsia="黑体" w:cs="仿宋_GB2312"/>
          <w:sz w:val="28"/>
          <w:szCs w:val="28"/>
          <w:lang w:val="en-US" w:eastAsia="zh-CN"/>
        </w:rPr>
        <w:t>。代理商投标另需提供授权文件。</w:t>
      </w:r>
    </w:p>
    <w:p w14:paraId="2FA59D29">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p>
    <w:bookmarkEnd w:id="0"/>
    <w:bookmarkEnd w:id="1"/>
    <w:bookmarkEnd w:id="2"/>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D78DBA">
      <w:pPr>
        <w:kinsoku/>
        <w:overflowPunct/>
        <w:topLinePunct w:val="0"/>
        <w:bidi w:val="0"/>
        <w:ind w:right="0" w:rightChars="0"/>
        <w:jc w:val="left"/>
        <w:rPr>
          <w:rFonts w:hint="eastAsia" w:ascii="宋体" w:hAnsi="宋体" w:cs="宋体"/>
          <w:b/>
          <w:bCs/>
          <w:color w:val="auto"/>
          <w:sz w:val="28"/>
          <w:szCs w:val="28"/>
        </w:rPr>
      </w:pPr>
    </w:p>
    <w:p w14:paraId="029F33F4">
      <w:pPr>
        <w:kinsoku/>
        <w:overflowPunct/>
        <w:topLinePunct w:val="0"/>
        <w:bidi w:val="0"/>
        <w:ind w:right="0" w:rightChars="0"/>
        <w:jc w:val="both"/>
        <w:rPr>
          <w:rFonts w:hint="eastAsia" w:ascii="宋体" w:hAnsi="宋体" w:cs="宋体"/>
          <w:b/>
          <w:bCs/>
          <w:color w:val="auto"/>
          <w:sz w:val="28"/>
          <w:szCs w:val="28"/>
          <w:lang w:val="en-US" w:eastAsia="zh-CN"/>
        </w:rPr>
      </w:pPr>
    </w:p>
    <w:p w14:paraId="12D29F3A">
      <w:pPr>
        <w:kinsoku/>
        <w:overflowPunct/>
        <w:topLinePunct w:val="0"/>
        <w:bidi w:val="0"/>
        <w:ind w:right="0" w:rightChars="0"/>
        <w:jc w:val="both"/>
        <w:rPr>
          <w:rFonts w:hint="eastAsia" w:ascii="宋体" w:hAnsi="宋体" w:cs="宋体"/>
          <w:b/>
          <w:bCs/>
          <w:color w:val="auto"/>
          <w:sz w:val="28"/>
          <w:szCs w:val="28"/>
          <w:lang w:val="en-US" w:eastAsia="zh-CN"/>
        </w:rPr>
      </w:pPr>
    </w:p>
    <w:p w14:paraId="48DB0473">
      <w:pPr>
        <w:kinsoku/>
        <w:overflowPunct/>
        <w:topLinePunct w:val="0"/>
        <w:bidi w:val="0"/>
        <w:ind w:right="0" w:rightChars="0"/>
        <w:jc w:val="both"/>
        <w:rPr>
          <w:rFonts w:hint="eastAsia" w:ascii="宋体" w:hAnsi="宋体" w:cs="宋体"/>
          <w:b/>
          <w:bCs/>
          <w:color w:val="auto"/>
          <w:sz w:val="28"/>
          <w:szCs w:val="28"/>
          <w:lang w:val="en-US" w:eastAsia="zh-CN"/>
        </w:rPr>
      </w:pPr>
    </w:p>
    <w:p w14:paraId="499EE737">
      <w:pPr>
        <w:kinsoku/>
        <w:overflowPunct/>
        <w:topLinePunct w:val="0"/>
        <w:bidi w:val="0"/>
        <w:ind w:right="0" w:rightChars="0"/>
        <w:jc w:val="both"/>
        <w:rPr>
          <w:rFonts w:hint="eastAsia" w:ascii="宋体" w:hAnsi="宋体" w:cs="宋体"/>
          <w:b/>
          <w:bCs/>
          <w:color w:val="auto"/>
          <w:sz w:val="28"/>
          <w:szCs w:val="28"/>
          <w:lang w:val="en-US" w:eastAsia="zh-CN"/>
        </w:rPr>
      </w:pPr>
    </w:p>
    <w:p w14:paraId="3612B39D">
      <w:pPr>
        <w:numPr>
          <w:ilvl w:val="0"/>
          <w:numId w:val="2"/>
        </w:numPr>
        <w:kinsoku/>
        <w:overflowPunct/>
        <w:topLinePunct w:val="0"/>
        <w:bidi w:val="0"/>
        <w:ind w:right="0" w:rightChars="0"/>
        <w:jc w:val="both"/>
        <w:rPr>
          <w:rFonts w:hint="eastAsia" w:ascii="宋体" w:hAnsi="宋体" w:cs="宋体"/>
          <w:b/>
          <w:bCs/>
          <w:color w:val="auto"/>
          <w:sz w:val="28"/>
          <w:szCs w:val="28"/>
        </w:rPr>
      </w:pPr>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报警器探测器规格型号不限。</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25D7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FDA223C">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27A357CA">
            <w:pPr>
              <w:pStyle w:val="35"/>
              <w:ind w:firstLine="0" w:firstLineChars="0"/>
              <w:jc w:val="center"/>
              <w:rPr>
                <w:rFonts w:hint="eastAsia" w:ascii="黑体" w:hAnsi="黑体" w:eastAsia="黑体" w:cs="Segoe UI"/>
                <w:kern w:val="0"/>
                <w:sz w:val="28"/>
                <w:szCs w:val="28"/>
              </w:rPr>
            </w:pPr>
          </w:p>
        </w:tc>
        <w:tc>
          <w:tcPr>
            <w:tcW w:w="1791" w:type="dxa"/>
          </w:tcPr>
          <w:p w14:paraId="27FFF267">
            <w:pPr>
              <w:pStyle w:val="35"/>
              <w:ind w:right="560" w:firstLine="980" w:firstLineChars="350"/>
              <w:jc w:val="left"/>
              <w:rPr>
                <w:rFonts w:hint="eastAsia" w:ascii="黑体" w:hAnsi="黑体" w:eastAsia="黑体" w:cs="Segoe UI"/>
                <w:kern w:val="0"/>
                <w:sz w:val="28"/>
                <w:szCs w:val="28"/>
              </w:rPr>
            </w:pPr>
          </w:p>
        </w:tc>
        <w:tc>
          <w:tcPr>
            <w:tcW w:w="1355" w:type="dxa"/>
          </w:tcPr>
          <w:p w14:paraId="58BBD2A8">
            <w:pPr>
              <w:pStyle w:val="35"/>
              <w:ind w:firstLine="0" w:firstLineChars="0"/>
              <w:jc w:val="center"/>
              <w:rPr>
                <w:rFonts w:hint="eastAsia" w:ascii="黑体" w:hAnsi="黑体" w:eastAsia="黑体" w:cs="Segoe UI"/>
                <w:kern w:val="0"/>
                <w:sz w:val="28"/>
                <w:szCs w:val="28"/>
              </w:rPr>
            </w:pPr>
          </w:p>
        </w:tc>
        <w:tc>
          <w:tcPr>
            <w:tcW w:w="1356" w:type="dxa"/>
          </w:tcPr>
          <w:p w14:paraId="69EF217F">
            <w:pPr>
              <w:pStyle w:val="35"/>
              <w:ind w:firstLine="0" w:firstLineChars="0"/>
              <w:jc w:val="right"/>
              <w:rPr>
                <w:rFonts w:hint="eastAsia" w:ascii="黑体" w:hAnsi="黑体" w:eastAsia="黑体" w:cs="Segoe UI"/>
                <w:kern w:val="0"/>
                <w:sz w:val="28"/>
                <w:szCs w:val="28"/>
              </w:rPr>
            </w:pPr>
          </w:p>
        </w:tc>
        <w:tc>
          <w:tcPr>
            <w:tcW w:w="1356" w:type="dxa"/>
          </w:tcPr>
          <w:p w14:paraId="413703C6">
            <w:pPr>
              <w:pStyle w:val="35"/>
              <w:ind w:firstLine="0" w:firstLineChars="0"/>
              <w:jc w:val="right"/>
              <w:rPr>
                <w:rFonts w:ascii="黑体" w:hAnsi="黑体" w:eastAsia="黑体" w:cs="Segoe UI"/>
                <w:kern w:val="0"/>
                <w:sz w:val="28"/>
                <w:szCs w:val="28"/>
              </w:rPr>
            </w:pPr>
          </w:p>
        </w:tc>
      </w:tr>
      <w:tr w14:paraId="7056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83B07FE">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1F622B97">
            <w:pPr>
              <w:pStyle w:val="35"/>
              <w:ind w:firstLine="0" w:firstLineChars="0"/>
              <w:jc w:val="center"/>
              <w:rPr>
                <w:rFonts w:hint="eastAsia" w:ascii="黑体" w:hAnsi="黑体" w:eastAsia="黑体" w:cs="Segoe UI"/>
                <w:kern w:val="0"/>
                <w:sz w:val="28"/>
                <w:szCs w:val="28"/>
              </w:rPr>
            </w:pPr>
          </w:p>
        </w:tc>
        <w:tc>
          <w:tcPr>
            <w:tcW w:w="1791" w:type="dxa"/>
          </w:tcPr>
          <w:p w14:paraId="3D751995">
            <w:pPr>
              <w:pStyle w:val="35"/>
              <w:ind w:right="560" w:firstLine="980" w:firstLineChars="350"/>
              <w:jc w:val="left"/>
              <w:rPr>
                <w:rFonts w:hint="eastAsia" w:ascii="黑体" w:hAnsi="黑体" w:eastAsia="黑体" w:cs="Segoe UI"/>
                <w:kern w:val="0"/>
                <w:sz w:val="28"/>
                <w:szCs w:val="28"/>
              </w:rPr>
            </w:pPr>
          </w:p>
        </w:tc>
        <w:tc>
          <w:tcPr>
            <w:tcW w:w="1355" w:type="dxa"/>
          </w:tcPr>
          <w:p w14:paraId="40CB5EE1">
            <w:pPr>
              <w:pStyle w:val="35"/>
              <w:ind w:firstLine="0" w:firstLineChars="0"/>
              <w:jc w:val="center"/>
              <w:rPr>
                <w:rFonts w:hint="eastAsia" w:ascii="黑体" w:hAnsi="黑体" w:eastAsia="黑体" w:cs="Segoe UI"/>
                <w:kern w:val="0"/>
                <w:sz w:val="28"/>
                <w:szCs w:val="28"/>
              </w:rPr>
            </w:pPr>
          </w:p>
        </w:tc>
        <w:tc>
          <w:tcPr>
            <w:tcW w:w="1356" w:type="dxa"/>
          </w:tcPr>
          <w:p w14:paraId="73C8DDB0">
            <w:pPr>
              <w:pStyle w:val="35"/>
              <w:ind w:firstLine="0" w:firstLineChars="0"/>
              <w:jc w:val="right"/>
              <w:rPr>
                <w:rFonts w:hint="eastAsia" w:ascii="黑体" w:hAnsi="黑体" w:eastAsia="黑体" w:cs="Segoe UI"/>
                <w:kern w:val="0"/>
                <w:sz w:val="28"/>
                <w:szCs w:val="28"/>
              </w:rPr>
            </w:pPr>
          </w:p>
        </w:tc>
        <w:tc>
          <w:tcPr>
            <w:tcW w:w="1356" w:type="dxa"/>
          </w:tcPr>
          <w:p w14:paraId="2E1FDBE0">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3"/>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3"/>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318F932">
      <w:pPr>
        <w:numPr>
          <w:ilvl w:val="0"/>
          <w:numId w:val="0"/>
        </w:numPr>
        <w:spacing w:line="420" w:lineRule="exact"/>
        <w:ind w:leftChars="0"/>
        <w:rPr>
          <w:rFonts w:hint="default" w:ascii="黑体" w:hAnsi="黑体" w:eastAsia="黑体" w:cs="仿宋_GB2312"/>
          <w:sz w:val="28"/>
          <w:szCs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lang w:val="en-US" w:eastAsia="zh-CN"/>
        </w:rPr>
        <w:t xml:space="preserve">技术规格书 </w:t>
      </w:r>
      <w:r>
        <w:rPr>
          <w:rFonts w:hint="eastAsia" w:ascii="黑体" w:hAnsi="黑体" w:eastAsia="黑体" w:cs="仿宋_GB2312"/>
          <w:sz w:val="28"/>
          <w:szCs w:val="28"/>
          <w:lang w:val="en-US" w:eastAsia="zh-CN"/>
        </w:rPr>
        <w:t>比选申请人根据</w:t>
      </w:r>
      <w:r>
        <w:rPr>
          <w:rFonts w:hint="eastAsia" w:ascii="黑体" w:hAnsi="黑体" w:eastAsia="黑体" w:cs="Segoe UI"/>
          <w:kern w:val="0"/>
          <w:sz w:val="28"/>
          <w:szCs w:val="28"/>
          <w:lang w:val="en-US" w:eastAsia="zh-CN"/>
        </w:rPr>
        <w:t>探测器</w:t>
      </w:r>
      <w:r>
        <w:rPr>
          <w:rFonts w:hint="eastAsia" w:ascii="黑体" w:hAnsi="黑体" w:eastAsia="黑体" w:cs="仿宋_GB2312"/>
          <w:sz w:val="28"/>
          <w:szCs w:val="28"/>
          <w:lang w:val="en-US" w:eastAsia="zh-CN"/>
        </w:rPr>
        <w:t>数据表要求，提供技术规格书，注明产品准确名称、规格型号、安装方式、报警点设置、传感器规格型号及生产商等相关参数。</w:t>
      </w:r>
    </w:p>
    <w:p w14:paraId="43B518DD">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5F7FAD8">
      <w:pPr>
        <w:kinsoku/>
        <w:overflowPunct/>
        <w:topLinePunct w:val="0"/>
        <w:bidi w:val="0"/>
        <w:spacing w:line="360" w:lineRule="auto"/>
        <w:ind w:right="0" w:rightChars="0"/>
        <w:jc w:val="left"/>
        <w:rPr>
          <w:rFonts w:hint="eastAsia" w:ascii="宋体" w:hAnsi="宋体"/>
          <w:b/>
          <w:color w:val="auto"/>
          <w:sz w:val="28"/>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none"/>
          <w:lang w:val="en-US" w:eastAsia="zh-CN"/>
        </w:rPr>
        <w:t>日</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买方：四川绵竹川润化工有限公司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8335"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59"/>
        <w:gridCol w:w="1267"/>
        <w:gridCol w:w="857"/>
        <w:gridCol w:w="733"/>
        <w:gridCol w:w="1102"/>
        <w:gridCol w:w="615"/>
        <w:gridCol w:w="852"/>
        <w:gridCol w:w="979"/>
        <w:gridCol w:w="871"/>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4" w:hRule="atLeast"/>
        </w:trPr>
        <w:tc>
          <w:tcPr>
            <w:tcW w:w="105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6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85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7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10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2"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979"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87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2" w:hRule="atLeast"/>
        </w:trPr>
        <w:tc>
          <w:tcPr>
            <w:tcW w:w="105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6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7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10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2"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979"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87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07" w:hRule="atLeast"/>
        </w:trPr>
        <w:tc>
          <w:tcPr>
            <w:tcW w:w="8335"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lang w:eastAsia="zh-CN"/>
        </w:rPr>
        <w:t>四川省德阳市绵竹市孝德镇茶店子村九组</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XX日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23B632A3">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4、合同附件（技术规格书）作为标的物验收备注，具备同等法律效力。</w:t>
      </w:r>
    </w:p>
    <w:p w14:paraId="26D8178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买方（盖章）：四川绵竹川润化工有限公司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F684F18F"/>
    <w:multiLevelType w:val="singleLevel"/>
    <w:tmpl w:val="F684F18F"/>
    <w:lvl w:ilvl="0" w:tentative="0">
      <w:start w:val="3"/>
      <w:numFmt w:val="chineseCounting"/>
      <w:suff w:val="nothing"/>
      <w:lvlText w:val="（%1）"/>
      <w:lvlJc w:val="left"/>
      <w:rPr>
        <w:rFonts w:hint="eastAsia"/>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F45156"/>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C51CF1"/>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5440311"/>
    <w:rsid w:val="15916DD0"/>
    <w:rsid w:val="15CD39A8"/>
    <w:rsid w:val="16413351"/>
    <w:rsid w:val="164E090F"/>
    <w:rsid w:val="16937390"/>
    <w:rsid w:val="16F83C6D"/>
    <w:rsid w:val="172F5937"/>
    <w:rsid w:val="17660053"/>
    <w:rsid w:val="177C482D"/>
    <w:rsid w:val="190E59FE"/>
    <w:rsid w:val="19393A07"/>
    <w:rsid w:val="19E47E89"/>
    <w:rsid w:val="1A294B27"/>
    <w:rsid w:val="1A683441"/>
    <w:rsid w:val="1AF80BA7"/>
    <w:rsid w:val="1B3A0C89"/>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D494CF1"/>
    <w:rsid w:val="2EC03E0B"/>
    <w:rsid w:val="2EE64169"/>
    <w:rsid w:val="2FA06300"/>
    <w:rsid w:val="300E355A"/>
    <w:rsid w:val="30337F16"/>
    <w:rsid w:val="30464A25"/>
    <w:rsid w:val="3082583C"/>
    <w:rsid w:val="30AA38EA"/>
    <w:rsid w:val="31A45B7D"/>
    <w:rsid w:val="31A5035D"/>
    <w:rsid w:val="324C28AA"/>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CF4AEB"/>
    <w:rsid w:val="4E0D1159"/>
    <w:rsid w:val="4E5A52AA"/>
    <w:rsid w:val="4EE10E98"/>
    <w:rsid w:val="4EE97C85"/>
    <w:rsid w:val="4F203C16"/>
    <w:rsid w:val="4FB70985"/>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15B19"/>
    <w:rsid w:val="5B1D65E8"/>
    <w:rsid w:val="5C8C341B"/>
    <w:rsid w:val="5D152C97"/>
    <w:rsid w:val="5D2F2B1E"/>
    <w:rsid w:val="5D981B02"/>
    <w:rsid w:val="5DEF5A0F"/>
    <w:rsid w:val="5DF72B16"/>
    <w:rsid w:val="5EB75F23"/>
    <w:rsid w:val="5ECA3D86"/>
    <w:rsid w:val="5F4D50E3"/>
    <w:rsid w:val="60303C60"/>
    <w:rsid w:val="61E15FB7"/>
    <w:rsid w:val="622C60C9"/>
    <w:rsid w:val="625F0F8C"/>
    <w:rsid w:val="626B0ACC"/>
    <w:rsid w:val="626F728B"/>
    <w:rsid w:val="62A42563"/>
    <w:rsid w:val="63210307"/>
    <w:rsid w:val="633B16F7"/>
    <w:rsid w:val="633F1D52"/>
    <w:rsid w:val="63613BBD"/>
    <w:rsid w:val="64132ACB"/>
    <w:rsid w:val="644F1AB3"/>
    <w:rsid w:val="65CA7906"/>
    <w:rsid w:val="661512EF"/>
    <w:rsid w:val="66A77D57"/>
    <w:rsid w:val="66C75014"/>
    <w:rsid w:val="66D01133"/>
    <w:rsid w:val="672B6AD9"/>
    <w:rsid w:val="67CD5013"/>
    <w:rsid w:val="689644F9"/>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00E6B60"/>
    <w:rsid w:val="71710FBA"/>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094404"/>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327</Words>
  <Characters>419</Characters>
  <Lines>16</Lines>
  <Paragraphs>4</Paragraphs>
  <TotalTime>19</TotalTime>
  <ScaleCrop>false</ScaleCrop>
  <LinksUpToDate>false</LinksUpToDate>
  <CharactersWithSpaces>426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2026-09-08T07:39:02Z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2052-12.1.0.28505</vt:lpwstr>
  </property>
  <property fmtid="{D5CDD505-2E9C-101B-9397-08002B2CF9AE}" pid="4" name="ICV">
    <vt:lpwstr>92D0D20165914A3AA1167C24E77ED4D1_13</vt:lpwstr>
  </property>
</Properties>
</file>