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D6BC44">
      <w:pPr>
        <w:autoSpaceDE w:val="0"/>
        <w:autoSpaceDN w:val="0"/>
        <w:adjustRightInd w:val="0"/>
        <w:spacing w:before="100" w:after="100"/>
        <w:jc w:val="center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四川宏达股份有限公司</w:t>
      </w:r>
    </w:p>
    <w:p w14:paraId="010E0821">
      <w:pPr>
        <w:snapToGrid w:val="0"/>
        <w:spacing w:before="120" w:beforeLines="50" w:after="120" w:afterLines="50" w:line="560" w:lineRule="exact"/>
        <w:jc w:val="center"/>
        <w:rPr>
          <w:rFonts w:asciiTheme="minorEastAsia" w:hAnsiTheme="minorEastAsia"/>
          <w:b/>
          <w:kern w:val="0"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职业病危害因素年度检测（磷化工、有色、川润）</w:t>
      </w:r>
    </w:p>
    <w:p w14:paraId="77A00009">
      <w:pPr>
        <w:pStyle w:val="2"/>
        <w:ind w:firstLine="600"/>
        <w:jc w:val="left"/>
        <w:rPr>
          <w:rFonts w:asciiTheme="minorEastAsia" w:hAnsiTheme="minorEastAsia"/>
          <w:b/>
          <w:kern w:val="0"/>
          <w:sz w:val="30"/>
          <w:szCs w:val="30"/>
        </w:rPr>
      </w:pPr>
    </w:p>
    <w:p w14:paraId="07AB37C8">
      <w:pPr>
        <w:pStyle w:val="5"/>
        <w:rPr>
          <w:rFonts w:asciiTheme="minorEastAsia" w:hAnsiTheme="minorEastAsia"/>
          <w:b/>
          <w:kern w:val="0"/>
          <w:sz w:val="72"/>
          <w:szCs w:val="72"/>
        </w:rPr>
      </w:pPr>
    </w:p>
    <w:p w14:paraId="5C76F8C7"/>
    <w:p w14:paraId="32CDF904"/>
    <w:p w14:paraId="74A42926"/>
    <w:p w14:paraId="259683A7"/>
    <w:p w14:paraId="51485A92">
      <w:pPr>
        <w:widowControl/>
        <w:jc w:val="center"/>
        <w:rPr>
          <w:rFonts w:asciiTheme="minorEastAsia" w:hAnsiTheme="minorEastAsia"/>
          <w:b/>
          <w:kern w:val="0"/>
          <w:sz w:val="72"/>
          <w:szCs w:val="72"/>
        </w:rPr>
      </w:pPr>
      <w:r>
        <w:rPr>
          <w:rFonts w:hint="eastAsia" w:asciiTheme="minorEastAsia" w:hAnsiTheme="minorEastAsia"/>
          <w:b/>
          <w:kern w:val="0"/>
          <w:sz w:val="72"/>
          <w:szCs w:val="72"/>
        </w:rPr>
        <w:t xml:space="preserve"> 比选文件</w:t>
      </w:r>
    </w:p>
    <w:p w14:paraId="6C22714D">
      <w:pPr>
        <w:pStyle w:val="2"/>
        <w:ind w:firstLine="3119" w:firstLineChars="971"/>
        <w:rPr>
          <w:rFonts w:eastAsia="黑体" w:cs="黑体" w:asciiTheme="minorEastAsia" w:hAnsiTheme="minorEastAsia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>编号：</w:t>
      </w:r>
      <w:r>
        <w:rPr>
          <w:rFonts w:ascii="黑体" w:hAnsi="黑体" w:eastAsia="黑体" w:cs="宋体"/>
          <w:b/>
          <w:kern w:val="0"/>
          <w:sz w:val="32"/>
          <w:szCs w:val="32"/>
        </w:rPr>
        <w:t>HDGF-GKBX-2026-FW28</w:t>
      </w:r>
    </w:p>
    <w:p w14:paraId="1492FC55">
      <w:pPr>
        <w:jc w:val="center"/>
        <w:rPr>
          <w:rFonts w:cs="黑体" w:asciiTheme="minorEastAsia" w:hAnsiTheme="minorEastAsia"/>
          <w:lang w:val="zh-CN"/>
        </w:rPr>
      </w:pPr>
    </w:p>
    <w:p w14:paraId="17CEAC82">
      <w:pPr>
        <w:jc w:val="center"/>
        <w:rPr>
          <w:rFonts w:cs="黑体" w:asciiTheme="minorEastAsia" w:hAnsiTheme="minorEastAsia"/>
          <w:lang w:val="zh-CN"/>
        </w:rPr>
      </w:pPr>
    </w:p>
    <w:p w14:paraId="1DE1B0AE">
      <w:pPr>
        <w:jc w:val="center"/>
        <w:rPr>
          <w:rFonts w:cs="黑体" w:asciiTheme="minorEastAsia" w:hAnsiTheme="minorEastAsia"/>
          <w:lang w:val="zh-CN"/>
        </w:rPr>
      </w:pPr>
    </w:p>
    <w:p w14:paraId="11FB6731">
      <w:pPr>
        <w:jc w:val="center"/>
        <w:rPr>
          <w:rFonts w:cs="黑体" w:asciiTheme="minorEastAsia" w:hAnsiTheme="minorEastAsia"/>
          <w:lang w:val="zh-CN"/>
        </w:rPr>
      </w:pPr>
    </w:p>
    <w:p w14:paraId="2691E4AD">
      <w:pPr>
        <w:jc w:val="center"/>
        <w:rPr>
          <w:rFonts w:cs="黑体" w:asciiTheme="minorEastAsia" w:hAnsiTheme="minorEastAsia"/>
          <w:lang w:val="zh-CN"/>
        </w:rPr>
      </w:pPr>
    </w:p>
    <w:p w14:paraId="37AFE014">
      <w:pPr>
        <w:spacing w:line="600" w:lineRule="auto"/>
        <w:ind w:firstLine="2127" w:firstLineChars="709"/>
        <w:rPr>
          <w:rFonts w:asciiTheme="minorEastAsia" w:hAnsiTheme="minorEastAsia"/>
          <w:sz w:val="30"/>
          <w:szCs w:val="30"/>
        </w:rPr>
      </w:pPr>
    </w:p>
    <w:p w14:paraId="558A682B">
      <w:pPr>
        <w:spacing w:line="600" w:lineRule="auto"/>
        <w:ind w:firstLine="2127" w:firstLineChars="709"/>
        <w:rPr>
          <w:rFonts w:asciiTheme="minorEastAsia" w:hAnsiTheme="minorEastAsia"/>
          <w:sz w:val="30"/>
          <w:szCs w:val="30"/>
        </w:rPr>
      </w:pPr>
    </w:p>
    <w:p w14:paraId="622FEE8D">
      <w:pPr>
        <w:spacing w:line="480" w:lineRule="auto"/>
        <w:ind w:left="1050" w:leftChars="500" w:right="1050" w:rightChars="500"/>
        <w:jc w:val="center"/>
        <w:rPr>
          <w:rFonts w:asciiTheme="minorEastAsia" w:hAnsiTheme="minorEastAsia"/>
          <w:b/>
          <w:bCs/>
          <w:sz w:val="30"/>
          <w:szCs w:val="30"/>
          <w:u w:val="single"/>
        </w:rPr>
      </w:pPr>
      <w:r>
        <w:rPr>
          <w:rFonts w:hint="eastAsia" w:asciiTheme="minorEastAsia" w:hAnsiTheme="minorEastAsia"/>
          <w:b/>
          <w:bCs/>
          <w:sz w:val="30"/>
          <w:szCs w:val="30"/>
        </w:rPr>
        <w:t>比选人：</w:t>
      </w:r>
      <w:r>
        <w:rPr>
          <w:rFonts w:hint="eastAsia" w:asciiTheme="minorEastAsia" w:hAnsiTheme="minorEastAsia"/>
          <w:b/>
          <w:bCs/>
          <w:sz w:val="30"/>
          <w:szCs w:val="30"/>
          <w:u w:val="single"/>
        </w:rPr>
        <w:t>四川宏达股份有限公司</w:t>
      </w:r>
    </w:p>
    <w:p w14:paraId="7E768478">
      <w:pPr>
        <w:autoSpaceDE w:val="0"/>
        <w:autoSpaceDN w:val="0"/>
        <w:adjustRightInd w:val="0"/>
        <w:spacing w:line="480" w:lineRule="auto"/>
        <w:jc w:val="center"/>
        <w:rPr>
          <w:rFonts w:asciiTheme="minorEastAsia" w:hAnsiTheme="minorEastAsia"/>
          <w:b/>
          <w:sz w:val="30"/>
          <w:szCs w:val="30"/>
        </w:rPr>
      </w:pPr>
      <w:r>
        <w:rPr>
          <w:rFonts w:cs="黑体" w:asciiTheme="minorEastAsia" w:hAnsiTheme="minorEastAsia"/>
          <w:b/>
          <w:bCs/>
          <w:sz w:val="30"/>
          <w:szCs w:val="30"/>
          <w:lang w:val="zh-CN"/>
        </w:rPr>
        <w:t xml:space="preserve"> 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zh-CN"/>
        </w:rPr>
        <w:t>20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26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zh-CN"/>
        </w:rPr>
        <w:t>年</w:t>
      </w:r>
      <w:r>
        <w:rPr>
          <w:rFonts w:cs="黑体" w:asciiTheme="minorEastAsia" w:hAnsiTheme="minorEastAsia"/>
          <w:b/>
          <w:bCs/>
          <w:sz w:val="30"/>
          <w:szCs w:val="30"/>
        </w:rPr>
        <w:t>9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月</w:t>
      </w:r>
      <w:r>
        <w:rPr>
          <w:rFonts w:cs="黑体" w:asciiTheme="minorEastAsia" w:hAnsiTheme="minorEastAsia"/>
          <w:b/>
          <w:bCs/>
          <w:sz w:val="30"/>
          <w:szCs w:val="30"/>
        </w:rPr>
        <w:t>03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日</w:t>
      </w:r>
    </w:p>
    <w:p w14:paraId="41B511C9">
      <w:pPr>
        <w:widowControl/>
        <w:spacing w:line="480" w:lineRule="auto"/>
        <w:jc w:val="left"/>
        <w:rPr>
          <w:rFonts w:asciiTheme="minorEastAsia" w:hAnsiTheme="minorEastAsia"/>
          <w:b/>
          <w:sz w:val="30"/>
          <w:szCs w:val="30"/>
        </w:rPr>
        <w:sectPr>
          <w:pgSz w:w="11906" w:h="16838"/>
          <w:pgMar w:top="1361" w:right="1134" w:bottom="1361" w:left="1134" w:header="851" w:footer="992" w:gutter="0"/>
          <w:cols w:space="720" w:num="1"/>
        </w:sectPr>
      </w:pPr>
    </w:p>
    <w:p w14:paraId="2B221D0E">
      <w:pPr>
        <w:autoSpaceDE w:val="0"/>
        <w:autoSpaceDN w:val="0"/>
        <w:adjustRightInd w:val="0"/>
        <w:spacing w:before="100" w:after="100"/>
        <w:ind w:firstLine="3302" w:firstLineChars="11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四川宏达股份有限公司</w:t>
      </w:r>
    </w:p>
    <w:p w14:paraId="0C39B2DC">
      <w:pPr>
        <w:snapToGrid w:val="0"/>
        <w:spacing w:before="156" w:beforeLines="50" w:after="156" w:afterLines="50" w:line="560" w:lineRule="exact"/>
        <w:jc w:val="center"/>
        <w:rPr>
          <w:rFonts w:asciiTheme="minorEastAsia" w:hAnsiTheme="minorEastAsia"/>
          <w:b/>
          <w:kern w:val="0"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 xml:space="preserve"> </w:t>
      </w:r>
      <w:r>
        <w:rPr>
          <w:rFonts w:ascii="宋体" w:hAnsi="宋体" w:cs="宋体"/>
          <w:b/>
          <w:bCs/>
          <w:sz w:val="30"/>
          <w:szCs w:val="30"/>
        </w:rPr>
        <w:t xml:space="preserve"> </w:t>
      </w:r>
      <w:r>
        <w:rPr>
          <w:rFonts w:hint="eastAsia" w:ascii="宋体" w:hAnsi="宋体" w:cs="宋体"/>
          <w:b/>
          <w:bCs/>
          <w:sz w:val="30"/>
          <w:szCs w:val="30"/>
        </w:rPr>
        <w:t>职业病危害因素年度检测（磷化工、有色、川润）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 xml:space="preserve"> </w:t>
      </w:r>
    </w:p>
    <w:p w14:paraId="4D422736">
      <w:pPr>
        <w:widowControl/>
        <w:spacing w:line="560" w:lineRule="exact"/>
        <w:jc w:val="center"/>
        <w:textAlignment w:val="baseline"/>
        <w:rPr>
          <w:rFonts w:asciiTheme="minorEastAsia" w:hAnsiTheme="minorEastAsia"/>
          <w:b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 xml:space="preserve"> </w:t>
      </w:r>
    </w:p>
    <w:p w14:paraId="4BEA72A8">
      <w:pPr>
        <w:pStyle w:val="2"/>
        <w:ind w:firstLine="643"/>
        <w:jc w:val="center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 xml:space="preserve">                          </w:t>
      </w:r>
      <w:r>
        <w:rPr>
          <w:rFonts w:hint="eastAsia" w:ascii="宋体" w:hAnsi="宋体" w:cs="宋体"/>
          <w:b/>
          <w:bCs/>
          <w:sz w:val="30"/>
          <w:szCs w:val="30"/>
        </w:rPr>
        <w:t xml:space="preserve"> 编号：</w:t>
      </w:r>
      <w:r>
        <w:rPr>
          <w:rFonts w:ascii="黑体" w:hAnsi="黑体" w:eastAsia="黑体" w:cs="宋体"/>
          <w:b/>
          <w:kern w:val="0"/>
          <w:sz w:val="32"/>
          <w:szCs w:val="32"/>
        </w:rPr>
        <w:t>HDGF-GKBX-2026-FW28</w:t>
      </w:r>
    </w:p>
    <w:p w14:paraId="6C951100">
      <w:pPr>
        <w:spacing w:line="480" w:lineRule="exact"/>
        <w:rPr>
          <w:rFonts w:ascii="宋体" w:hAnsi="宋体" w:eastAsia="宋体" w:cs="Times New Roman"/>
          <w:b/>
          <w:sz w:val="24"/>
          <w:szCs w:val="24"/>
        </w:rPr>
      </w:pPr>
      <w:r>
        <w:rPr>
          <w:rFonts w:hint="eastAsia" w:ascii="宋体" w:hAnsi="宋体" w:eastAsia="宋体" w:cs="Times New Roman"/>
          <w:b/>
          <w:sz w:val="24"/>
          <w:szCs w:val="24"/>
        </w:rPr>
        <w:t>各投标单位：</w:t>
      </w:r>
    </w:p>
    <w:p w14:paraId="3D06099D">
      <w:pPr>
        <w:spacing w:line="480" w:lineRule="exact"/>
        <w:ind w:firstLine="480" w:firstLineChars="200"/>
        <w:rPr>
          <w:rFonts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四川宏达股份有限公司职业病危害因素年度检测（磷化工、有色、川润），本着“公开、公平、公正”的原则，欢迎贵公司前来报价，现将相关事项公告如下：</w:t>
      </w:r>
    </w:p>
    <w:p w14:paraId="56E5D618">
      <w:pPr>
        <w:spacing w:line="480" w:lineRule="exact"/>
        <w:rPr>
          <w:rFonts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一、标的物：</w:t>
      </w:r>
      <w:r>
        <w:rPr>
          <w:rFonts w:hint="eastAsia" w:ascii="宋体" w:hAnsi="宋体" w:eastAsia="宋体" w:cs="黑体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职业病危害因素年度检测（磷化工、有色、川润）</w:t>
      </w:r>
      <w:r>
        <w:rPr>
          <w:rFonts w:hint="eastAsia"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</w:p>
    <w:p w14:paraId="41610D5C">
      <w:pPr>
        <w:spacing w:line="480" w:lineRule="exact"/>
        <w:rPr>
          <w:rFonts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二、比选人：四川宏达股份有限公司  </w:t>
      </w:r>
    </w:p>
    <w:p w14:paraId="701E27FF">
      <w:pPr>
        <w:spacing w:line="480" w:lineRule="exact"/>
        <w:rPr>
          <w:rFonts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三、服务内容和具体要求：</w:t>
      </w:r>
    </w:p>
    <w:p w14:paraId="53A64269">
      <w:pPr>
        <w:spacing w:line="480" w:lineRule="exact"/>
        <w:rPr>
          <w:rFonts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1、根据原国家安全监管总局第</w:t>
      </w:r>
      <w:r>
        <w:rPr>
          <w:rFonts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47号令《工作场所职业卫生监督管理规定》第二十条，“存在职业病危害的用人单位，应当委托具有相应资质的职业卫生技术服务机构，每年至少进行一次职业病危害因素检测”编制《职业病危害因素检测报告》。</w:t>
      </w:r>
    </w:p>
    <w:p w14:paraId="5AC89803">
      <w:pPr>
        <w:spacing w:line="480" w:lineRule="exact"/>
        <w:rPr>
          <w:rFonts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、委托具有相应资质单位编制</w:t>
      </w:r>
      <w:r>
        <w:rPr>
          <w:rFonts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年度《职业病危害因素检测报告》</w:t>
      </w:r>
      <w:r>
        <w:rPr>
          <w:rFonts w:hint="eastAsia"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54D3B669">
      <w:pPr>
        <w:spacing w:line="480" w:lineRule="exact"/>
        <w:rPr>
          <w:rFonts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、服务内容：</w:t>
      </w:r>
    </w:p>
    <w:p w14:paraId="2E5BDB5B">
      <w:pPr>
        <w:spacing w:line="480" w:lineRule="exact"/>
        <w:rPr>
          <w:rFonts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3.1</w:t>
      </w:r>
      <w:r>
        <w:rPr>
          <w:rFonts w:hint="eastAsia"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、分别</w:t>
      </w:r>
      <w:r>
        <w:rPr>
          <w:rFonts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对川润化工公司、磷化工分公司、有色金属分公司进行职业病危害因素检测，出具报告并通过专家审核</w:t>
      </w:r>
    </w:p>
    <w:p w14:paraId="609DD11D">
      <w:pPr>
        <w:spacing w:line="480" w:lineRule="exac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3.3</w:t>
      </w:r>
      <w:r>
        <w:rPr>
          <w:rFonts w:hint="eastAsia" w:ascii="宋体" w:hAnsi="宋体" w:eastAsia="宋体" w:cs="宋体"/>
          <w:kern w:val="0"/>
          <w:sz w:val="24"/>
          <w:szCs w:val="24"/>
        </w:rPr>
        <w:t>、</w:t>
      </w:r>
      <w:r>
        <w:rPr>
          <w:rFonts w:hint="eastAsia" w:ascii="宋体" w:hAnsi="宋体" w:eastAsia="宋体" w:cs="黑体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职业病危害因素年度检测（磷化工、有色、川润）</w:t>
      </w:r>
      <w:r>
        <w:rPr>
          <w:rFonts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费用包括报告编制费、劳务费、评审费和税费等为完成预评报告的所有费用</w:t>
      </w:r>
      <w:r>
        <w:rPr>
          <w:rFonts w:hint="eastAsia" w:ascii="宋体" w:hAnsi="宋体" w:eastAsia="宋体" w:cs="宋体"/>
          <w:kern w:val="0"/>
          <w:sz w:val="24"/>
          <w:szCs w:val="24"/>
        </w:rPr>
        <w:t>。合同形式：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全包价</w:t>
      </w:r>
      <w:r>
        <w:rPr>
          <w:rFonts w:hint="eastAsia" w:ascii="宋体" w:hAnsi="宋体" w:eastAsia="宋体" w:cs="宋体"/>
          <w:kern w:val="0"/>
          <w:sz w:val="24"/>
          <w:szCs w:val="24"/>
        </w:rPr>
        <w:t>。</w:t>
      </w:r>
    </w:p>
    <w:p w14:paraId="09777B2A">
      <w:pPr>
        <w:spacing w:line="560" w:lineRule="exact"/>
        <w:jc w:val="left"/>
        <w:rPr>
          <w:rFonts w:ascii="仿宋_GB2312" w:hAnsi="仿宋" w:eastAsia="仿宋_GB2312" w:cs="仿宋"/>
          <w:sz w:val="32"/>
          <w:szCs w:val="32"/>
        </w:rPr>
      </w:pPr>
      <w:r>
        <w:rPr>
          <w:rFonts w:ascii="宋体" w:hAnsi="宋体" w:eastAsia="宋体" w:cs="宋体"/>
          <w:kern w:val="0"/>
          <w:sz w:val="24"/>
          <w:szCs w:val="24"/>
        </w:rPr>
        <w:t>3</w:t>
      </w:r>
      <w:r>
        <w:rPr>
          <w:rFonts w:hint="eastAsia" w:ascii="宋体" w:hAnsi="宋体" w:eastAsia="宋体" w:cs="宋体"/>
          <w:kern w:val="0"/>
          <w:sz w:val="24"/>
          <w:szCs w:val="24"/>
        </w:rPr>
        <w:t>.</w:t>
      </w:r>
      <w:r>
        <w:rPr>
          <w:rFonts w:ascii="宋体" w:hAnsi="宋体" w:eastAsia="宋体" w:cs="宋体"/>
          <w:kern w:val="0"/>
          <w:sz w:val="24"/>
          <w:szCs w:val="24"/>
        </w:rPr>
        <w:t>4</w:t>
      </w:r>
      <w:r>
        <w:rPr>
          <w:rFonts w:hint="eastAsia" w:ascii="宋体" w:hAnsi="宋体" w:eastAsia="宋体" w:cs="宋体"/>
          <w:kern w:val="0"/>
          <w:sz w:val="24"/>
          <w:szCs w:val="24"/>
        </w:rPr>
        <w:t>、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完成时间：合同签订后1个月之内完成</w:t>
      </w:r>
    </w:p>
    <w:p w14:paraId="41B5EC55">
      <w:pPr>
        <w:widowControl/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Segoe UI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四、比选人资格要求</w:t>
      </w:r>
    </w:p>
    <w:p w14:paraId="49903543">
      <w:pPr>
        <w:widowControl/>
        <w:shd w:val="clear" w:color="auto" w:fill="FFFFFF"/>
        <w:spacing w:line="460" w:lineRule="exact"/>
        <w:jc w:val="left"/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_bookmark3"/>
      <w:bookmarkEnd w:id="0"/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1、资质要求：</w:t>
      </w:r>
      <w:r>
        <w:rPr>
          <w:rFonts w:hint="eastAsia" w:ascii="宋体" w:hAnsi="宋体" w:eastAsia="宋体" w:cs="Segoe UI"/>
          <w:kern w:val="0"/>
          <w:sz w:val="24"/>
          <w:szCs w:val="24"/>
        </w:rPr>
        <w:t>营业执照（三证合一）</w:t>
      </w:r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02C46B93">
      <w:pPr>
        <w:widowControl/>
        <w:shd w:val="clear" w:color="auto" w:fill="FFFFFF"/>
        <w:spacing w:line="460" w:lineRule="exact"/>
        <w:jc w:val="left"/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.1</w:t>
      </w:r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职业卫生技术服务机构资质证书</w:t>
      </w:r>
    </w:p>
    <w:p w14:paraId="25D9A995">
      <w:pPr>
        <w:widowControl/>
        <w:shd w:val="clear" w:color="auto" w:fill="FFFFFF"/>
        <w:spacing w:line="460" w:lineRule="exact"/>
        <w:jc w:val="left"/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.2</w:t>
      </w:r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检验检测机构资质认定证书</w:t>
      </w:r>
    </w:p>
    <w:p w14:paraId="5000CC3A">
      <w:pPr>
        <w:widowControl/>
        <w:shd w:val="clear" w:color="auto" w:fill="FFFFFF"/>
        <w:spacing w:line="460" w:lineRule="exact"/>
        <w:jc w:val="left"/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2、提供相关</w:t>
      </w:r>
      <w:r>
        <w:rPr>
          <w:rFonts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职业病危害因素检测</w:t>
      </w:r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项目业绩（时间2</w:t>
      </w:r>
      <w:r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023</w:t>
      </w:r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年以后）</w:t>
      </w:r>
    </w:p>
    <w:p w14:paraId="39C3FF25">
      <w:pPr>
        <w:spacing w:line="480" w:lineRule="exact"/>
        <w:rPr>
          <w:rFonts w:ascii="宋体" w:hAnsi="宋体" w:eastAsia="宋体" w:cstheme="majorEastAsia"/>
          <w:kern w:val="0"/>
          <w:sz w:val="24"/>
          <w:szCs w:val="24"/>
        </w:rPr>
      </w:pPr>
      <w:r>
        <w:rPr>
          <w:rFonts w:hint="eastAsia" w:ascii="宋体" w:hAnsi="宋体" w:eastAsia="宋体" w:cs="黑体"/>
          <w:sz w:val="24"/>
          <w:szCs w:val="24"/>
        </w:rPr>
        <w:t>3.</w:t>
      </w:r>
      <w:r>
        <w:rPr>
          <w:rFonts w:hint="eastAsia" w:ascii="宋体" w:hAnsi="宋体" w:eastAsia="宋体" w:cs="宋体"/>
          <w:kern w:val="0"/>
          <w:sz w:val="24"/>
          <w:szCs w:val="24"/>
        </w:rPr>
        <w:t>服务地点：</w:t>
      </w:r>
      <w:r>
        <w:rPr>
          <w:rFonts w:hint="eastAsia" w:ascii="宋体" w:hAnsi="宋体" w:eastAsia="宋体" w:cstheme="majorEastAsia"/>
          <w:kern w:val="0"/>
          <w:sz w:val="24"/>
          <w:szCs w:val="24"/>
        </w:rPr>
        <w:t>四川宏达股份有限公司磷化工分公司、有色金属分公司、川润化工公司</w:t>
      </w:r>
    </w:p>
    <w:p w14:paraId="6BF76FCE">
      <w:pPr>
        <w:spacing w:line="480" w:lineRule="exac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4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.付款方式及发票： </w:t>
      </w:r>
    </w:p>
    <w:p w14:paraId="058B98FB">
      <w:pPr>
        <w:spacing w:line="480" w:lineRule="exact"/>
        <w:rPr>
          <w:rFonts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黑体"/>
          <w:kern w:val="0"/>
          <w:sz w:val="24"/>
          <w:szCs w:val="24"/>
        </w:rPr>
        <w:t>①</w:t>
      </w:r>
      <w:r>
        <w:rPr>
          <w:rFonts w:hint="eastAsia" w:ascii="宋体" w:hAnsi="宋体" w:eastAsia="宋体" w:cs="Segoe UI"/>
          <w:kern w:val="0"/>
          <w:sz w:val="24"/>
          <w:szCs w:val="24"/>
        </w:rPr>
        <w:t>付款方式：</w:t>
      </w:r>
      <w:r>
        <w:rPr>
          <w:rFonts w:hint="eastAsia"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以现汇或银行电子承兑汇票支付，合同约定服务年限2年，每年</w:t>
      </w:r>
      <w:r>
        <w:rPr>
          <w:rFonts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报告通过专家评审会后并</w:t>
      </w:r>
      <w:r>
        <w:rPr>
          <w:rFonts w:hint="eastAsia"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开具全额发票</w:t>
      </w:r>
      <w:r>
        <w:rPr>
          <w:rFonts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，一次性付清全部费用</w:t>
      </w:r>
    </w:p>
    <w:p w14:paraId="0C4A887F">
      <w:pPr>
        <w:spacing w:line="480" w:lineRule="exact"/>
        <w:rPr>
          <w:rFonts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黑体"/>
          <w:kern w:val="0"/>
          <w:sz w:val="24"/>
          <w:szCs w:val="24"/>
        </w:rPr>
        <w:t>②</w:t>
      </w:r>
      <w:r>
        <w:rPr>
          <w:rFonts w:hint="eastAsia" w:ascii="宋体" w:hAnsi="宋体" w:eastAsia="宋体" w:cs="宋体"/>
          <w:kern w:val="0"/>
          <w:sz w:val="24"/>
          <w:szCs w:val="24"/>
        </w:rPr>
        <w:t>一票制，</w:t>
      </w:r>
      <w:r>
        <w:rPr>
          <w:rFonts w:hint="eastAsia"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开具全额增值税专用发票(税率 </w:t>
      </w:r>
      <w:r>
        <w:rPr>
          <w:rFonts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 %)。</w:t>
      </w:r>
    </w:p>
    <w:p w14:paraId="24A645D8">
      <w:pPr>
        <w:spacing w:line="480" w:lineRule="exact"/>
        <w:outlineLvl w:val="0"/>
        <w:rPr>
          <w:rFonts w:ascii="宋体" w:hAnsi="宋体" w:eastAsia="宋体" w:cs="黑体"/>
          <w:sz w:val="24"/>
          <w:szCs w:val="24"/>
        </w:rPr>
      </w:pPr>
      <w:r>
        <w:rPr>
          <w:rFonts w:hint="eastAsia" w:ascii="宋体" w:hAnsi="宋体" w:eastAsia="宋体" w:cs="黑体"/>
          <w:sz w:val="24"/>
          <w:szCs w:val="24"/>
        </w:rPr>
        <w:t>6.比选文件的获取</w:t>
      </w:r>
    </w:p>
    <w:p w14:paraId="69AAAE21">
      <w:pPr>
        <w:spacing w:line="480" w:lineRule="exact"/>
        <w:outlineLvl w:val="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获取方式为：2026年9月05日 00 时 00分通过四川宏达股份有限公司集采中心招投标平台(以下简称“ 宏达股份集采平台”）（http://jc.sichuanhongda.com/）进行注册并登录后参与投标并下载比选文件。 </w:t>
      </w:r>
    </w:p>
    <w:p w14:paraId="32634A92">
      <w:pPr>
        <w:tabs>
          <w:tab w:val="left" w:pos="312"/>
        </w:tabs>
        <w:spacing w:line="480" w:lineRule="exact"/>
        <w:rPr>
          <w:rFonts w:ascii="宋体" w:hAnsi="宋体" w:eastAsia="宋体" w:cs="仿宋_GB2312"/>
          <w:sz w:val="24"/>
          <w:szCs w:val="24"/>
        </w:rPr>
      </w:pPr>
      <w:r>
        <w:rPr>
          <w:rFonts w:hint="eastAsia" w:ascii="宋体" w:hAnsi="宋体" w:eastAsia="宋体" w:cs="仿宋_GB2312"/>
          <w:sz w:val="24"/>
          <w:szCs w:val="24"/>
        </w:rPr>
        <w:t>8.响应性文件的递交</w:t>
      </w:r>
    </w:p>
    <w:p w14:paraId="2F309BCB">
      <w:pPr>
        <w:spacing w:line="480" w:lineRule="exact"/>
        <w:rPr>
          <w:rFonts w:ascii="宋体" w:hAnsi="宋体" w:eastAsia="宋体" w:cs="仿宋_GB2312"/>
          <w:sz w:val="24"/>
          <w:szCs w:val="24"/>
        </w:rPr>
      </w:pPr>
      <w:r>
        <w:rPr>
          <w:rFonts w:hint="eastAsia" w:ascii="宋体" w:hAnsi="宋体" w:eastAsia="宋体" w:cs="仿宋_GB2312"/>
          <w:sz w:val="24"/>
          <w:szCs w:val="24"/>
        </w:rPr>
        <w:t>递交截止时间：</w:t>
      </w:r>
      <w:r>
        <w:rPr>
          <w:rFonts w:hint="eastAsia" w:ascii="宋体" w:hAnsi="宋体" w:eastAsia="宋体" w:cs="宋体"/>
          <w:sz w:val="24"/>
          <w:szCs w:val="24"/>
        </w:rPr>
        <w:t>2026年9月14日 10时 30 分。</w:t>
      </w:r>
    </w:p>
    <w:p w14:paraId="16F3D08E">
      <w:pPr>
        <w:spacing w:line="48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比选申请人按本比选文件第二章响应性文件格式制作报价文件，</w:t>
      </w:r>
      <w:r>
        <w:rPr>
          <w:rFonts w:hint="eastAsia" w:ascii="宋体" w:hAnsi="宋体" w:eastAsia="宋体" w:cs="宋体"/>
          <w:sz w:val="24"/>
          <w:szCs w:val="24"/>
        </w:rPr>
        <w:t>注明单价金额、完成时间、付款方式等（若询价约定的标的物完成时间、付款方式、等有异议，请在报价文件中另作说明）。所有上述资料组成响应性文件，比选申请人需将响应性文件打印盖章后，以电子文件方式（PDF、扫描文件等）上传至宏达股份集采平台。</w:t>
      </w:r>
    </w:p>
    <w:p w14:paraId="644A0FF9">
      <w:pPr>
        <w:spacing w:line="480" w:lineRule="exact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9.响应性文件的要求</w:t>
      </w:r>
    </w:p>
    <w:p w14:paraId="769263F0">
      <w:pPr>
        <w:spacing w:line="480" w:lineRule="exact"/>
        <w:rPr>
          <w:rFonts w:ascii="宋体" w:hAnsi="宋体" w:eastAsia="宋体" w:cs="仿宋_GB2312"/>
          <w:sz w:val="24"/>
          <w:szCs w:val="24"/>
        </w:rPr>
      </w:pPr>
      <w:r>
        <w:rPr>
          <w:rFonts w:hint="eastAsia" w:ascii="宋体" w:hAnsi="宋体" w:eastAsia="宋体" w:cs="仿宋_GB2312"/>
          <w:sz w:val="24"/>
          <w:szCs w:val="24"/>
        </w:rPr>
        <w:t>①比选申请人需提供</w:t>
      </w:r>
      <w:bookmarkStart w:id="1" w:name="OLE_LINK3"/>
      <w:bookmarkStart w:id="2" w:name="OLE_LINK4"/>
      <w:r>
        <w:rPr>
          <w:rFonts w:hint="eastAsia" w:ascii="宋体" w:hAnsi="宋体" w:eastAsia="宋体" w:cs="仿宋_GB2312"/>
          <w:sz w:val="24"/>
          <w:szCs w:val="24"/>
        </w:rPr>
        <w:t>营业执照（三证合一）</w:t>
      </w:r>
      <w:bookmarkEnd w:id="1"/>
      <w:bookmarkEnd w:id="2"/>
    </w:p>
    <w:p w14:paraId="18F0A8F4">
      <w:pPr>
        <w:widowControl/>
        <w:shd w:val="clear" w:color="auto" w:fill="FFFFFF"/>
        <w:spacing w:line="460" w:lineRule="exact"/>
        <w:ind w:firstLine="283" w:firstLineChars="118"/>
        <w:jc w:val="left"/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职业卫生技术服务机构资质证书</w:t>
      </w:r>
    </w:p>
    <w:p w14:paraId="638E4C30">
      <w:pPr>
        <w:widowControl/>
        <w:shd w:val="clear" w:color="auto" w:fill="FFFFFF"/>
        <w:spacing w:line="460" w:lineRule="exact"/>
        <w:ind w:firstLine="283" w:firstLineChars="118"/>
        <w:jc w:val="left"/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检验检测机构资质认定证书</w:t>
      </w:r>
    </w:p>
    <w:p w14:paraId="4E4C233A">
      <w:pPr>
        <w:pStyle w:val="6"/>
        <w:spacing w:before="0" w:beforeAutospacing="0" w:after="0" w:afterAutospacing="0" w:line="460" w:lineRule="exact"/>
        <w:rPr>
          <w:rFonts w:cs="Segoe UI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</w:rPr>
        <w:t>②</w:t>
      </w:r>
      <w:r>
        <w:rPr>
          <w:rFonts w:hint="eastAsia" w:cs="Segoe UI"/>
          <w:color w:val="000000" w:themeColor="text1"/>
          <w14:textFill>
            <w14:solidFill>
              <w14:schemeClr w14:val="tx1"/>
            </w14:solidFill>
          </w14:textFill>
        </w:rPr>
        <w:t>提供相关</w:t>
      </w:r>
      <w:r>
        <w:rPr>
          <w:rFonts w:cs="黑体"/>
          <w:color w:val="000000" w:themeColor="text1"/>
          <w14:textFill>
            <w14:solidFill>
              <w14:schemeClr w14:val="tx1"/>
            </w14:solidFill>
          </w14:textFill>
        </w:rPr>
        <w:t>职业病危害因素检测</w:t>
      </w:r>
      <w:r>
        <w:rPr>
          <w:rFonts w:hint="eastAsia" w:cs="Segoe UI"/>
          <w:color w:val="000000" w:themeColor="text1"/>
          <w14:textFill>
            <w14:solidFill>
              <w14:schemeClr w14:val="tx1"/>
            </w14:solidFill>
          </w14:textFill>
        </w:rPr>
        <w:t>项目业绩（时间2</w:t>
      </w:r>
      <w:r>
        <w:rPr>
          <w:rFonts w:cs="Segoe UI"/>
          <w:color w:val="000000" w:themeColor="text1"/>
          <w14:textFill>
            <w14:solidFill>
              <w14:schemeClr w14:val="tx1"/>
            </w14:solidFill>
          </w14:textFill>
        </w:rPr>
        <w:t>023</w:t>
      </w:r>
      <w:r>
        <w:rPr>
          <w:rFonts w:hint="eastAsia" w:cs="Segoe UI"/>
          <w:color w:val="000000" w:themeColor="text1"/>
          <w14:textFill>
            <w14:solidFill>
              <w14:schemeClr w14:val="tx1"/>
            </w14:solidFill>
          </w14:textFill>
        </w:rPr>
        <w:t>年以后业绩，附中标通知书或合同扫描件，中标通知书或合同包括已履约完成和正在履约均可，同一家单位多次采购，合同数量可累计）。</w:t>
      </w:r>
    </w:p>
    <w:p w14:paraId="57A2C23D">
      <w:pPr>
        <w:spacing w:line="480" w:lineRule="exact"/>
        <w:rPr>
          <w:rFonts w:ascii="宋体" w:hAnsi="宋体" w:eastAsia="宋体" w:cs="Times New Roman"/>
          <w:color w:val="FF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10.</w:t>
      </w:r>
      <w:r>
        <w:rPr>
          <w:rFonts w:hint="eastAsia" w:ascii="宋体" w:hAnsi="宋体" w:eastAsia="宋体" w:cs="Times New Roman"/>
          <w:sz w:val="24"/>
          <w:szCs w:val="24"/>
        </w:rPr>
        <w:t>比选办法：经评审后的最低价法。</w:t>
      </w:r>
    </w:p>
    <w:p w14:paraId="52D5D13C">
      <w:pPr>
        <w:pStyle w:val="6"/>
        <w:spacing w:before="0" w:beforeAutospacing="0" w:after="0" w:afterAutospacing="0" w:line="480" w:lineRule="exact"/>
        <w:jc w:val="both"/>
        <w:rPr>
          <w:rFonts w:cs="Segoe UI"/>
          <w:b/>
          <w:bCs/>
        </w:rPr>
      </w:pPr>
      <w:r>
        <w:rPr>
          <w:rFonts w:hint="eastAsia" w:cs="Segoe UI"/>
          <w:b/>
          <w:bCs/>
        </w:rPr>
        <w:t>11.形式评审标准：</w:t>
      </w:r>
    </w:p>
    <w:p w14:paraId="46872D31">
      <w:pPr>
        <w:pStyle w:val="6"/>
        <w:spacing w:before="0" w:beforeAutospacing="0" w:after="0" w:afterAutospacing="0" w:line="480" w:lineRule="exact"/>
        <w:jc w:val="both"/>
        <w:rPr>
          <w:rFonts w:cs="Segoe UI"/>
        </w:rPr>
      </w:pPr>
      <w:r>
        <w:rPr>
          <w:rFonts w:hint="eastAsia" w:cs="Segoe UI"/>
        </w:rPr>
        <w:t>11.1比选人营业执照</w:t>
      </w:r>
    </w:p>
    <w:p w14:paraId="20CD2A7F">
      <w:pPr>
        <w:pStyle w:val="6"/>
        <w:spacing w:before="0" w:beforeAutospacing="0" w:after="0" w:afterAutospacing="0" w:line="480" w:lineRule="exact"/>
        <w:rPr>
          <w:rFonts w:cs="Segoe UI"/>
        </w:rPr>
      </w:pPr>
      <w:r>
        <w:rPr>
          <w:rFonts w:hint="eastAsia" w:cs="Segoe UI"/>
        </w:rPr>
        <w:t>11.2投标文件需盖章。</w:t>
      </w:r>
    </w:p>
    <w:p w14:paraId="561910C2">
      <w:pPr>
        <w:pStyle w:val="6"/>
        <w:spacing w:before="0" w:beforeAutospacing="0" w:after="0" w:afterAutospacing="0" w:line="480" w:lineRule="exact"/>
        <w:jc w:val="both"/>
        <w:rPr>
          <w:rFonts w:cs="Segoe UI"/>
          <w:b/>
          <w:bCs/>
        </w:rPr>
      </w:pPr>
      <w:r>
        <w:rPr>
          <w:rFonts w:hint="eastAsia" w:cs="Segoe UI"/>
          <w:b/>
          <w:bCs/>
        </w:rPr>
        <w:t>12.资格评审标准：</w:t>
      </w:r>
    </w:p>
    <w:p w14:paraId="566CD141">
      <w:pPr>
        <w:pStyle w:val="6"/>
        <w:spacing w:before="0" w:beforeAutospacing="0" w:after="0" w:afterAutospacing="0" w:line="480" w:lineRule="exact"/>
        <w:rPr>
          <w:rFonts w:cs="Segoe UI"/>
        </w:rPr>
      </w:pPr>
      <w:r>
        <w:rPr>
          <w:rFonts w:hint="eastAsia" w:cs="Segoe UI"/>
        </w:rPr>
        <w:t>提供相关设计业绩</w:t>
      </w:r>
    </w:p>
    <w:p w14:paraId="59B2E40C">
      <w:pPr>
        <w:pStyle w:val="6"/>
        <w:spacing w:before="0" w:beforeAutospacing="0" w:after="0" w:afterAutospacing="0" w:line="480" w:lineRule="exact"/>
        <w:jc w:val="both"/>
        <w:rPr>
          <w:rFonts w:cs="Segoe UI"/>
          <w:b/>
          <w:bCs/>
        </w:rPr>
      </w:pPr>
      <w:r>
        <w:rPr>
          <w:rFonts w:hint="eastAsia" w:cs="Segoe UI"/>
          <w:b/>
          <w:bCs/>
        </w:rPr>
        <w:t>13响应评审标准：</w:t>
      </w:r>
    </w:p>
    <w:p w14:paraId="677ED80C">
      <w:pPr>
        <w:pStyle w:val="6"/>
        <w:spacing w:before="0" w:beforeAutospacing="0" w:after="0" w:afterAutospacing="0" w:line="480" w:lineRule="exact"/>
        <w:jc w:val="both"/>
        <w:rPr>
          <w:rFonts w:cs="Segoe UI"/>
        </w:rPr>
      </w:pPr>
      <w:r>
        <w:rPr>
          <w:rFonts w:hint="eastAsia" w:cs="Segoe UI"/>
        </w:rPr>
        <w:t>13.1技术文件响应性评审：</w:t>
      </w:r>
    </w:p>
    <w:p w14:paraId="01C2C0F8">
      <w:pPr>
        <w:pStyle w:val="6"/>
        <w:spacing w:before="0" w:beforeAutospacing="0" w:after="0" w:afterAutospacing="0" w:line="480" w:lineRule="exact"/>
        <w:jc w:val="both"/>
        <w:rPr>
          <w:rFonts w:cs="Segoe UI"/>
        </w:rPr>
      </w:pPr>
      <w:r>
        <w:rPr>
          <w:rFonts w:hint="eastAsia" w:cs="Segoe UI"/>
        </w:rPr>
        <w:t>13.2完成时间：</w:t>
      </w:r>
    </w:p>
    <w:p w14:paraId="59984546">
      <w:pPr>
        <w:pStyle w:val="6"/>
        <w:spacing w:before="0" w:beforeAutospacing="0" w:after="0" w:afterAutospacing="0" w:line="480" w:lineRule="exact"/>
        <w:jc w:val="both"/>
        <w:rPr>
          <w:rFonts w:cs="Segoe UI"/>
        </w:rPr>
      </w:pPr>
      <w:r>
        <w:rPr>
          <w:rFonts w:hint="eastAsia" w:cs="Segoe UI"/>
        </w:rPr>
        <w:t>13.3付款方式：</w:t>
      </w:r>
    </w:p>
    <w:p w14:paraId="18D70D3D">
      <w:pPr>
        <w:spacing w:line="480" w:lineRule="exac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14.交送报价文件前，投标方可自愿来我公司进行实地考查、技术交流或咨询。</w:t>
      </w:r>
    </w:p>
    <w:p w14:paraId="1189DE0B">
      <w:pPr>
        <w:spacing w:line="480" w:lineRule="exac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技术联系人：陈女士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 13658153897（有色金属分公司）</w:t>
      </w:r>
    </w:p>
    <w:p w14:paraId="7D591146">
      <w:pPr>
        <w:spacing w:line="480" w:lineRule="exact"/>
        <w:ind w:firstLine="1416" w:firstLineChars="59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王先生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 13890269558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(磷化工分公司)</w:t>
      </w:r>
    </w:p>
    <w:p w14:paraId="4B71B21E">
      <w:pPr>
        <w:spacing w:line="480" w:lineRule="exact"/>
        <w:ind w:firstLine="1416" w:firstLineChars="59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宋女士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 13881049573</w:t>
      </w:r>
      <w:r>
        <w:rPr>
          <w:rFonts w:hint="eastAsia" w:ascii="宋体" w:hAnsi="宋体" w:eastAsia="宋体" w:cs="宋体"/>
          <w:kern w:val="0"/>
          <w:sz w:val="24"/>
          <w:szCs w:val="24"/>
        </w:rPr>
        <w:t>（川润化工公司）</w:t>
      </w:r>
    </w:p>
    <w:p w14:paraId="13C72705">
      <w:pPr>
        <w:spacing w:line="480" w:lineRule="exac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商务联系人：李先生 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kern w:val="0"/>
          <w:sz w:val="24"/>
          <w:szCs w:val="24"/>
        </w:rPr>
        <w:t>13628075717</w:t>
      </w:r>
    </w:p>
    <w:p w14:paraId="7D7FF1CD">
      <w:pPr>
        <w:adjustRightInd w:val="0"/>
        <w:spacing w:line="480" w:lineRule="exact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地 址：四川省德阳市什邡市金桥大酒店             </w:t>
      </w:r>
    </w:p>
    <w:p w14:paraId="61C240AE">
      <w:pPr>
        <w:adjustRightInd w:val="0"/>
        <w:spacing w:line="480" w:lineRule="exact"/>
        <w:ind w:firstLine="4680" w:firstLineChars="1950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CDAC526">
      <w:pPr>
        <w:adjustRightInd w:val="0"/>
        <w:spacing w:line="480" w:lineRule="exact"/>
        <w:ind w:firstLine="4680" w:firstLineChars="1950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3E5ED79">
      <w:pPr>
        <w:adjustRightInd w:val="0"/>
        <w:spacing w:line="480" w:lineRule="exact"/>
        <w:ind w:firstLine="6720" w:firstLineChars="28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四川宏达股份有限公司</w:t>
      </w:r>
    </w:p>
    <w:p w14:paraId="55D1B9CC">
      <w:pPr>
        <w:spacing w:line="480" w:lineRule="exact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2026年9月04日</w:t>
      </w:r>
    </w:p>
    <w:p w14:paraId="28259068">
      <w:pPr>
        <w:jc w:val="center"/>
        <w:rPr>
          <w:rFonts w:ascii="宋体" w:hAnsi="宋体"/>
          <w:b/>
          <w:bCs/>
          <w:szCs w:val="21"/>
        </w:rPr>
      </w:pPr>
      <w:bookmarkStart w:id="3" w:name="_Toc303149804"/>
      <w:bookmarkStart w:id="4" w:name="_Toc268793030"/>
      <w:bookmarkStart w:id="5" w:name="_Toc275014947"/>
      <w:bookmarkStart w:id="6" w:name="_Toc318986166"/>
      <w:bookmarkStart w:id="7" w:name="_Toc275019684"/>
      <w:bookmarkStart w:id="8" w:name="_Hlk155791057"/>
      <w:bookmarkStart w:id="9" w:name="_Toc238797630"/>
      <w:bookmarkStart w:id="10" w:name="_Toc269113527"/>
      <w:bookmarkStart w:id="11" w:name="_Toc16684"/>
      <w:bookmarkStart w:id="12" w:name="_Toc274596702"/>
      <w:bookmarkStart w:id="13" w:name="_Toc275019290"/>
      <w:bookmarkStart w:id="14" w:name="_Toc275019836"/>
      <w:bookmarkStart w:id="15" w:name="_Toc274236999"/>
      <w:bookmarkStart w:id="16" w:name="_Toc238552273"/>
    </w:p>
    <w:p w14:paraId="07A6B9D0">
      <w:pPr>
        <w:jc w:val="center"/>
        <w:rPr>
          <w:rFonts w:ascii="宋体" w:hAnsi="宋体"/>
          <w:b/>
          <w:bCs/>
          <w:szCs w:val="21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p w14:paraId="13FA2766">
      <w:pPr>
        <w:rPr>
          <w:rFonts w:ascii="黑体" w:hAnsi="宋体" w:eastAsia="黑体"/>
          <w:sz w:val="32"/>
          <w:szCs w:val="32"/>
        </w:rPr>
      </w:pPr>
    </w:p>
    <w:p w14:paraId="51A35203">
      <w:pPr>
        <w:ind w:firstLine="4160" w:firstLineChars="1300"/>
        <w:rPr>
          <w:rFonts w:ascii="黑体" w:hAnsi="宋体" w:eastAsia="黑体"/>
          <w:sz w:val="32"/>
          <w:szCs w:val="32"/>
        </w:rPr>
      </w:pPr>
    </w:p>
    <w:p w14:paraId="3AC0419D">
      <w:pPr>
        <w:pStyle w:val="2"/>
      </w:pPr>
    </w:p>
    <w:p w14:paraId="6D982BEA"/>
    <w:p w14:paraId="169D6120">
      <w:pPr>
        <w:pStyle w:val="2"/>
      </w:pPr>
    </w:p>
    <w:p w14:paraId="5DFD9162"/>
    <w:p w14:paraId="3919E46A">
      <w:pPr>
        <w:pStyle w:val="2"/>
      </w:pPr>
    </w:p>
    <w:p w14:paraId="4576CAE3"/>
    <w:p w14:paraId="6196D7BC">
      <w:pPr>
        <w:pStyle w:val="2"/>
      </w:pPr>
    </w:p>
    <w:p w14:paraId="75408ACC"/>
    <w:p w14:paraId="1C413D28">
      <w:pPr>
        <w:pStyle w:val="2"/>
      </w:pPr>
    </w:p>
    <w:p w14:paraId="17E99AD6"/>
    <w:p w14:paraId="429E91EC">
      <w:pPr>
        <w:pStyle w:val="2"/>
      </w:pPr>
    </w:p>
    <w:p w14:paraId="30E23E25"/>
    <w:p w14:paraId="58242FB4">
      <w:pPr>
        <w:ind w:firstLine="4160" w:firstLineChars="1300"/>
        <w:rPr>
          <w:rFonts w:ascii="黑体" w:hAnsi="宋体" w:eastAsia="黑体"/>
          <w:sz w:val="32"/>
          <w:szCs w:val="32"/>
        </w:rPr>
      </w:pPr>
    </w:p>
    <w:p w14:paraId="624B0571">
      <w:pPr>
        <w:ind w:firstLine="4160" w:firstLineChars="1300"/>
        <w:rPr>
          <w:rFonts w:ascii="黑体" w:hAnsi="宋体" w:eastAsia="黑体"/>
          <w:sz w:val="32"/>
          <w:szCs w:val="32"/>
        </w:rPr>
      </w:pPr>
    </w:p>
    <w:p w14:paraId="72455E64">
      <w:pPr>
        <w:pStyle w:val="2"/>
      </w:pPr>
    </w:p>
    <w:p w14:paraId="6A430FF2"/>
    <w:p w14:paraId="29C7AD3A">
      <w:pPr>
        <w:pStyle w:val="2"/>
      </w:pPr>
    </w:p>
    <w:p w14:paraId="6C4D5CA4"/>
    <w:p w14:paraId="6EE7DFDC">
      <w:pPr>
        <w:pStyle w:val="2"/>
      </w:pPr>
    </w:p>
    <w:p w14:paraId="4CB4DA90">
      <w:pPr>
        <w:ind w:firstLine="4160" w:firstLineChars="1300"/>
        <w:rPr>
          <w:rFonts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 xml:space="preserve">第二章 </w:t>
      </w:r>
    </w:p>
    <w:p w14:paraId="6B73B576">
      <w:pPr>
        <w:ind w:firstLine="3683" w:firstLineChars="1151"/>
        <w:rPr>
          <w:rFonts w:ascii="黑体" w:hAnsi="宋体" w:eastAsia="黑体"/>
          <w:sz w:val="32"/>
          <w:szCs w:val="32"/>
          <w:lang w:val="zh-CN"/>
        </w:rPr>
      </w:pPr>
      <w:r>
        <w:rPr>
          <w:rFonts w:hint="eastAsia" w:ascii="黑体" w:hAnsi="宋体" w:eastAsia="黑体"/>
          <w:sz w:val="32"/>
          <w:szCs w:val="32"/>
        </w:rPr>
        <w:t>报价</w:t>
      </w:r>
      <w:r>
        <w:rPr>
          <w:rFonts w:hint="eastAsia" w:ascii="黑体" w:hAnsi="宋体" w:eastAsia="黑体"/>
          <w:sz w:val="32"/>
          <w:szCs w:val="32"/>
          <w:lang w:val="zh-CN"/>
        </w:rPr>
        <w:t>文件格式</w:t>
      </w:r>
    </w:p>
    <w:p w14:paraId="3567F6D3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left"/>
        <w:textAlignment w:val="bottom"/>
        <w:rPr>
          <w:rFonts w:ascii="黑体" w:hAnsi="黑体" w:eastAsia="黑体" w:cs="宋体"/>
          <w:sz w:val="30"/>
          <w:szCs w:val="30"/>
          <w:u w:val="single"/>
        </w:rPr>
      </w:pPr>
    </w:p>
    <w:p w14:paraId="06BA0A5C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kern w:val="0"/>
          <w:sz w:val="30"/>
          <w:szCs w:val="30"/>
        </w:rPr>
      </w:pPr>
    </w:p>
    <w:p w14:paraId="1018FDE4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kern w:val="0"/>
          <w:sz w:val="30"/>
          <w:szCs w:val="30"/>
        </w:rPr>
      </w:pPr>
    </w:p>
    <w:p w14:paraId="7F123330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kern w:val="0"/>
          <w:sz w:val="30"/>
          <w:szCs w:val="30"/>
        </w:rPr>
      </w:pPr>
    </w:p>
    <w:p w14:paraId="18B57E9B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kern w:val="0"/>
          <w:sz w:val="30"/>
          <w:szCs w:val="30"/>
        </w:rPr>
      </w:pPr>
    </w:p>
    <w:p w14:paraId="1C8F5B05">
      <w:pPr>
        <w:autoSpaceDE w:val="0"/>
        <w:autoSpaceDN w:val="0"/>
        <w:adjustRightInd w:val="0"/>
        <w:spacing w:before="100" w:after="100"/>
        <w:ind w:firstLine="3302" w:firstLineChars="11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四川宏达股份有限公司</w:t>
      </w:r>
    </w:p>
    <w:p w14:paraId="7BCD8C8B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kern w:val="0"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职业病危害因素年度检测（磷化工、有色、川润）</w:t>
      </w:r>
    </w:p>
    <w:p w14:paraId="2500822C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sz w:val="30"/>
          <w:szCs w:val="30"/>
        </w:rPr>
      </w:pPr>
    </w:p>
    <w:p w14:paraId="5A260D67">
      <w:pPr>
        <w:ind w:firstLine="5400" w:firstLineChars="1800"/>
        <w:rPr>
          <w:rFonts w:ascii="黑体" w:hAnsi="黑体" w:eastAsia="黑体" w:cs="黑体"/>
          <w:sz w:val="30"/>
          <w:szCs w:val="30"/>
        </w:rPr>
      </w:pPr>
    </w:p>
    <w:p w14:paraId="6A96622F">
      <w:pPr>
        <w:rPr>
          <w:rFonts w:ascii="黑体" w:hAnsi="黑体" w:eastAsia="黑体" w:cs="黑体"/>
          <w:sz w:val="30"/>
          <w:szCs w:val="30"/>
        </w:rPr>
      </w:pPr>
    </w:p>
    <w:p w14:paraId="28C25394">
      <w:pPr>
        <w:pStyle w:val="2"/>
      </w:pPr>
    </w:p>
    <w:p w14:paraId="7EE4F352">
      <w:pPr>
        <w:ind w:firstLine="3900" w:firstLineChars="1300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响应性文件</w:t>
      </w:r>
    </w:p>
    <w:p w14:paraId="29EABC16">
      <w:pPr>
        <w:ind w:firstLine="3900" w:firstLineChars="1300"/>
        <w:rPr>
          <w:rFonts w:ascii="黑体" w:hAnsi="黑体" w:eastAsia="黑体" w:cs="黑体"/>
          <w:sz w:val="30"/>
          <w:szCs w:val="30"/>
        </w:rPr>
      </w:pPr>
    </w:p>
    <w:p w14:paraId="78832755">
      <w:pPr>
        <w:ind w:firstLine="3900" w:firstLineChars="1300"/>
        <w:rPr>
          <w:rFonts w:ascii="黑体" w:hAnsi="黑体" w:eastAsia="黑体" w:cs="黑体"/>
          <w:sz w:val="30"/>
          <w:szCs w:val="30"/>
        </w:rPr>
      </w:pPr>
    </w:p>
    <w:p w14:paraId="67A53771">
      <w:pPr>
        <w:ind w:firstLine="3900" w:firstLineChars="1300"/>
        <w:rPr>
          <w:rFonts w:ascii="黑体" w:hAnsi="黑体" w:eastAsia="黑体" w:cs="黑体"/>
          <w:sz w:val="30"/>
          <w:szCs w:val="30"/>
        </w:rPr>
      </w:pPr>
    </w:p>
    <w:p w14:paraId="47DE7AF0">
      <w:pPr>
        <w:pStyle w:val="2"/>
      </w:pPr>
    </w:p>
    <w:p w14:paraId="2EFBD553"/>
    <w:p w14:paraId="03DA838B">
      <w:pPr>
        <w:pStyle w:val="2"/>
      </w:pPr>
    </w:p>
    <w:p w14:paraId="4B0DC33E"/>
    <w:p w14:paraId="52C934AD">
      <w:pPr>
        <w:keepNext/>
        <w:keepLines/>
        <w:numPr>
          <w:ilvl w:val="0"/>
          <w:numId w:val="1"/>
        </w:numPr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rPr>
          <w:rFonts w:cs="黑体" w:asciiTheme="minorEastAsia" w:hAnsiTheme="minorEastAsia"/>
          <w:b/>
          <w:bCs/>
          <w:kern w:val="44"/>
          <w:szCs w:val="21"/>
          <w:lang w:val="zh-CN"/>
        </w:rPr>
      </w:pPr>
      <w:bookmarkStart w:id="17" w:name="_Toc4384"/>
      <w:bookmarkStart w:id="18" w:name="_Toc30198"/>
      <w:bookmarkStart w:id="19" w:name="_Toc9978"/>
      <w:r>
        <w:rPr>
          <w:rFonts w:hint="eastAsia" w:cs="黑体" w:asciiTheme="minorEastAsia" w:hAnsiTheme="minorEastAsia"/>
          <w:b/>
          <w:bCs/>
          <w:kern w:val="44"/>
          <w:szCs w:val="21"/>
        </w:rPr>
        <w:t>投标报价</w:t>
      </w:r>
      <w:bookmarkEnd w:id="17"/>
      <w:bookmarkEnd w:id="18"/>
      <w:bookmarkEnd w:id="19"/>
    </w:p>
    <w:p w14:paraId="71C86D5B">
      <w:pPr>
        <w:spacing w:line="560" w:lineRule="exact"/>
        <w:ind w:firstLine="420" w:firstLineChars="200"/>
        <w:rPr>
          <w:rFonts w:asciiTheme="minorEastAsia" w:hAnsiTheme="minorEastAsia"/>
          <w:szCs w:val="21"/>
          <w:u w:val="single"/>
        </w:rPr>
      </w:pPr>
      <w:r>
        <w:rPr>
          <w:rFonts w:hint="eastAsia" w:cs="宋体" w:asciiTheme="minorEastAsia" w:hAnsiTheme="minorEastAsia"/>
          <w:kern w:val="0"/>
          <w:szCs w:val="21"/>
        </w:rPr>
        <w:t xml:space="preserve">    </w:t>
      </w:r>
      <w:r>
        <w:rPr>
          <w:rFonts w:hint="eastAsia" w:cs="宋体" w:asciiTheme="minorEastAsia" w:hAnsiTheme="minorEastAsia"/>
          <w:kern w:val="0"/>
          <w:szCs w:val="21"/>
          <w:u w:val="single"/>
        </w:rPr>
        <w:t xml:space="preserve">                  </w:t>
      </w:r>
      <w:r>
        <w:rPr>
          <w:rFonts w:hint="eastAsia" w:cs="宋体" w:asciiTheme="minorEastAsia" w:hAnsiTheme="minorEastAsia"/>
          <w:kern w:val="0"/>
          <w:szCs w:val="21"/>
        </w:rPr>
        <w:t>(比选申请人名称)</w:t>
      </w:r>
      <w:r>
        <w:rPr>
          <w:rFonts w:hint="eastAsia" w:asciiTheme="minorEastAsia" w:hAnsiTheme="minorEastAsia"/>
          <w:szCs w:val="21"/>
        </w:rPr>
        <w:t>：</w:t>
      </w:r>
    </w:p>
    <w:p w14:paraId="31182688">
      <w:pPr>
        <w:widowControl/>
        <w:ind w:firstLine="420" w:firstLineChars="200"/>
        <w:rPr>
          <w:rFonts w:cs="Arial" w:asciiTheme="minorEastAsia" w:hAnsiTheme="minorEastAsia"/>
          <w:bCs/>
          <w:szCs w:val="21"/>
        </w:rPr>
      </w:pPr>
      <w:r>
        <w:rPr>
          <w:rFonts w:hint="eastAsia" w:asciiTheme="minorEastAsia" w:hAnsiTheme="minorEastAsia"/>
          <w:szCs w:val="21"/>
        </w:rPr>
        <w:t>1、我方已仔细研究了</w:t>
      </w:r>
      <w:r>
        <w:rPr>
          <w:rFonts w:hint="eastAsia" w:asciiTheme="minorEastAsia" w:hAnsiTheme="minorEastAsia"/>
          <w:b/>
          <w:szCs w:val="21"/>
        </w:rPr>
        <w:t>职业病危害因素年度检测（磷化工、有色、川润）</w:t>
      </w:r>
      <w:r>
        <w:rPr>
          <w:rFonts w:hint="eastAsia" w:asciiTheme="minorEastAsia" w:hAnsiTheme="minorEastAsia"/>
          <w:szCs w:val="21"/>
        </w:rPr>
        <w:t>比选文件(包括补充通知的全部内容，按比选文件规定的条件和要求承担合同规定的全部工作，并承担相关的责任。</w:t>
      </w:r>
    </w:p>
    <w:tbl>
      <w:tblPr>
        <w:tblStyle w:val="8"/>
        <w:tblW w:w="4990" w:type="pct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9"/>
        <w:gridCol w:w="1485"/>
        <w:gridCol w:w="1660"/>
        <w:gridCol w:w="939"/>
        <w:gridCol w:w="1361"/>
        <w:gridCol w:w="1318"/>
        <w:gridCol w:w="1089"/>
        <w:gridCol w:w="1280"/>
      </w:tblGrid>
      <w:tr w14:paraId="35DAF0E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303" w:type="pct"/>
            <w:vAlign w:val="center"/>
          </w:tcPr>
          <w:p w14:paraId="068B0D98">
            <w:pPr>
              <w:pStyle w:val="13"/>
              <w:spacing w:before="120" w:line="276" w:lineRule="auto"/>
              <w:jc w:val="center"/>
              <w:rPr>
                <w:rFonts w:cs="黑体"/>
                <w:sz w:val="21"/>
                <w:szCs w:val="21"/>
              </w:rPr>
            </w:pPr>
            <w:r>
              <w:rPr>
                <w:rFonts w:hint="eastAsia" w:cs="黑体"/>
                <w:sz w:val="21"/>
                <w:szCs w:val="21"/>
              </w:rPr>
              <w:t>序号</w:t>
            </w:r>
          </w:p>
        </w:tc>
        <w:tc>
          <w:tcPr>
            <w:tcW w:w="764" w:type="pct"/>
            <w:vAlign w:val="center"/>
          </w:tcPr>
          <w:p w14:paraId="2864F99B">
            <w:pPr>
              <w:pStyle w:val="13"/>
              <w:spacing w:before="120" w:line="276" w:lineRule="auto"/>
              <w:jc w:val="center"/>
              <w:rPr>
                <w:rFonts w:cs="黑体"/>
                <w:sz w:val="21"/>
                <w:szCs w:val="21"/>
              </w:rPr>
            </w:pPr>
            <w:r>
              <w:rPr>
                <w:rFonts w:hint="eastAsia" w:cs="黑体"/>
                <w:sz w:val="21"/>
                <w:szCs w:val="21"/>
              </w:rPr>
              <w:t>名称</w:t>
            </w:r>
          </w:p>
        </w:tc>
        <w:tc>
          <w:tcPr>
            <w:tcW w:w="854" w:type="pct"/>
            <w:vAlign w:val="center"/>
          </w:tcPr>
          <w:p w14:paraId="1F95400F">
            <w:pPr>
              <w:pStyle w:val="13"/>
              <w:spacing w:before="120" w:line="276" w:lineRule="auto"/>
              <w:jc w:val="center"/>
              <w:rPr>
                <w:rFonts w:cs="黑体"/>
                <w:sz w:val="21"/>
                <w:szCs w:val="21"/>
              </w:rPr>
            </w:pPr>
            <w:r>
              <w:rPr>
                <w:rFonts w:hint="eastAsia" w:cs="黑体"/>
                <w:sz w:val="21"/>
                <w:szCs w:val="21"/>
              </w:rPr>
              <w:t>项目名称</w:t>
            </w:r>
          </w:p>
        </w:tc>
        <w:tc>
          <w:tcPr>
            <w:tcW w:w="483" w:type="pct"/>
            <w:vAlign w:val="center"/>
          </w:tcPr>
          <w:p w14:paraId="19C80F21">
            <w:pPr>
              <w:pStyle w:val="13"/>
              <w:spacing w:before="120" w:line="276" w:lineRule="auto"/>
              <w:jc w:val="center"/>
              <w:rPr>
                <w:rFonts w:cs="黑体"/>
                <w:sz w:val="21"/>
                <w:szCs w:val="21"/>
              </w:rPr>
            </w:pPr>
            <w:r>
              <w:rPr>
                <w:rFonts w:hint="eastAsia" w:cs="黑体"/>
                <w:sz w:val="21"/>
                <w:szCs w:val="21"/>
              </w:rPr>
              <w:t>服务年限</w:t>
            </w:r>
          </w:p>
        </w:tc>
        <w:tc>
          <w:tcPr>
            <w:tcW w:w="700" w:type="pct"/>
            <w:tcBorders>
              <w:right w:val="single" w:color="auto" w:sz="4" w:space="0"/>
            </w:tcBorders>
            <w:vAlign w:val="center"/>
          </w:tcPr>
          <w:p w14:paraId="3045C310">
            <w:pPr>
              <w:pStyle w:val="13"/>
              <w:spacing w:before="120" w:line="276" w:lineRule="auto"/>
              <w:jc w:val="center"/>
              <w:rPr>
                <w:rFonts w:hint="eastAsia" w:cs="黑体"/>
                <w:sz w:val="21"/>
                <w:szCs w:val="21"/>
                <w:lang w:val="en-US" w:eastAsia="zh-CN"/>
              </w:rPr>
            </w:pPr>
            <w:r>
              <w:rPr>
                <w:rFonts w:hint="eastAsia" w:cs="黑体"/>
                <w:sz w:val="21"/>
                <w:szCs w:val="21"/>
                <w:lang w:val="en-US" w:eastAsia="zh-CN"/>
              </w:rPr>
              <w:t>2026年</w:t>
            </w:r>
          </w:p>
          <w:p w14:paraId="3BC74FFF">
            <w:pPr>
              <w:pStyle w:val="13"/>
              <w:spacing w:before="120" w:line="276" w:lineRule="auto"/>
              <w:jc w:val="center"/>
              <w:rPr>
                <w:rFonts w:cs="黑体"/>
                <w:sz w:val="21"/>
                <w:szCs w:val="21"/>
              </w:rPr>
            </w:pPr>
            <w:r>
              <w:rPr>
                <w:rFonts w:hint="eastAsia" w:cs="黑体"/>
                <w:sz w:val="21"/>
                <w:szCs w:val="21"/>
              </w:rPr>
              <w:t>价格（元/年）</w:t>
            </w:r>
          </w:p>
        </w:tc>
        <w:tc>
          <w:tcPr>
            <w:tcW w:w="678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664EC0">
            <w:pPr>
              <w:pStyle w:val="13"/>
              <w:spacing w:before="120" w:line="276" w:lineRule="auto"/>
              <w:jc w:val="center"/>
              <w:rPr>
                <w:rFonts w:hint="eastAsia" w:cs="黑体"/>
                <w:sz w:val="21"/>
                <w:szCs w:val="21"/>
                <w:lang w:val="en-US" w:eastAsia="zh-CN"/>
              </w:rPr>
            </w:pPr>
            <w:r>
              <w:rPr>
                <w:rFonts w:hint="eastAsia" w:cs="黑体"/>
                <w:sz w:val="21"/>
                <w:szCs w:val="21"/>
                <w:lang w:val="en-US" w:eastAsia="zh-CN"/>
              </w:rPr>
              <w:t>2027年</w:t>
            </w:r>
          </w:p>
          <w:p w14:paraId="6B1B73AF">
            <w:pPr>
              <w:pStyle w:val="13"/>
              <w:spacing w:before="120" w:line="276" w:lineRule="auto"/>
              <w:jc w:val="center"/>
              <w:rPr>
                <w:rFonts w:hint="eastAsia" w:cs="黑体"/>
                <w:sz w:val="21"/>
                <w:szCs w:val="21"/>
              </w:rPr>
            </w:pPr>
            <w:r>
              <w:rPr>
                <w:rFonts w:hint="eastAsia" w:cs="黑体"/>
                <w:sz w:val="21"/>
                <w:szCs w:val="21"/>
              </w:rPr>
              <w:t>价格（元/年）</w:t>
            </w:r>
          </w:p>
        </w:tc>
        <w:tc>
          <w:tcPr>
            <w:tcW w:w="56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F48B50">
            <w:pPr>
              <w:pStyle w:val="13"/>
              <w:spacing w:before="120" w:line="276" w:lineRule="auto"/>
              <w:jc w:val="center"/>
              <w:rPr>
                <w:rFonts w:hint="eastAsia" w:eastAsia="宋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cs="黑体"/>
                <w:sz w:val="21"/>
                <w:szCs w:val="21"/>
                <w:lang w:val="en-US" w:eastAsia="zh-CN"/>
              </w:rPr>
              <w:t>合计（元）</w:t>
            </w:r>
          </w:p>
        </w:tc>
        <w:tc>
          <w:tcPr>
            <w:tcW w:w="653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54CD97">
            <w:pPr>
              <w:pStyle w:val="13"/>
              <w:spacing w:before="120" w:line="276" w:lineRule="auto"/>
              <w:jc w:val="center"/>
              <w:rPr>
                <w:rFonts w:cs="黑体"/>
                <w:sz w:val="21"/>
                <w:szCs w:val="21"/>
              </w:rPr>
            </w:pPr>
            <w:r>
              <w:rPr>
                <w:rFonts w:hint="eastAsia" w:cs="黑体"/>
                <w:sz w:val="21"/>
                <w:szCs w:val="21"/>
              </w:rPr>
              <w:t>税率（%）</w:t>
            </w:r>
          </w:p>
        </w:tc>
      </w:tr>
      <w:tr w14:paraId="28224B2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03" w:type="pct"/>
            <w:vAlign w:val="center"/>
          </w:tcPr>
          <w:p w14:paraId="2B58A85C">
            <w:pPr>
              <w:pStyle w:val="13"/>
              <w:spacing w:before="120" w:line="276" w:lineRule="auto"/>
              <w:jc w:val="center"/>
              <w:rPr>
                <w:rFonts w:cs="黑体"/>
                <w:sz w:val="21"/>
                <w:szCs w:val="21"/>
              </w:rPr>
            </w:pPr>
            <w:r>
              <w:rPr>
                <w:rFonts w:hint="eastAsia" w:cs="黑体"/>
                <w:sz w:val="21"/>
                <w:szCs w:val="21"/>
              </w:rPr>
              <w:t>1</w:t>
            </w:r>
          </w:p>
        </w:tc>
        <w:tc>
          <w:tcPr>
            <w:tcW w:w="764" w:type="pct"/>
            <w:vAlign w:val="center"/>
          </w:tcPr>
          <w:p w14:paraId="57B05D1C">
            <w:pPr>
              <w:pStyle w:val="13"/>
              <w:spacing w:before="120" w:line="276" w:lineRule="auto"/>
              <w:jc w:val="center"/>
              <w:rPr>
                <w:rFonts w:cs="黑体"/>
                <w:sz w:val="21"/>
                <w:szCs w:val="21"/>
              </w:rPr>
            </w:pPr>
            <w:r>
              <w:rPr>
                <w:rFonts w:hint="eastAsia" w:cs="黑体"/>
                <w:sz w:val="21"/>
                <w:szCs w:val="21"/>
              </w:rPr>
              <w:t>磷化工分公司</w:t>
            </w:r>
          </w:p>
        </w:tc>
        <w:tc>
          <w:tcPr>
            <w:tcW w:w="854" w:type="pct"/>
            <w:vMerge w:val="restart"/>
            <w:vAlign w:val="center"/>
          </w:tcPr>
          <w:p w14:paraId="033F8E1E">
            <w:pPr>
              <w:pStyle w:val="13"/>
              <w:spacing w:before="120" w:line="276" w:lineRule="auto"/>
              <w:jc w:val="center"/>
              <w:rPr>
                <w:rFonts w:cs="黑体"/>
                <w:b/>
                <w:sz w:val="21"/>
                <w:szCs w:val="21"/>
              </w:rPr>
            </w:pPr>
            <w:r>
              <w:rPr>
                <w:rFonts w:hint="eastAsia" w:cs="黑体"/>
                <w:sz w:val="21"/>
                <w:szCs w:val="21"/>
              </w:rPr>
              <w:t>职业病危害因素检测</w:t>
            </w:r>
          </w:p>
        </w:tc>
        <w:tc>
          <w:tcPr>
            <w:tcW w:w="483" w:type="pct"/>
            <w:vMerge w:val="restart"/>
            <w:vAlign w:val="center"/>
          </w:tcPr>
          <w:p w14:paraId="331AC8A9">
            <w:pPr>
              <w:pStyle w:val="13"/>
              <w:spacing w:before="120" w:line="276" w:lineRule="auto"/>
              <w:jc w:val="center"/>
              <w:rPr>
                <w:rFonts w:cs="黑体"/>
                <w:sz w:val="21"/>
                <w:szCs w:val="21"/>
              </w:rPr>
            </w:pPr>
            <w:r>
              <w:rPr>
                <w:rFonts w:hint="eastAsia" w:cs="黑体"/>
                <w:sz w:val="21"/>
                <w:szCs w:val="21"/>
              </w:rPr>
              <w:t>2年</w:t>
            </w:r>
          </w:p>
        </w:tc>
        <w:tc>
          <w:tcPr>
            <w:tcW w:w="700" w:type="pct"/>
            <w:tcBorders>
              <w:right w:val="single" w:color="auto" w:sz="4" w:space="0"/>
            </w:tcBorders>
            <w:vAlign w:val="center"/>
          </w:tcPr>
          <w:p w14:paraId="383BCD52">
            <w:pPr>
              <w:pStyle w:val="13"/>
              <w:spacing w:before="120" w:line="276" w:lineRule="auto"/>
              <w:jc w:val="center"/>
              <w:rPr>
                <w:rFonts w:cs="黑体"/>
                <w:sz w:val="21"/>
                <w:szCs w:val="21"/>
              </w:rPr>
            </w:pPr>
          </w:p>
        </w:tc>
        <w:tc>
          <w:tcPr>
            <w:tcW w:w="678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C32550">
            <w:pPr>
              <w:pStyle w:val="13"/>
              <w:spacing w:before="120" w:line="276" w:lineRule="auto"/>
              <w:jc w:val="center"/>
              <w:rPr>
                <w:rFonts w:cs="黑体"/>
                <w:sz w:val="21"/>
                <w:szCs w:val="21"/>
              </w:rPr>
            </w:pPr>
          </w:p>
        </w:tc>
        <w:tc>
          <w:tcPr>
            <w:tcW w:w="56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E1FDBA">
            <w:pPr>
              <w:pStyle w:val="13"/>
              <w:spacing w:before="120" w:line="276" w:lineRule="auto"/>
              <w:jc w:val="center"/>
              <w:rPr>
                <w:rFonts w:cs="黑体"/>
                <w:sz w:val="21"/>
                <w:szCs w:val="21"/>
              </w:rPr>
            </w:pPr>
          </w:p>
        </w:tc>
        <w:tc>
          <w:tcPr>
            <w:tcW w:w="653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3712A67">
            <w:pPr>
              <w:pStyle w:val="13"/>
              <w:spacing w:before="120" w:line="276" w:lineRule="auto"/>
              <w:jc w:val="center"/>
              <w:rPr>
                <w:rFonts w:cs="黑体"/>
                <w:sz w:val="21"/>
                <w:szCs w:val="21"/>
              </w:rPr>
            </w:pPr>
          </w:p>
        </w:tc>
      </w:tr>
      <w:tr w14:paraId="714B44F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03" w:type="pct"/>
            <w:vAlign w:val="center"/>
          </w:tcPr>
          <w:p w14:paraId="46AA07EF">
            <w:pPr>
              <w:pStyle w:val="13"/>
              <w:spacing w:before="120" w:line="276" w:lineRule="auto"/>
              <w:jc w:val="center"/>
              <w:rPr>
                <w:rFonts w:cs="黑体"/>
                <w:sz w:val="21"/>
                <w:szCs w:val="21"/>
              </w:rPr>
            </w:pPr>
            <w:r>
              <w:rPr>
                <w:rFonts w:hint="eastAsia" w:cs="黑体"/>
                <w:sz w:val="21"/>
                <w:szCs w:val="21"/>
              </w:rPr>
              <w:t>2</w:t>
            </w:r>
          </w:p>
        </w:tc>
        <w:tc>
          <w:tcPr>
            <w:tcW w:w="764" w:type="pct"/>
            <w:vAlign w:val="center"/>
          </w:tcPr>
          <w:p w14:paraId="6D3C16D0">
            <w:pPr>
              <w:pStyle w:val="13"/>
              <w:spacing w:before="120" w:line="276" w:lineRule="auto"/>
              <w:jc w:val="center"/>
              <w:rPr>
                <w:rFonts w:cs="黑体"/>
                <w:sz w:val="21"/>
                <w:szCs w:val="21"/>
              </w:rPr>
            </w:pPr>
            <w:r>
              <w:rPr>
                <w:rFonts w:hint="eastAsia" w:cs="黑体"/>
                <w:sz w:val="21"/>
                <w:szCs w:val="21"/>
              </w:rPr>
              <w:t>有色金属分公司</w:t>
            </w:r>
          </w:p>
        </w:tc>
        <w:tc>
          <w:tcPr>
            <w:tcW w:w="854" w:type="pct"/>
            <w:vMerge w:val="continue"/>
            <w:vAlign w:val="center"/>
          </w:tcPr>
          <w:p w14:paraId="03FF43D4">
            <w:pPr>
              <w:pStyle w:val="13"/>
              <w:spacing w:before="120" w:line="276" w:lineRule="auto"/>
              <w:jc w:val="center"/>
              <w:rPr>
                <w:rFonts w:cs="黑体"/>
                <w:b/>
                <w:sz w:val="21"/>
                <w:szCs w:val="21"/>
              </w:rPr>
            </w:pPr>
          </w:p>
        </w:tc>
        <w:tc>
          <w:tcPr>
            <w:tcW w:w="483" w:type="pct"/>
            <w:vMerge w:val="continue"/>
            <w:vAlign w:val="center"/>
          </w:tcPr>
          <w:p w14:paraId="3D8290CD">
            <w:pPr>
              <w:pStyle w:val="13"/>
              <w:spacing w:before="120" w:line="276" w:lineRule="auto"/>
              <w:jc w:val="center"/>
              <w:rPr>
                <w:rFonts w:cs="黑体"/>
                <w:sz w:val="21"/>
                <w:szCs w:val="21"/>
              </w:rPr>
            </w:pPr>
          </w:p>
        </w:tc>
        <w:tc>
          <w:tcPr>
            <w:tcW w:w="700" w:type="pct"/>
            <w:vAlign w:val="center"/>
          </w:tcPr>
          <w:p w14:paraId="72D9D3FC">
            <w:pPr>
              <w:pStyle w:val="13"/>
              <w:spacing w:before="120" w:line="276" w:lineRule="auto"/>
              <w:jc w:val="center"/>
              <w:rPr>
                <w:rFonts w:cs="黑体"/>
                <w:sz w:val="21"/>
                <w:szCs w:val="21"/>
              </w:rPr>
            </w:pPr>
          </w:p>
        </w:tc>
        <w:tc>
          <w:tcPr>
            <w:tcW w:w="678" w:type="pct"/>
            <w:tcBorders>
              <w:right w:val="single" w:color="auto" w:sz="4" w:space="0"/>
            </w:tcBorders>
            <w:vAlign w:val="center"/>
          </w:tcPr>
          <w:p w14:paraId="490EC740">
            <w:pPr>
              <w:pStyle w:val="13"/>
              <w:spacing w:before="120" w:line="276" w:lineRule="auto"/>
              <w:jc w:val="center"/>
              <w:rPr>
                <w:rFonts w:cs="黑体"/>
                <w:sz w:val="21"/>
                <w:szCs w:val="21"/>
              </w:rPr>
            </w:pPr>
          </w:p>
        </w:tc>
        <w:tc>
          <w:tcPr>
            <w:tcW w:w="560" w:type="pct"/>
            <w:tcBorders>
              <w:right w:val="single" w:color="auto" w:sz="4" w:space="0"/>
            </w:tcBorders>
            <w:vAlign w:val="center"/>
          </w:tcPr>
          <w:p w14:paraId="5506AD55">
            <w:pPr>
              <w:pStyle w:val="13"/>
              <w:spacing w:before="120" w:line="276" w:lineRule="auto"/>
              <w:jc w:val="center"/>
              <w:rPr>
                <w:rFonts w:cs="黑体"/>
                <w:sz w:val="21"/>
                <w:szCs w:val="21"/>
              </w:rPr>
            </w:pPr>
          </w:p>
        </w:tc>
        <w:tc>
          <w:tcPr>
            <w:tcW w:w="653" w:type="pct"/>
            <w:tcBorders>
              <w:right w:val="single" w:color="auto" w:sz="4" w:space="0"/>
            </w:tcBorders>
            <w:vAlign w:val="center"/>
          </w:tcPr>
          <w:p w14:paraId="2C7178C4">
            <w:pPr>
              <w:pStyle w:val="13"/>
              <w:spacing w:before="120" w:line="276" w:lineRule="auto"/>
              <w:jc w:val="center"/>
              <w:rPr>
                <w:rFonts w:cs="黑体"/>
                <w:sz w:val="21"/>
                <w:szCs w:val="21"/>
              </w:rPr>
            </w:pPr>
          </w:p>
        </w:tc>
      </w:tr>
      <w:tr w14:paraId="73EDADD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303" w:type="pct"/>
            <w:vAlign w:val="center"/>
          </w:tcPr>
          <w:p w14:paraId="28874988">
            <w:pPr>
              <w:pStyle w:val="13"/>
              <w:spacing w:before="120" w:line="276" w:lineRule="auto"/>
              <w:jc w:val="center"/>
              <w:rPr>
                <w:rFonts w:cs="黑体"/>
                <w:sz w:val="21"/>
                <w:szCs w:val="21"/>
              </w:rPr>
            </w:pPr>
            <w:r>
              <w:rPr>
                <w:rFonts w:hint="eastAsia" w:cs="黑体"/>
                <w:sz w:val="21"/>
                <w:szCs w:val="21"/>
              </w:rPr>
              <w:t>3</w:t>
            </w:r>
          </w:p>
        </w:tc>
        <w:tc>
          <w:tcPr>
            <w:tcW w:w="764" w:type="pct"/>
            <w:vAlign w:val="center"/>
          </w:tcPr>
          <w:p w14:paraId="12FA7644">
            <w:pPr>
              <w:pStyle w:val="13"/>
              <w:spacing w:before="120" w:line="276" w:lineRule="auto"/>
              <w:jc w:val="center"/>
              <w:rPr>
                <w:rFonts w:cs="黑体"/>
                <w:sz w:val="21"/>
                <w:szCs w:val="21"/>
              </w:rPr>
            </w:pPr>
            <w:r>
              <w:rPr>
                <w:rFonts w:hint="eastAsia" w:cs="黑体"/>
                <w:sz w:val="21"/>
                <w:szCs w:val="21"/>
              </w:rPr>
              <w:t>川润化工公司</w:t>
            </w:r>
          </w:p>
        </w:tc>
        <w:tc>
          <w:tcPr>
            <w:tcW w:w="854" w:type="pct"/>
            <w:vMerge w:val="continue"/>
            <w:vAlign w:val="center"/>
          </w:tcPr>
          <w:p w14:paraId="691CA186">
            <w:pPr>
              <w:pStyle w:val="13"/>
              <w:spacing w:before="120" w:line="276" w:lineRule="auto"/>
              <w:jc w:val="center"/>
              <w:rPr>
                <w:rFonts w:cs="黑体"/>
                <w:b/>
                <w:sz w:val="21"/>
                <w:szCs w:val="21"/>
              </w:rPr>
            </w:pPr>
          </w:p>
        </w:tc>
        <w:tc>
          <w:tcPr>
            <w:tcW w:w="483" w:type="pct"/>
            <w:vMerge w:val="continue"/>
            <w:vAlign w:val="center"/>
          </w:tcPr>
          <w:p w14:paraId="1085F315">
            <w:pPr>
              <w:pStyle w:val="13"/>
              <w:spacing w:before="120" w:line="276" w:lineRule="auto"/>
              <w:jc w:val="center"/>
              <w:rPr>
                <w:rFonts w:cs="黑体"/>
                <w:sz w:val="21"/>
                <w:szCs w:val="21"/>
              </w:rPr>
            </w:pPr>
          </w:p>
        </w:tc>
        <w:tc>
          <w:tcPr>
            <w:tcW w:w="700" w:type="pct"/>
            <w:vAlign w:val="center"/>
          </w:tcPr>
          <w:p w14:paraId="0A6D7796">
            <w:pPr>
              <w:pStyle w:val="13"/>
              <w:spacing w:before="120" w:line="276" w:lineRule="auto"/>
              <w:jc w:val="center"/>
              <w:rPr>
                <w:rFonts w:cs="黑体"/>
                <w:sz w:val="21"/>
                <w:szCs w:val="21"/>
              </w:rPr>
            </w:pPr>
          </w:p>
        </w:tc>
        <w:tc>
          <w:tcPr>
            <w:tcW w:w="678" w:type="pct"/>
            <w:tcBorders>
              <w:right w:val="single" w:color="auto" w:sz="4" w:space="0"/>
            </w:tcBorders>
            <w:vAlign w:val="center"/>
          </w:tcPr>
          <w:p w14:paraId="5F0E7BFF">
            <w:pPr>
              <w:pStyle w:val="13"/>
              <w:spacing w:before="120" w:line="276" w:lineRule="auto"/>
              <w:jc w:val="center"/>
              <w:rPr>
                <w:rFonts w:cs="黑体"/>
                <w:sz w:val="21"/>
                <w:szCs w:val="21"/>
              </w:rPr>
            </w:pPr>
          </w:p>
        </w:tc>
        <w:tc>
          <w:tcPr>
            <w:tcW w:w="560" w:type="pct"/>
            <w:tcBorders>
              <w:right w:val="single" w:color="auto" w:sz="4" w:space="0"/>
            </w:tcBorders>
            <w:vAlign w:val="center"/>
          </w:tcPr>
          <w:p w14:paraId="46597771">
            <w:pPr>
              <w:pStyle w:val="13"/>
              <w:spacing w:before="120" w:line="276" w:lineRule="auto"/>
              <w:jc w:val="center"/>
              <w:rPr>
                <w:rFonts w:cs="黑体"/>
                <w:sz w:val="21"/>
                <w:szCs w:val="21"/>
              </w:rPr>
            </w:pPr>
          </w:p>
        </w:tc>
        <w:tc>
          <w:tcPr>
            <w:tcW w:w="653" w:type="pct"/>
            <w:tcBorders>
              <w:right w:val="single" w:color="auto" w:sz="4" w:space="0"/>
            </w:tcBorders>
            <w:vAlign w:val="center"/>
          </w:tcPr>
          <w:p w14:paraId="22BE43EC">
            <w:pPr>
              <w:pStyle w:val="13"/>
              <w:spacing w:before="120" w:line="276" w:lineRule="auto"/>
              <w:jc w:val="center"/>
              <w:rPr>
                <w:rFonts w:cs="黑体"/>
                <w:sz w:val="21"/>
                <w:szCs w:val="21"/>
              </w:rPr>
            </w:pPr>
          </w:p>
        </w:tc>
      </w:tr>
      <w:tr w14:paraId="3DD6160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5000" w:type="pct"/>
            <w:gridSpan w:val="8"/>
            <w:tcBorders>
              <w:right w:val="single" w:color="auto" w:sz="4" w:space="0"/>
            </w:tcBorders>
          </w:tcPr>
          <w:p w14:paraId="31EE8729">
            <w:pPr>
              <w:pStyle w:val="13"/>
              <w:spacing w:before="120" w:line="276" w:lineRule="auto"/>
              <w:rPr>
                <w:rFonts w:cs="黑体"/>
                <w:sz w:val="21"/>
                <w:szCs w:val="21"/>
              </w:rPr>
            </w:pPr>
            <w:r>
              <w:rPr>
                <w:rFonts w:cs="黑体"/>
                <w:sz w:val="21"/>
                <w:szCs w:val="21"/>
              </w:rPr>
              <w:t>备注：</w:t>
            </w:r>
            <w:r>
              <w:rPr>
                <w:rFonts w:hint="eastAsia" w:cs="黑体"/>
                <w:sz w:val="21"/>
                <w:szCs w:val="21"/>
              </w:rPr>
              <w:t>1、</w:t>
            </w:r>
            <w:r>
              <w:rPr>
                <w:rFonts w:cs="黑体"/>
                <w:sz w:val="21"/>
                <w:szCs w:val="21"/>
              </w:rPr>
              <w:t>参与比选单位分别对各分公司</w:t>
            </w:r>
            <w:r>
              <w:rPr>
                <w:rFonts w:hint="eastAsia" w:cs="黑体"/>
                <w:sz w:val="21"/>
                <w:szCs w:val="21"/>
              </w:rPr>
              <w:t>职业病危害因素检测项目报价，各项报价经评审后的最低价中选，中选公司分别与对应的公司签订《职业病危害因素检测》合同。</w:t>
            </w:r>
          </w:p>
          <w:p w14:paraId="2E435BF6">
            <w:pPr>
              <w:spacing w:line="480" w:lineRule="exact"/>
              <w:rPr>
                <w:rFonts w:hint="eastAsia" w:ascii="宋体" w:hAnsi="宋体" w:eastAsia="宋体" w:cs="黑体"/>
                <w:szCs w:val="21"/>
              </w:rPr>
            </w:pPr>
            <w:r>
              <w:rPr>
                <w:rFonts w:hint="eastAsia" w:ascii="宋体" w:hAnsi="宋体" w:eastAsia="宋体" w:cs="黑体"/>
                <w:szCs w:val="21"/>
              </w:rPr>
              <w:t>2、所报价格为一年单次价格，合同约定服务年限2年，每年</w:t>
            </w:r>
            <w:r>
              <w:rPr>
                <w:rFonts w:ascii="宋体" w:hAnsi="宋体" w:eastAsia="宋体" w:cs="黑体"/>
                <w:szCs w:val="21"/>
              </w:rPr>
              <w:t>报告通过专家评审会</w:t>
            </w:r>
            <w:bookmarkStart w:id="20" w:name="_GoBack"/>
            <w:bookmarkEnd w:id="20"/>
            <w:r>
              <w:rPr>
                <w:rFonts w:ascii="宋体" w:hAnsi="宋体" w:eastAsia="宋体" w:cs="黑体"/>
                <w:szCs w:val="21"/>
              </w:rPr>
              <w:t>后并</w:t>
            </w:r>
            <w:r>
              <w:rPr>
                <w:rFonts w:hint="eastAsia" w:ascii="宋体" w:hAnsi="宋体" w:eastAsia="宋体" w:cs="黑体"/>
                <w:szCs w:val="21"/>
              </w:rPr>
              <w:t>开具全额发票</w:t>
            </w:r>
            <w:r>
              <w:rPr>
                <w:rFonts w:ascii="宋体" w:hAnsi="宋体" w:eastAsia="宋体" w:cs="黑体"/>
                <w:szCs w:val="21"/>
              </w:rPr>
              <w:t>，一次性付清全部费用</w:t>
            </w:r>
          </w:p>
        </w:tc>
      </w:tr>
    </w:tbl>
    <w:p w14:paraId="44F268F4">
      <w:pPr>
        <w:pStyle w:val="13"/>
        <w:spacing w:before="120" w:line="400" w:lineRule="exact"/>
        <w:ind w:firstLine="420" w:firstLineChars="200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2、我公司承诺在投标有效期</w:t>
      </w:r>
      <w:r>
        <w:rPr>
          <w:rFonts w:hint="eastAsia" w:asciiTheme="minorEastAsia" w:hAnsiTheme="minorEastAsia"/>
          <w:sz w:val="21"/>
          <w:szCs w:val="21"/>
          <w:u w:val="single"/>
        </w:rPr>
        <w:t>3</w:t>
      </w:r>
      <w:r>
        <w:rPr>
          <w:rFonts w:hint="eastAsia" w:asciiTheme="minorEastAsia" w:hAnsiTheme="minorEastAsia" w:eastAsiaTheme="minorEastAsia"/>
          <w:sz w:val="21"/>
          <w:szCs w:val="21"/>
          <w:u w:val="single"/>
        </w:rPr>
        <w:t>0</w:t>
      </w:r>
      <w:r>
        <w:rPr>
          <w:rFonts w:hint="eastAsia" w:asciiTheme="minorEastAsia" w:hAnsiTheme="minorEastAsia" w:eastAsiaTheme="minorEastAsia"/>
          <w:sz w:val="21"/>
          <w:szCs w:val="21"/>
        </w:rPr>
        <w:t>日历天内不修改、撤销比选文件。</w:t>
      </w:r>
    </w:p>
    <w:p w14:paraId="22B14211">
      <w:pPr>
        <w:spacing w:line="56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3、如我方中标，我方承诺：</w:t>
      </w:r>
    </w:p>
    <w:p w14:paraId="05404F76">
      <w:pPr>
        <w:spacing w:line="56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（1）在签订合同时不向你方提出附加条件；</w:t>
      </w:r>
    </w:p>
    <w:p w14:paraId="0F3507B6">
      <w:pPr>
        <w:spacing w:line="56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（2）在合同约定的期限内完成合同规定的全部义务。</w:t>
      </w:r>
    </w:p>
    <w:p w14:paraId="00757A2F">
      <w:pPr>
        <w:spacing w:line="560" w:lineRule="exact"/>
        <w:rPr>
          <w:rFonts w:asciiTheme="minorEastAsia" w:hAnsiTheme="minorEastAsia"/>
          <w:szCs w:val="21"/>
        </w:rPr>
      </w:pPr>
    </w:p>
    <w:p w14:paraId="35DCFEDE">
      <w:pPr>
        <w:spacing w:line="560" w:lineRule="exact"/>
        <w:ind w:firstLine="4200" w:firstLineChars="20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报价单位：</w:t>
      </w:r>
      <w:r>
        <w:rPr>
          <w:rFonts w:hint="eastAsia" w:asciiTheme="minorEastAsia" w:hAnsiTheme="minorEastAsia"/>
          <w:szCs w:val="21"/>
          <w:u w:val="single"/>
        </w:rPr>
        <w:t xml:space="preserve">                  </w:t>
      </w:r>
      <w:r>
        <w:rPr>
          <w:rFonts w:hint="eastAsia" w:asciiTheme="minorEastAsia" w:hAnsiTheme="minorEastAsia"/>
          <w:szCs w:val="21"/>
        </w:rPr>
        <w:t>（盖单位章）</w:t>
      </w:r>
    </w:p>
    <w:p w14:paraId="7A2A616A">
      <w:pPr>
        <w:spacing w:line="560" w:lineRule="exact"/>
        <w:ind w:firstLine="420" w:firstLineChars="200"/>
        <w:rPr>
          <w:rFonts w:asciiTheme="minorEastAsia" w:hAnsiTheme="minorEastAsia"/>
          <w:szCs w:val="21"/>
          <w:u w:val="single"/>
        </w:rPr>
      </w:pPr>
      <w:r>
        <w:rPr>
          <w:rFonts w:hint="eastAsia" w:asciiTheme="minorEastAsia" w:hAnsiTheme="minorEastAsia"/>
          <w:szCs w:val="21"/>
        </w:rPr>
        <w:t xml:space="preserve">                                     联系人：</w:t>
      </w:r>
      <w:r>
        <w:rPr>
          <w:rFonts w:hint="eastAsia"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电话：</w:t>
      </w:r>
      <w:r>
        <w:rPr>
          <w:rFonts w:hint="eastAsia" w:asciiTheme="minorEastAsia" w:hAnsiTheme="minorEastAsia"/>
          <w:szCs w:val="21"/>
          <w:u w:val="single"/>
        </w:rPr>
        <w:t xml:space="preserve">             </w:t>
      </w:r>
    </w:p>
    <w:p w14:paraId="46E811D9">
      <w:pPr>
        <w:spacing w:line="400" w:lineRule="exact"/>
        <w:rPr>
          <w:rFonts w:ascii="黑体" w:hAnsi="黑体" w:eastAsia="黑体"/>
          <w:szCs w:val="21"/>
        </w:rPr>
      </w:pPr>
      <w:r>
        <w:rPr>
          <w:rFonts w:hint="eastAsia" w:asciiTheme="minorEastAsia" w:hAnsiTheme="minorEastAsia"/>
          <w:szCs w:val="21"/>
        </w:rPr>
        <w:t xml:space="preserve">                                            </w:t>
      </w:r>
      <w:r>
        <w:rPr>
          <w:rFonts w:hint="eastAsia"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年</w:t>
      </w:r>
      <w:r>
        <w:rPr>
          <w:rFonts w:hint="eastAsia"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月</w:t>
      </w:r>
      <w:r>
        <w:rPr>
          <w:rFonts w:hint="eastAsia"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日</w:t>
      </w:r>
      <w:r>
        <w:rPr>
          <w:rFonts w:hint="eastAsia" w:ascii="黑体" w:hAnsi="黑体" w:eastAsia="黑体"/>
          <w:szCs w:val="21"/>
        </w:rPr>
        <w:t>说明：</w:t>
      </w:r>
    </w:p>
    <w:p w14:paraId="500192DD">
      <w:pPr>
        <w:spacing w:line="400" w:lineRule="exact"/>
        <w:rPr>
          <w:rFonts w:ascii="黑体" w:hAnsi="黑体" w:eastAsia="黑体"/>
          <w:szCs w:val="21"/>
        </w:rPr>
      </w:pPr>
    </w:p>
    <w:p w14:paraId="676C0ABD">
      <w:pPr>
        <w:spacing w:line="400" w:lineRule="exac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注：</w:t>
      </w:r>
    </w:p>
    <w:p w14:paraId="36E4E86D">
      <w:pPr>
        <w:spacing w:line="400" w:lineRule="exac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1.对采购文件提出的要求和条件作出明确响应，投标人需要说明的内容若需特殊表达，应先在本表中进行相应说明，再另页应答，否则投标无效。</w:t>
      </w:r>
    </w:p>
    <w:p w14:paraId="06B5696E">
      <w:pPr>
        <w:widowControl/>
        <w:spacing w:line="400" w:lineRule="exact"/>
        <w:jc w:val="lef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2.投标人必须据实填写，不得虚假应答，否则将取消其响应或中选资格。</w:t>
      </w:r>
    </w:p>
    <w:p w14:paraId="789A4D8A">
      <w:pPr>
        <w:widowControl/>
        <w:spacing w:line="400" w:lineRule="exact"/>
        <w:jc w:val="lef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 xml:space="preserve">3.若未明确应答的条款均视为接受及满足采购文件要求。  </w:t>
      </w:r>
    </w:p>
    <w:p w14:paraId="529DAA42">
      <w:pPr>
        <w:spacing w:line="400" w:lineRule="exact"/>
        <w:ind w:firstLine="2730" w:firstLineChars="1300"/>
        <w:jc w:val="righ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kern w:val="0"/>
          <w:szCs w:val="21"/>
        </w:rPr>
        <w:t>投标人名称</w:t>
      </w:r>
      <w:r>
        <w:rPr>
          <w:rFonts w:hint="eastAsia" w:ascii="黑体" w:hAnsi="黑体" w:eastAsia="黑体"/>
          <w:szCs w:val="21"/>
        </w:rPr>
        <w:t>（全称并加盖公章）</w:t>
      </w:r>
      <w:r>
        <w:rPr>
          <w:rFonts w:hint="eastAsia" w:ascii="黑体" w:hAnsi="黑体" w:eastAsia="黑体"/>
          <w:kern w:val="0"/>
          <w:szCs w:val="21"/>
        </w:rPr>
        <w:t>：</w:t>
      </w:r>
      <w:r>
        <w:rPr>
          <w:rFonts w:hint="eastAsia" w:ascii="黑体" w:hAnsi="黑体" w:eastAsia="黑体"/>
          <w:kern w:val="0"/>
          <w:szCs w:val="21"/>
          <w:u w:val="single"/>
        </w:rPr>
        <w:t xml:space="preserve">       </w:t>
      </w:r>
      <w:r>
        <w:rPr>
          <w:rFonts w:hint="eastAsia" w:ascii="黑体" w:hAnsi="黑体" w:eastAsia="黑体"/>
          <w:szCs w:val="21"/>
          <w:u w:val="single"/>
        </w:rPr>
        <w:t xml:space="preserve">         </w:t>
      </w:r>
    </w:p>
    <w:p w14:paraId="05997B06">
      <w:pPr>
        <w:spacing w:line="400" w:lineRule="exact"/>
        <w:ind w:firstLine="2730" w:firstLineChars="1300"/>
        <w:jc w:val="righ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bCs/>
          <w:szCs w:val="21"/>
        </w:rPr>
        <w:t>日 期:</w:t>
      </w:r>
      <w:r>
        <w:rPr>
          <w:rFonts w:hint="eastAsia" w:ascii="黑体" w:hAnsi="黑体" w:eastAsia="黑体"/>
          <w:bCs/>
          <w:szCs w:val="21"/>
          <w:u w:val="single"/>
        </w:rPr>
        <w:t xml:space="preserve">      </w:t>
      </w:r>
      <w:r>
        <w:rPr>
          <w:rFonts w:hint="eastAsia" w:ascii="黑体" w:hAnsi="黑体" w:eastAsia="黑体"/>
          <w:bCs/>
          <w:szCs w:val="21"/>
        </w:rPr>
        <w:t>年</w:t>
      </w:r>
      <w:r>
        <w:rPr>
          <w:rFonts w:hint="eastAsia" w:ascii="黑体" w:hAnsi="黑体" w:eastAsia="黑体"/>
          <w:bCs/>
          <w:szCs w:val="21"/>
          <w:u w:val="single"/>
        </w:rPr>
        <w:t xml:space="preserve">    </w:t>
      </w:r>
      <w:r>
        <w:rPr>
          <w:rFonts w:hint="eastAsia" w:ascii="黑体" w:hAnsi="黑体" w:eastAsia="黑体"/>
          <w:bCs/>
          <w:szCs w:val="21"/>
        </w:rPr>
        <w:t>月</w:t>
      </w:r>
      <w:r>
        <w:rPr>
          <w:rFonts w:hint="eastAsia" w:ascii="黑体" w:hAnsi="黑体" w:eastAsia="黑体"/>
          <w:bCs/>
          <w:szCs w:val="21"/>
          <w:u w:val="single"/>
        </w:rPr>
        <w:t xml:space="preserve">    </w:t>
      </w:r>
      <w:r>
        <w:rPr>
          <w:rFonts w:hint="eastAsia" w:ascii="黑体" w:hAnsi="黑体" w:eastAsia="黑体"/>
          <w:bCs/>
          <w:szCs w:val="21"/>
        </w:rPr>
        <w:t>日</w:t>
      </w:r>
    </w:p>
    <w:p w14:paraId="4B48E599">
      <w:pPr>
        <w:spacing w:line="560" w:lineRule="exact"/>
        <w:ind w:firstLine="420" w:firstLineChars="200"/>
        <w:rPr>
          <w:rFonts w:ascii="宋体" w:hAnsi="宋体" w:cs="宋体"/>
          <w:szCs w:val="21"/>
        </w:rPr>
        <w:sectPr>
          <w:pgSz w:w="11906" w:h="16838"/>
          <w:pgMar w:top="1440" w:right="1191" w:bottom="1440" w:left="1191" w:header="851" w:footer="992" w:gutter="0"/>
          <w:pgNumType w:start="0"/>
          <w:cols w:space="720" w:num="1"/>
          <w:docGrid w:type="lines" w:linePitch="312" w:charSpace="0"/>
        </w:sectPr>
      </w:pPr>
    </w:p>
    <w:p w14:paraId="68522F2F">
      <w:pPr>
        <w:spacing w:line="360" w:lineRule="auto"/>
        <w:rPr>
          <w:rFonts w:cs="Segoe UI" w:asciiTheme="minorEastAsia" w:hAnsi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szCs w:val="21"/>
        </w:rPr>
        <w:t>（二）业绩文件</w:t>
      </w:r>
    </w:p>
    <w:p w14:paraId="5D02C0C4">
      <w:pPr>
        <w:pStyle w:val="12"/>
        <w:spacing w:line="460" w:lineRule="exact"/>
        <w:ind w:firstLine="420"/>
        <w:rPr>
          <w:rFonts w:cs="Segoe UI" w:asciiTheme="minorEastAsia" w:hAnsiTheme="minorEastAsia"/>
          <w:kern w:val="0"/>
          <w:szCs w:val="21"/>
        </w:rPr>
      </w:pPr>
      <w:r>
        <w:rPr>
          <w:rFonts w:hint="eastAsia" w:cs="Segoe UI" w:asciiTheme="minorEastAsia" w:hAnsiTheme="minorEastAsia"/>
          <w:kern w:val="0"/>
          <w:szCs w:val="21"/>
        </w:rPr>
        <w:t>售业绩汇总表如下：</w:t>
      </w:r>
    </w:p>
    <w:tbl>
      <w:tblPr>
        <w:tblStyle w:val="8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946"/>
        <w:gridCol w:w="1711"/>
        <w:gridCol w:w="1366"/>
        <w:gridCol w:w="1367"/>
        <w:gridCol w:w="1578"/>
      </w:tblGrid>
      <w:tr w14:paraId="1C5AF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E1D1A">
            <w:pPr>
              <w:pStyle w:val="12"/>
              <w:ind w:firstLine="0" w:firstLineChars="0"/>
              <w:jc w:val="center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cs="Segoe UI" w:asciiTheme="minorEastAsia" w:hAnsiTheme="minorEastAsia"/>
                <w:kern w:val="0"/>
                <w:sz w:val="20"/>
                <w:szCs w:val="21"/>
              </w:rPr>
              <w:t>序号</w:t>
            </w:r>
          </w:p>
        </w:tc>
        <w:tc>
          <w:tcPr>
            <w:tcW w:w="2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BC240">
            <w:pPr>
              <w:pStyle w:val="12"/>
              <w:ind w:firstLine="0" w:firstLineChars="0"/>
              <w:jc w:val="center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cs="Segoe UI" w:asciiTheme="minorEastAsia" w:hAnsiTheme="minorEastAsia"/>
                <w:kern w:val="0"/>
                <w:sz w:val="20"/>
                <w:szCs w:val="21"/>
              </w:rPr>
              <w:t>合同签订时间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D61F4">
            <w:pPr>
              <w:pStyle w:val="12"/>
              <w:ind w:firstLine="0" w:firstLineChars="0"/>
              <w:jc w:val="center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cs="Segoe UI" w:asciiTheme="minorEastAsia" w:hAnsiTheme="minorEastAsia"/>
                <w:kern w:val="0"/>
                <w:sz w:val="20"/>
                <w:szCs w:val="21"/>
              </w:rPr>
              <w:t>业绩单位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8E0CF">
            <w:pPr>
              <w:pStyle w:val="12"/>
              <w:ind w:firstLine="0" w:firstLineChars="0"/>
              <w:jc w:val="center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cs="Segoe UI" w:asciiTheme="minorEastAsia" w:hAnsiTheme="minorEastAsia"/>
                <w:kern w:val="0"/>
                <w:sz w:val="20"/>
                <w:szCs w:val="21"/>
              </w:rPr>
              <w:t>项目内容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87EFA">
            <w:pPr>
              <w:pStyle w:val="12"/>
              <w:ind w:firstLine="0" w:firstLineChars="0"/>
              <w:jc w:val="center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cs="Segoe UI" w:asciiTheme="minorEastAsia" w:hAnsiTheme="minorEastAsia"/>
                <w:kern w:val="0"/>
                <w:sz w:val="20"/>
                <w:szCs w:val="21"/>
              </w:rPr>
              <w:t>数量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A2174">
            <w:pPr>
              <w:pStyle w:val="12"/>
              <w:ind w:firstLine="0" w:firstLineChars="0"/>
              <w:jc w:val="center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</w:p>
        </w:tc>
      </w:tr>
      <w:tr w14:paraId="5EBB0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3D7E7">
            <w:pPr>
              <w:pStyle w:val="12"/>
              <w:ind w:firstLine="0" w:firstLineChars="0"/>
              <w:jc w:val="center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cs="Segoe UI" w:asciiTheme="minorEastAsia" w:hAnsiTheme="minorEastAsia"/>
                <w:kern w:val="0"/>
                <w:sz w:val="20"/>
                <w:szCs w:val="21"/>
              </w:rPr>
              <w:t>1</w:t>
            </w:r>
          </w:p>
        </w:tc>
        <w:tc>
          <w:tcPr>
            <w:tcW w:w="2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F5AAED">
            <w:pPr>
              <w:pStyle w:val="12"/>
              <w:ind w:firstLine="0" w:firstLineChars="0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CB02AD">
            <w:pPr>
              <w:pStyle w:val="12"/>
              <w:ind w:firstLine="0" w:firstLineChars="0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7A3753">
            <w:pPr>
              <w:pStyle w:val="12"/>
              <w:ind w:firstLine="0" w:firstLineChars="0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4D42CA">
            <w:pPr>
              <w:pStyle w:val="12"/>
              <w:ind w:firstLine="0" w:firstLineChars="0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8D3211">
            <w:pPr>
              <w:pStyle w:val="12"/>
              <w:ind w:firstLine="0" w:firstLineChars="0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</w:p>
        </w:tc>
      </w:tr>
      <w:tr w14:paraId="27BE5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5D624">
            <w:pPr>
              <w:pStyle w:val="12"/>
              <w:ind w:firstLine="0" w:firstLineChars="0"/>
              <w:jc w:val="center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cs="Segoe UI" w:asciiTheme="minorEastAsia" w:hAnsiTheme="minorEastAsia"/>
                <w:kern w:val="0"/>
                <w:sz w:val="20"/>
                <w:szCs w:val="21"/>
              </w:rPr>
              <w:t>...</w:t>
            </w:r>
          </w:p>
        </w:tc>
        <w:tc>
          <w:tcPr>
            <w:tcW w:w="2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65F096">
            <w:pPr>
              <w:pStyle w:val="12"/>
              <w:ind w:firstLine="0" w:firstLineChars="0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FF9FB6">
            <w:pPr>
              <w:pStyle w:val="12"/>
              <w:ind w:firstLine="0" w:firstLineChars="0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96309F">
            <w:pPr>
              <w:pStyle w:val="12"/>
              <w:ind w:firstLine="0" w:firstLineChars="0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66B560">
            <w:pPr>
              <w:pStyle w:val="12"/>
              <w:ind w:firstLine="0" w:firstLineChars="0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C36E8B">
            <w:pPr>
              <w:pStyle w:val="12"/>
              <w:ind w:firstLine="0" w:firstLineChars="0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</w:p>
        </w:tc>
      </w:tr>
      <w:tr w14:paraId="2CE34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51D06">
            <w:pPr>
              <w:pStyle w:val="12"/>
              <w:ind w:firstLine="0" w:firstLineChars="0"/>
              <w:jc w:val="center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cs="Segoe UI" w:asciiTheme="minorEastAsia" w:hAnsiTheme="minorEastAsia"/>
                <w:kern w:val="0"/>
                <w:sz w:val="20"/>
                <w:szCs w:val="21"/>
              </w:rPr>
              <w:t>合计</w:t>
            </w:r>
          </w:p>
        </w:tc>
        <w:tc>
          <w:tcPr>
            <w:tcW w:w="2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AF3632">
            <w:pPr>
              <w:pStyle w:val="12"/>
              <w:ind w:firstLine="0" w:firstLineChars="0"/>
              <w:jc w:val="center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cs="Segoe UI" w:asciiTheme="minorEastAsia" w:hAnsiTheme="minorEastAsia"/>
                <w:kern w:val="0"/>
                <w:sz w:val="20"/>
                <w:szCs w:val="21"/>
              </w:rPr>
              <w:t>/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E3288B">
            <w:pPr>
              <w:pStyle w:val="12"/>
              <w:ind w:right="560" w:firstLine="700" w:firstLineChars="350"/>
              <w:jc w:val="left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cs="Segoe UI" w:asciiTheme="minorEastAsia" w:hAnsiTheme="minorEastAsia"/>
                <w:kern w:val="0"/>
                <w:sz w:val="20"/>
                <w:szCs w:val="21"/>
              </w:rPr>
              <w:t>家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548216">
            <w:pPr>
              <w:pStyle w:val="12"/>
              <w:ind w:firstLine="0" w:firstLineChars="0"/>
              <w:jc w:val="center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cs="Segoe UI" w:asciiTheme="minorEastAsia" w:hAnsiTheme="minorEastAsia"/>
                <w:kern w:val="0"/>
                <w:sz w:val="20"/>
                <w:szCs w:val="21"/>
              </w:rPr>
              <w:t>/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27F413">
            <w:pPr>
              <w:pStyle w:val="12"/>
              <w:ind w:firstLine="0" w:firstLineChars="0"/>
              <w:jc w:val="right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DA4B64">
            <w:pPr>
              <w:pStyle w:val="12"/>
              <w:ind w:firstLine="0" w:firstLineChars="0"/>
              <w:jc w:val="right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</w:p>
        </w:tc>
      </w:tr>
    </w:tbl>
    <w:p w14:paraId="16C09B25">
      <w:pPr>
        <w:pStyle w:val="12"/>
        <w:ind w:firstLine="0" w:firstLineChars="0"/>
        <w:rPr>
          <w:rFonts w:cs="Segoe UI" w:asciiTheme="minorEastAsia" w:hAnsiTheme="minorEastAsia"/>
          <w:kern w:val="0"/>
          <w:szCs w:val="21"/>
        </w:rPr>
      </w:pPr>
      <w:r>
        <w:rPr>
          <w:rFonts w:hint="eastAsia" w:cs="Segoe UI" w:asciiTheme="minorEastAsia" w:hAnsiTheme="minorEastAsia"/>
          <w:kern w:val="0"/>
          <w:szCs w:val="21"/>
        </w:rPr>
        <w:t xml:space="preserve"> </w:t>
      </w:r>
    </w:p>
    <w:p w14:paraId="2AD6E2CF">
      <w:pPr>
        <w:spacing w:line="360" w:lineRule="auto"/>
        <w:ind w:firstLine="420" w:firstLineChars="200"/>
        <w:jc w:val="center"/>
        <w:rPr>
          <w:rFonts w:ascii="宋体" w:hAnsi="宋体" w:cs="宋体"/>
          <w:b/>
          <w:bCs/>
          <w:szCs w:val="21"/>
        </w:rPr>
      </w:pPr>
    </w:p>
    <w:p w14:paraId="24A21F95">
      <w:pPr>
        <w:spacing w:line="360" w:lineRule="auto"/>
        <w:ind w:firstLine="420" w:firstLineChars="200"/>
        <w:jc w:val="center"/>
        <w:rPr>
          <w:rFonts w:ascii="宋体" w:hAnsi="宋体" w:cs="宋体"/>
          <w:b/>
          <w:bCs/>
          <w:szCs w:val="21"/>
        </w:rPr>
      </w:pPr>
    </w:p>
    <w:p w14:paraId="4A10B5F8">
      <w:pPr>
        <w:spacing w:line="360" w:lineRule="auto"/>
        <w:ind w:firstLine="420" w:firstLineChars="200"/>
        <w:jc w:val="center"/>
        <w:rPr>
          <w:rFonts w:ascii="宋体" w:hAnsi="宋体" w:cs="宋体"/>
          <w:b/>
          <w:bCs/>
          <w:szCs w:val="21"/>
        </w:rPr>
      </w:pPr>
    </w:p>
    <w:p w14:paraId="09C6C714">
      <w:pPr>
        <w:spacing w:line="360" w:lineRule="auto"/>
        <w:ind w:firstLine="420" w:firstLineChars="200"/>
        <w:jc w:val="center"/>
        <w:rPr>
          <w:rFonts w:ascii="宋体" w:hAnsi="宋体" w:cs="宋体"/>
          <w:b/>
          <w:bCs/>
          <w:szCs w:val="21"/>
        </w:rPr>
      </w:pPr>
    </w:p>
    <w:p w14:paraId="037164D4">
      <w:pPr>
        <w:spacing w:line="360" w:lineRule="auto"/>
        <w:ind w:firstLine="420" w:firstLineChars="200"/>
        <w:jc w:val="center"/>
        <w:rPr>
          <w:rFonts w:ascii="宋体" w:hAnsi="宋体" w:cs="宋体"/>
          <w:b/>
          <w:bCs/>
          <w:szCs w:val="21"/>
        </w:rPr>
      </w:pPr>
    </w:p>
    <w:p w14:paraId="74B00CD8">
      <w:pPr>
        <w:spacing w:line="360" w:lineRule="auto"/>
        <w:ind w:firstLine="420" w:firstLineChars="200"/>
        <w:jc w:val="center"/>
        <w:rPr>
          <w:rFonts w:ascii="宋体" w:hAnsi="宋体" w:cs="宋体"/>
          <w:b/>
          <w:bCs/>
          <w:szCs w:val="21"/>
        </w:rPr>
      </w:pPr>
    </w:p>
    <w:p w14:paraId="398F5284">
      <w:pPr>
        <w:spacing w:line="360" w:lineRule="auto"/>
        <w:ind w:firstLine="420" w:firstLineChars="200"/>
        <w:jc w:val="center"/>
        <w:rPr>
          <w:rFonts w:ascii="宋体" w:hAnsi="宋体" w:cs="宋体"/>
          <w:b/>
          <w:bCs/>
          <w:szCs w:val="21"/>
        </w:rPr>
      </w:pPr>
    </w:p>
    <w:p w14:paraId="3A6A47B4">
      <w:pPr>
        <w:spacing w:line="360" w:lineRule="auto"/>
        <w:ind w:firstLine="420" w:firstLineChars="200"/>
        <w:jc w:val="center"/>
        <w:rPr>
          <w:rFonts w:ascii="宋体" w:hAnsi="宋体" w:cs="宋体"/>
          <w:b/>
          <w:bCs/>
          <w:szCs w:val="21"/>
        </w:rPr>
      </w:pPr>
    </w:p>
    <w:p w14:paraId="50568FB1">
      <w:pPr>
        <w:spacing w:line="360" w:lineRule="auto"/>
        <w:ind w:firstLine="420" w:firstLineChars="200"/>
        <w:jc w:val="center"/>
        <w:rPr>
          <w:rFonts w:ascii="宋体" w:hAnsi="宋体" w:cs="宋体"/>
          <w:b/>
          <w:bCs/>
          <w:szCs w:val="21"/>
        </w:rPr>
      </w:pPr>
    </w:p>
    <w:p w14:paraId="51A41F0E">
      <w:pPr>
        <w:spacing w:line="360" w:lineRule="auto"/>
        <w:ind w:firstLine="420" w:firstLineChars="200"/>
        <w:jc w:val="center"/>
        <w:rPr>
          <w:rFonts w:ascii="宋体" w:hAnsi="宋体" w:cs="宋体"/>
          <w:b/>
          <w:bCs/>
          <w:szCs w:val="21"/>
        </w:rPr>
      </w:pPr>
    </w:p>
    <w:p w14:paraId="55147665">
      <w:pPr>
        <w:spacing w:line="360" w:lineRule="auto"/>
        <w:ind w:firstLine="420" w:firstLineChars="200"/>
        <w:jc w:val="center"/>
        <w:rPr>
          <w:rFonts w:ascii="宋体" w:hAnsi="宋体" w:cs="宋体"/>
          <w:b/>
          <w:bCs/>
          <w:szCs w:val="21"/>
        </w:rPr>
      </w:pPr>
    </w:p>
    <w:p w14:paraId="08C93B08">
      <w:pPr>
        <w:spacing w:line="360" w:lineRule="auto"/>
        <w:ind w:firstLine="420" w:firstLineChars="200"/>
        <w:jc w:val="center"/>
        <w:rPr>
          <w:rFonts w:ascii="宋体" w:hAnsi="宋体" w:cs="宋体"/>
          <w:b/>
          <w:bCs/>
          <w:szCs w:val="21"/>
        </w:rPr>
      </w:pPr>
    </w:p>
    <w:p w14:paraId="68624BDE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02DDCF09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194EF0A7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074E9334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70299631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139558F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0E45B567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39F1D5B8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36EE02AB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04EBF436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1C6CB37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361D95FF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5765A1EC">
      <w:pPr>
        <w:spacing w:line="360" w:lineRule="auto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（三）资质文件（营业执照、相关资质）</w:t>
      </w:r>
    </w:p>
    <w:p w14:paraId="0D797AF9">
      <w:pPr>
        <w:spacing w:line="360" w:lineRule="auto"/>
        <w:rPr>
          <w:rFonts w:ascii="宋体" w:hAnsi="宋体"/>
          <w:b/>
          <w:szCs w:val="21"/>
        </w:rPr>
      </w:pPr>
    </w:p>
    <w:p w14:paraId="34FB376B">
      <w:pPr>
        <w:spacing w:line="360" w:lineRule="auto"/>
        <w:rPr>
          <w:rFonts w:ascii="宋体" w:hAnsi="宋体"/>
          <w:b/>
          <w:szCs w:val="21"/>
        </w:rPr>
      </w:pPr>
    </w:p>
    <w:p w14:paraId="13DA0C50">
      <w:pPr>
        <w:spacing w:line="360" w:lineRule="auto"/>
        <w:rPr>
          <w:rFonts w:ascii="宋体" w:hAnsi="宋体"/>
          <w:b/>
          <w:szCs w:val="21"/>
        </w:rPr>
      </w:pPr>
    </w:p>
    <w:p w14:paraId="134C6219">
      <w:pPr>
        <w:spacing w:line="360" w:lineRule="auto"/>
        <w:rPr>
          <w:rFonts w:ascii="宋体" w:hAnsi="宋体"/>
          <w:b/>
          <w:szCs w:val="21"/>
        </w:rPr>
      </w:pPr>
    </w:p>
    <w:p w14:paraId="0415AB0C">
      <w:pPr>
        <w:spacing w:line="360" w:lineRule="auto"/>
        <w:rPr>
          <w:rFonts w:ascii="宋体" w:hAnsi="宋体"/>
          <w:b/>
          <w:szCs w:val="21"/>
        </w:rPr>
      </w:pPr>
    </w:p>
    <w:p w14:paraId="2E499AE5">
      <w:pPr>
        <w:spacing w:line="360" w:lineRule="auto"/>
        <w:rPr>
          <w:rFonts w:ascii="宋体" w:hAnsi="宋体"/>
          <w:b/>
          <w:szCs w:val="21"/>
        </w:rPr>
      </w:pPr>
    </w:p>
    <w:p w14:paraId="5287FDCE">
      <w:pPr>
        <w:spacing w:line="360" w:lineRule="auto"/>
        <w:rPr>
          <w:rFonts w:ascii="宋体" w:hAnsi="宋体"/>
          <w:b/>
          <w:szCs w:val="21"/>
        </w:rPr>
      </w:pPr>
    </w:p>
    <w:p w14:paraId="19FAE76D">
      <w:pPr>
        <w:spacing w:line="360" w:lineRule="auto"/>
        <w:rPr>
          <w:rFonts w:ascii="宋体" w:hAnsi="宋体"/>
          <w:b/>
          <w:szCs w:val="21"/>
        </w:rPr>
      </w:pPr>
    </w:p>
    <w:p w14:paraId="21EF6CAB">
      <w:pPr>
        <w:spacing w:line="360" w:lineRule="auto"/>
        <w:rPr>
          <w:rFonts w:ascii="宋体" w:hAnsi="宋体"/>
          <w:b/>
          <w:szCs w:val="21"/>
        </w:rPr>
      </w:pPr>
    </w:p>
    <w:p w14:paraId="1A473AE3">
      <w:pPr>
        <w:spacing w:line="360" w:lineRule="auto"/>
        <w:rPr>
          <w:rFonts w:ascii="宋体" w:hAnsi="宋体"/>
          <w:b/>
          <w:szCs w:val="21"/>
        </w:rPr>
      </w:pPr>
    </w:p>
    <w:p w14:paraId="7A20C760">
      <w:pPr>
        <w:spacing w:line="360" w:lineRule="auto"/>
        <w:rPr>
          <w:rFonts w:ascii="宋体" w:hAnsi="宋体"/>
          <w:b/>
          <w:szCs w:val="21"/>
        </w:rPr>
      </w:pPr>
    </w:p>
    <w:p w14:paraId="2B24A0A8">
      <w:pPr>
        <w:spacing w:line="360" w:lineRule="auto"/>
        <w:rPr>
          <w:rFonts w:ascii="宋体" w:hAnsi="宋体"/>
          <w:b/>
          <w:szCs w:val="21"/>
        </w:rPr>
      </w:pPr>
    </w:p>
    <w:p w14:paraId="73A1848B">
      <w:pPr>
        <w:spacing w:line="360" w:lineRule="auto"/>
        <w:rPr>
          <w:rFonts w:ascii="宋体" w:hAnsi="宋体"/>
          <w:b/>
          <w:szCs w:val="21"/>
        </w:rPr>
      </w:pPr>
    </w:p>
    <w:p w14:paraId="50126338">
      <w:pPr>
        <w:spacing w:line="360" w:lineRule="auto"/>
        <w:rPr>
          <w:rFonts w:ascii="宋体" w:hAnsi="宋体"/>
          <w:b/>
          <w:szCs w:val="21"/>
        </w:rPr>
      </w:pPr>
    </w:p>
    <w:p w14:paraId="3E9D7C92">
      <w:pPr>
        <w:spacing w:line="360" w:lineRule="auto"/>
        <w:rPr>
          <w:rFonts w:ascii="宋体" w:hAnsi="宋体"/>
          <w:b/>
          <w:szCs w:val="21"/>
        </w:rPr>
      </w:pPr>
    </w:p>
    <w:p w14:paraId="13FC736F">
      <w:pPr>
        <w:spacing w:line="360" w:lineRule="auto"/>
        <w:rPr>
          <w:rFonts w:ascii="宋体" w:hAnsi="宋体"/>
          <w:b/>
          <w:szCs w:val="21"/>
        </w:rPr>
      </w:pPr>
    </w:p>
    <w:p w14:paraId="5E5C0D5B">
      <w:pPr>
        <w:spacing w:line="360" w:lineRule="auto"/>
        <w:rPr>
          <w:rFonts w:ascii="宋体" w:hAnsi="宋体"/>
          <w:b/>
          <w:szCs w:val="21"/>
        </w:rPr>
      </w:pPr>
    </w:p>
    <w:p w14:paraId="765EF4AD">
      <w:pPr>
        <w:spacing w:line="360" w:lineRule="auto"/>
        <w:rPr>
          <w:rFonts w:ascii="宋体" w:hAnsi="宋体"/>
          <w:b/>
          <w:szCs w:val="21"/>
        </w:rPr>
      </w:pPr>
    </w:p>
    <w:p w14:paraId="22E61C99">
      <w:pPr>
        <w:spacing w:line="360" w:lineRule="auto"/>
        <w:rPr>
          <w:rFonts w:ascii="宋体" w:hAnsi="宋体"/>
          <w:b/>
          <w:szCs w:val="21"/>
        </w:rPr>
      </w:pPr>
    </w:p>
    <w:p w14:paraId="4E12F795">
      <w:pPr>
        <w:spacing w:line="360" w:lineRule="auto"/>
        <w:rPr>
          <w:rFonts w:ascii="宋体" w:hAnsi="宋体"/>
          <w:b/>
          <w:szCs w:val="21"/>
        </w:rPr>
      </w:pPr>
    </w:p>
    <w:p w14:paraId="0A7BF3C1">
      <w:pPr>
        <w:spacing w:line="360" w:lineRule="auto"/>
        <w:rPr>
          <w:rFonts w:ascii="宋体" w:hAnsi="宋体"/>
          <w:b/>
          <w:szCs w:val="21"/>
        </w:rPr>
      </w:pPr>
    </w:p>
    <w:p w14:paraId="0879EA61">
      <w:pPr>
        <w:spacing w:line="360" w:lineRule="auto"/>
        <w:rPr>
          <w:rFonts w:ascii="宋体" w:hAnsi="宋体"/>
          <w:b/>
          <w:szCs w:val="21"/>
        </w:rPr>
      </w:pPr>
    </w:p>
    <w:p w14:paraId="24E516EE">
      <w:pPr>
        <w:spacing w:line="360" w:lineRule="auto"/>
        <w:rPr>
          <w:rFonts w:ascii="宋体" w:hAnsi="宋体"/>
          <w:b/>
          <w:szCs w:val="21"/>
        </w:rPr>
      </w:pPr>
    </w:p>
    <w:p w14:paraId="06EF61F6">
      <w:pPr>
        <w:spacing w:line="360" w:lineRule="auto"/>
        <w:rPr>
          <w:rFonts w:ascii="宋体" w:hAnsi="宋体"/>
          <w:b/>
          <w:szCs w:val="21"/>
        </w:rPr>
      </w:pPr>
    </w:p>
    <w:p w14:paraId="681FA040">
      <w:pPr>
        <w:spacing w:line="360" w:lineRule="auto"/>
        <w:rPr>
          <w:rFonts w:ascii="宋体" w:hAnsi="宋体"/>
          <w:b/>
          <w:szCs w:val="21"/>
        </w:rPr>
      </w:pPr>
    </w:p>
    <w:p w14:paraId="3537D3BE">
      <w:pPr>
        <w:spacing w:line="360" w:lineRule="auto"/>
        <w:rPr>
          <w:rFonts w:ascii="宋体" w:hAnsi="宋体"/>
          <w:b/>
          <w:szCs w:val="21"/>
        </w:rPr>
      </w:pPr>
    </w:p>
    <w:p w14:paraId="32FC138E">
      <w:pPr>
        <w:spacing w:line="360" w:lineRule="auto"/>
        <w:rPr>
          <w:rFonts w:ascii="宋体" w:hAnsi="宋体"/>
          <w:b/>
          <w:szCs w:val="21"/>
        </w:rPr>
      </w:pPr>
    </w:p>
    <w:p w14:paraId="1B9FCD9D">
      <w:pPr>
        <w:spacing w:line="360" w:lineRule="auto"/>
        <w:rPr>
          <w:rFonts w:ascii="宋体" w:hAnsi="宋体"/>
          <w:b/>
          <w:szCs w:val="21"/>
        </w:rPr>
      </w:pPr>
    </w:p>
    <w:p w14:paraId="6C652493">
      <w:pPr>
        <w:spacing w:line="360" w:lineRule="auto"/>
        <w:rPr>
          <w:rFonts w:ascii="宋体" w:hAnsi="宋体"/>
          <w:b/>
          <w:szCs w:val="21"/>
        </w:rPr>
      </w:pPr>
    </w:p>
    <w:p w14:paraId="302E0B4E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（四）承 诺 书</w:t>
      </w:r>
    </w:p>
    <w:p w14:paraId="3FCF0A6E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致：宏达股份有限公司</w:t>
      </w:r>
    </w:p>
    <w:p w14:paraId="7AE915E5">
      <w:pPr>
        <w:widowControl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我公司自愿参与</w:t>
      </w:r>
      <w:r>
        <w:rPr>
          <w:rFonts w:hint="eastAsia" w:ascii="宋体" w:hAnsi="宋体"/>
          <w:szCs w:val="21"/>
          <w:u w:val="single"/>
        </w:rPr>
        <w:t>职业病危害因素年度检测（磷化工、有色、川润）</w:t>
      </w:r>
      <w:r>
        <w:rPr>
          <w:rFonts w:hint="eastAsia" w:ascii="宋体" w:hAnsi="宋体"/>
          <w:szCs w:val="21"/>
        </w:rPr>
        <w:t>的投标，现郑重作出以下承诺：</w:t>
      </w:r>
    </w:p>
    <w:p w14:paraId="7AA4C24A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⑴我公司提供的物资质量、环保、安全符合国家要求；</w:t>
      </w:r>
    </w:p>
    <w:p w14:paraId="58A61E6C">
      <w:pPr>
        <w:spacing w:line="360" w:lineRule="auto"/>
        <w:ind w:left="420" w:left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⑵我公司具有良好的信誉、企业处于正常生产经营状态；</w:t>
      </w:r>
    </w:p>
    <w:p w14:paraId="53C14E7C">
      <w:pPr>
        <w:spacing w:line="360" w:lineRule="auto"/>
        <w:ind w:left="420" w:left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⑶我公司完全按报价文件严格执行。</w:t>
      </w:r>
    </w:p>
    <w:p w14:paraId="60F8C14E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⑷我公司将严格遵守投标的各项法律法规和程序，若有违规行为，愿意承担相应法律责任。</w:t>
      </w:r>
    </w:p>
    <w:p w14:paraId="34D6946B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⑸若中标，我公司将按照合同约定的时间、地点和方式交付物资，确保项目顺利推进。</w:t>
      </w:r>
    </w:p>
    <w:p w14:paraId="01BF8911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⑹我公司保证所提供的所有资料真实、准确、有效，如有虚假，愿意接受相应处罚。 一旦我方中标，愿意按照招标文件和招标人的规定和要求签订购销合同，并信守合同、保证质量、如期交货。</w:t>
      </w:r>
    </w:p>
    <w:p w14:paraId="3F9172E8">
      <w:pPr>
        <w:spacing w:line="360" w:lineRule="auto"/>
        <w:ind w:firstLine="420" w:firstLineChars="200"/>
        <w:rPr>
          <w:rFonts w:ascii="宋体" w:hAnsi="宋体"/>
          <w:szCs w:val="21"/>
        </w:rPr>
      </w:pPr>
    </w:p>
    <w:p w14:paraId="556C41CE">
      <w:pPr>
        <w:spacing w:line="360" w:lineRule="auto"/>
        <w:ind w:left="420" w:leftChars="200"/>
        <w:rPr>
          <w:rFonts w:ascii="宋体" w:hAnsi="宋体"/>
          <w:szCs w:val="21"/>
        </w:rPr>
      </w:pPr>
    </w:p>
    <w:p w14:paraId="67C8C861">
      <w:pPr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             </w:t>
      </w:r>
      <w:r>
        <w:rPr>
          <w:rFonts w:ascii="宋体" w:hAnsi="宋体"/>
          <w:szCs w:val="21"/>
        </w:rPr>
        <w:t xml:space="preserve">         </w:t>
      </w:r>
      <w:r>
        <w:rPr>
          <w:rFonts w:hint="eastAsia" w:ascii="宋体" w:hAnsi="宋体"/>
          <w:szCs w:val="21"/>
        </w:rPr>
        <w:t xml:space="preserve"> 供应商名称：</w:t>
      </w:r>
      <w:r>
        <w:rPr>
          <w:rFonts w:hint="eastAsia" w:ascii="宋体" w:hAnsi="宋体"/>
          <w:szCs w:val="21"/>
          <w:u w:val="single"/>
        </w:rPr>
        <w:t xml:space="preserve">              </w:t>
      </w:r>
      <w:r>
        <w:rPr>
          <w:rFonts w:hint="eastAsia" w:ascii="宋体" w:hAnsi="宋体"/>
          <w:szCs w:val="21"/>
        </w:rPr>
        <w:t>（盖单位章）</w:t>
      </w:r>
    </w:p>
    <w:p w14:paraId="145A1119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                        </w:t>
      </w:r>
      <w:r>
        <w:rPr>
          <w:rFonts w:ascii="宋体" w:hAnsi="宋体"/>
          <w:szCs w:val="21"/>
        </w:rPr>
        <w:t xml:space="preserve">       </w:t>
      </w:r>
      <w:r>
        <w:rPr>
          <w:rFonts w:hint="eastAsia" w:ascii="宋体" w:hAnsi="宋体"/>
          <w:szCs w:val="21"/>
        </w:rPr>
        <w:t xml:space="preserve"> 日  期：</w:t>
      </w:r>
      <w:r>
        <w:rPr>
          <w:rFonts w:hint="eastAsia" w:ascii="宋体" w:hAnsi="宋体"/>
          <w:szCs w:val="21"/>
          <w:u w:val="single"/>
        </w:rPr>
        <w:t xml:space="preserve">      </w:t>
      </w:r>
      <w:r>
        <w:rPr>
          <w:rFonts w:hint="eastAsia" w:ascii="宋体" w:hAnsi="宋体"/>
          <w:szCs w:val="21"/>
        </w:rPr>
        <w:t>年</w:t>
      </w:r>
      <w:r>
        <w:rPr>
          <w:rFonts w:hint="eastAsia" w:ascii="宋体" w:hAnsi="宋体"/>
          <w:szCs w:val="21"/>
          <w:u w:val="single"/>
        </w:rPr>
        <w:t xml:space="preserve">    </w:t>
      </w:r>
      <w:r>
        <w:rPr>
          <w:rFonts w:hint="eastAsia" w:ascii="宋体" w:hAnsi="宋体"/>
          <w:szCs w:val="21"/>
        </w:rPr>
        <w:t>月</w:t>
      </w:r>
      <w:r>
        <w:rPr>
          <w:rFonts w:hint="eastAsia" w:ascii="宋体" w:hAnsi="宋体"/>
          <w:szCs w:val="21"/>
          <w:u w:val="single"/>
        </w:rPr>
        <w:t xml:space="preserve">     </w:t>
      </w:r>
      <w:r>
        <w:rPr>
          <w:rFonts w:hint="eastAsia" w:ascii="宋体" w:hAnsi="宋体"/>
          <w:szCs w:val="21"/>
        </w:rPr>
        <w:t>日</w:t>
      </w:r>
    </w:p>
    <w:p w14:paraId="2355E78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3D2ACC"/>
    <w:multiLevelType w:val="singleLevel"/>
    <w:tmpl w:val="1A3D2ACC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B03"/>
    <w:rsid w:val="00004B1A"/>
    <w:rsid w:val="00023D38"/>
    <w:rsid w:val="00050A95"/>
    <w:rsid w:val="000678AE"/>
    <w:rsid w:val="000A7A96"/>
    <w:rsid w:val="000F1ABF"/>
    <w:rsid w:val="000F75B4"/>
    <w:rsid w:val="00100E84"/>
    <w:rsid w:val="00176EC4"/>
    <w:rsid w:val="001B0FA1"/>
    <w:rsid w:val="002312DB"/>
    <w:rsid w:val="00231AF3"/>
    <w:rsid w:val="00254AFA"/>
    <w:rsid w:val="002D67E1"/>
    <w:rsid w:val="00306F6F"/>
    <w:rsid w:val="00326774"/>
    <w:rsid w:val="003745B8"/>
    <w:rsid w:val="0037526F"/>
    <w:rsid w:val="003A25E8"/>
    <w:rsid w:val="003B38ED"/>
    <w:rsid w:val="0041551B"/>
    <w:rsid w:val="00423034"/>
    <w:rsid w:val="00461DCC"/>
    <w:rsid w:val="00480B4F"/>
    <w:rsid w:val="00482C44"/>
    <w:rsid w:val="00490666"/>
    <w:rsid w:val="004B1508"/>
    <w:rsid w:val="004B3B09"/>
    <w:rsid w:val="004E5956"/>
    <w:rsid w:val="00575E56"/>
    <w:rsid w:val="00592734"/>
    <w:rsid w:val="005E19FD"/>
    <w:rsid w:val="005F25F1"/>
    <w:rsid w:val="00617A7C"/>
    <w:rsid w:val="00673959"/>
    <w:rsid w:val="0068688F"/>
    <w:rsid w:val="007A1DFD"/>
    <w:rsid w:val="0085377D"/>
    <w:rsid w:val="00856D2A"/>
    <w:rsid w:val="0085796F"/>
    <w:rsid w:val="0087106D"/>
    <w:rsid w:val="009022FB"/>
    <w:rsid w:val="00935FF8"/>
    <w:rsid w:val="00977E5A"/>
    <w:rsid w:val="0098509A"/>
    <w:rsid w:val="00A22D77"/>
    <w:rsid w:val="00A233F4"/>
    <w:rsid w:val="00A7272D"/>
    <w:rsid w:val="00A87A4F"/>
    <w:rsid w:val="00B36F42"/>
    <w:rsid w:val="00B562F5"/>
    <w:rsid w:val="00B97B03"/>
    <w:rsid w:val="00BC66A4"/>
    <w:rsid w:val="00BE51C7"/>
    <w:rsid w:val="00C1285D"/>
    <w:rsid w:val="00C21639"/>
    <w:rsid w:val="00CA70F8"/>
    <w:rsid w:val="00CB50F8"/>
    <w:rsid w:val="00CC7420"/>
    <w:rsid w:val="00D816E6"/>
    <w:rsid w:val="00DA0EB3"/>
    <w:rsid w:val="00DD4902"/>
    <w:rsid w:val="00DE0B49"/>
    <w:rsid w:val="00DF3609"/>
    <w:rsid w:val="00DF64A1"/>
    <w:rsid w:val="00EA5ABA"/>
    <w:rsid w:val="00EA7E4E"/>
    <w:rsid w:val="00EF4320"/>
    <w:rsid w:val="00EF74F9"/>
    <w:rsid w:val="00F13E5D"/>
    <w:rsid w:val="00F154C7"/>
    <w:rsid w:val="00F26861"/>
    <w:rsid w:val="00F57678"/>
    <w:rsid w:val="00FF1A2F"/>
    <w:rsid w:val="00FF2262"/>
    <w:rsid w:val="074026E4"/>
    <w:rsid w:val="09561076"/>
    <w:rsid w:val="0FFC0FF8"/>
    <w:rsid w:val="159863B1"/>
    <w:rsid w:val="16F455EB"/>
    <w:rsid w:val="20A974C0"/>
    <w:rsid w:val="22486A69"/>
    <w:rsid w:val="2860317D"/>
    <w:rsid w:val="2F2820FC"/>
    <w:rsid w:val="31F42769"/>
    <w:rsid w:val="33E800AC"/>
    <w:rsid w:val="355B7EB7"/>
    <w:rsid w:val="3D347EBE"/>
    <w:rsid w:val="414A4154"/>
    <w:rsid w:val="49441D2E"/>
    <w:rsid w:val="4F1E364A"/>
    <w:rsid w:val="517B2107"/>
    <w:rsid w:val="53563145"/>
    <w:rsid w:val="54D73DA1"/>
    <w:rsid w:val="575E6A88"/>
    <w:rsid w:val="5B422379"/>
    <w:rsid w:val="5D080375"/>
    <w:rsid w:val="607E307A"/>
    <w:rsid w:val="645962D8"/>
    <w:rsid w:val="65EE2A50"/>
    <w:rsid w:val="6AB71EE3"/>
    <w:rsid w:val="7DDB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10"/>
    <w:semiHidden/>
    <w:unhideWhenUsed/>
    <w:qFormat/>
    <w:uiPriority w:val="99"/>
    <w:pPr>
      <w:spacing w:line="360" w:lineRule="auto"/>
      <w:ind w:firstLine="480" w:firstLineChars="200"/>
    </w:pPr>
    <w:rPr>
      <w:rFonts w:ascii="Times New Roman" w:hAnsi="Times New Roman" w:cs="Times New Roman"/>
      <w:sz w:val="24"/>
      <w:szCs w:val="24"/>
    </w:rPr>
  </w:style>
  <w:style w:type="paragraph" w:styleId="3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Subtitle"/>
    <w:basedOn w:val="1"/>
    <w:next w:val="1"/>
    <w:link w:val="11"/>
    <w:qFormat/>
    <w:uiPriority w:val="99"/>
    <w:pPr>
      <w:wordWrap w:val="0"/>
      <w:spacing w:after="60"/>
      <w:jc w:val="center"/>
    </w:pPr>
    <w:rPr>
      <w:sz w:val="24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59"/>
    <w:rPr>
      <w:rFonts w:ascii="Times New Roman" w:hAnsi="Times New Roman" w:eastAsia="宋体" w:cs="Times New Roman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0">
    <w:name w:val="正文文本 字符"/>
    <w:basedOn w:val="9"/>
    <w:link w:val="2"/>
    <w:semiHidden/>
    <w:qFormat/>
    <w:uiPriority w:val="99"/>
    <w:rPr>
      <w:rFonts w:ascii="Times New Roman" w:hAnsi="Times New Roman" w:cs="Times New Roman"/>
      <w:sz w:val="24"/>
      <w:szCs w:val="24"/>
    </w:rPr>
  </w:style>
  <w:style w:type="character" w:customStyle="1" w:styleId="11">
    <w:name w:val="副标题 字符"/>
    <w:basedOn w:val="9"/>
    <w:link w:val="5"/>
    <w:qFormat/>
    <w:uiPriority w:val="99"/>
    <w:rPr>
      <w:sz w:val="24"/>
    </w:rPr>
  </w:style>
  <w:style w:type="paragraph" w:customStyle="1" w:styleId="12">
    <w:name w:val="样式 小四 行距: 1.5 倍行距"/>
    <w:basedOn w:val="1"/>
    <w:qFormat/>
    <w:uiPriority w:val="99"/>
    <w:pPr>
      <w:ind w:firstLine="480" w:firstLineChars="200"/>
    </w:pPr>
    <w:rPr>
      <w:rFonts w:cs="宋体"/>
    </w:rPr>
  </w:style>
  <w:style w:type="paragraph" w:customStyle="1" w:styleId="13">
    <w:name w:val="p0"/>
    <w:basedOn w:val="1"/>
    <w:qFormat/>
    <w:uiPriority w:val="0"/>
    <w:pPr>
      <w:widowControl/>
      <w:snapToGrid w:val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4">
    <w:name w:val="页眉 字符"/>
    <w:basedOn w:val="9"/>
    <w:link w:val="4"/>
    <w:qFormat/>
    <w:uiPriority w:val="99"/>
    <w:rPr>
      <w:kern w:val="2"/>
      <w:sz w:val="18"/>
      <w:szCs w:val="18"/>
    </w:rPr>
  </w:style>
  <w:style w:type="character" w:customStyle="1" w:styleId="15">
    <w:name w:val="页脚 字符"/>
    <w:basedOn w:val="9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62142-2FD3-44EA-8198-5F8D10F7DE1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10</Pages>
  <Words>2264</Words>
  <Characters>2442</Characters>
  <Lines>21</Lines>
  <Paragraphs>6</Paragraphs>
  <TotalTime>2</TotalTime>
  <ScaleCrop>false</ScaleCrop>
  <LinksUpToDate>false</LinksUpToDate>
  <CharactersWithSpaces>2822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2026-09-03T13:54:00Z</dcterms:created>
  <dc:creator>李伟</dc:creator>
  <cp:lastModifiedBy>Russ</cp:lastModifiedBy>
  <dcterms:modified xsi:type="dcterms:W3CDTF">2026-09-07T03:15:22Z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eyJoZGlkIjoiN2JjODQxZTM1MmEwZjc3NzJiNjM2OWM0ZjgyNDVkMmYiLCJ1c2VySWQiOiIyMDk4OTEwNjMifQ==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B4AD3BE9EA57437EB8F0692EF65811D3_13</vt:lpwstr>
  </property>
</Properties>
</file>