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E571F5D">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配电柜采购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编号：SFLHG-GKBX-2026-HW118</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sz w:val="30"/>
          <w:szCs w:val="30"/>
          <w:highlight w:val="non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9</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1</w:t>
      </w:r>
      <w:r>
        <w:rPr>
          <w:rFonts w:hint="eastAsia" w:cs="黑体" w:asciiTheme="minorEastAsia" w:hAnsiTheme="minorEastAsia" w:eastAsiaTheme="minorEastAsia"/>
          <w:b/>
          <w:bCs/>
          <w:sz w:val="30"/>
          <w:szCs w:val="30"/>
          <w:highlight w:val="none"/>
          <w:lang w:val="en-US" w:eastAsia="zh-CN"/>
        </w:rPr>
        <w:t>日</w:t>
      </w:r>
    </w:p>
    <w:p w14:paraId="08529DF2">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四川宏达股份有限公司</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配电柜采购比选文件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编号：SFLHG-GKBX-2026-HW118</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四川宏达股份有限公司什邡磷化工分公司、有色金属分公司因技改需要，需采购配电柜1批，本着“公开、公平、公正”的原则，现对该标的物进行公开比选</w:t>
      </w:r>
      <w:r>
        <w:rPr>
          <w:rFonts w:hint="eastAsia" w:ascii="黑体" w:hAnsi="黑体" w:eastAsia="黑体" w:cs="宋体"/>
          <w:kern w:val="0"/>
          <w:sz w:val="28"/>
          <w:szCs w:val="28"/>
        </w:rPr>
        <w:t>。欢迎贵公司前来报价，现将相关事项公告如下：</w:t>
      </w:r>
    </w:p>
    <w:p w14:paraId="6E2860FA">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配电柜</w:t>
      </w:r>
    </w:p>
    <w:p w14:paraId="3189E225">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二、比选人：</w:t>
      </w:r>
      <w:r>
        <w:rPr>
          <w:rFonts w:hint="eastAsia" w:ascii="黑体" w:hAnsi="黑体" w:eastAsia="黑体" w:cs="宋体"/>
          <w:kern w:val="0"/>
          <w:sz w:val="28"/>
          <w:szCs w:val="28"/>
          <w:lang w:val="en-US" w:eastAsia="zh-CN"/>
        </w:rPr>
        <w:t>四川宏达股份有限公司</w:t>
      </w:r>
      <w:r>
        <w:rPr>
          <w:rFonts w:hint="eastAsia" w:ascii="黑体" w:hAnsi="黑体" w:eastAsia="黑体" w:cs="宋体"/>
          <w:kern w:val="0"/>
          <w:sz w:val="28"/>
          <w:szCs w:val="28"/>
        </w:rPr>
        <w:t xml:space="preserve">  </w:t>
      </w:r>
    </w:p>
    <w:p w14:paraId="67EB3B3D">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名称及技术参数</w:t>
      </w:r>
      <w:r>
        <w:rPr>
          <w:rFonts w:hint="eastAsia" w:ascii="黑体" w:hAnsi="黑体" w:eastAsia="黑体" w:cs="宋体"/>
          <w:kern w:val="0"/>
          <w:sz w:val="28"/>
          <w:szCs w:val="28"/>
        </w:rPr>
        <w:t>：</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60"/>
        <w:gridCol w:w="1730"/>
        <w:gridCol w:w="3020"/>
        <w:gridCol w:w="800"/>
        <w:gridCol w:w="905"/>
        <w:gridCol w:w="2415"/>
      </w:tblGrid>
      <w:tr w14:paraId="17F37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序号</w:t>
            </w:r>
          </w:p>
        </w:tc>
        <w:tc>
          <w:tcPr>
            <w:tcW w:w="1730"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品名</w:t>
            </w:r>
          </w:p>
        </w:tc>
        <w:tc>
          <w:tcPr>
            <w:tcW w:w="3020"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编号</w:t>
            </w:r>
          </w:p>
        </w:tc>
        <w:tc>
          <w:tcPr>
            <w:tcW w:w="800" w:type="dxa"/>
            <w:tcBorders>
              <w:left w:val="single" w:color="auto" w:sz="4" w:space="0"/>
              <w:right w:val="single" w:color="auto" w:sz="4" w:space="0"/>
            </w:tcBorders>
            <w:noWrap w:val="0"/>
            <w:vAlign w:val="top"/>
          </w:tcPr>
          <w:p w14:paraId="5A0BC13B">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数量</w:t>
            </w:r>
          </w:p>
        </w:tc>
        <w:tc>
          <w:tcPr>
            <w:tcW w:w="905"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单位</w:t>
            </w:r>
          </w:p>
        </w:tc>
        <w:tc>
          <w:tcPr>
            <w:tcW w:w="2415" w:type="dxa"/>
            <w:tcBorders>
              <w:right w:val="single" w:color="auto" w:sz="4" w:space="0"/>
            </w:tcBorders>
            <w:noWrap w:val="0"/>
            <w:vAlign w:val="top"/>
          </w:tcPr>
          <w:p w14:paraId="470E18F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用途</w:t>
            </w:r>
          </w:p>
        </w:tc>
      </w:tr>
      <w:tr w14:paraId="1F960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2420F30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w:t>
            </w:r>
          </w:p>
        </w:tc>
        <w:tc>
          <w:tcPr>
            <w:tcW w:w="1730" w:type="dxa"/>
            <w:tcBorders>
              <w:left w:val="single" w:color="auto" w:sz="4" w:space="0"/>
            </w:tcBorders>
            <w:noWrap w:val="0"/>
            <w:vAlign w:val="center"/>
          </w:tcPr>
          <w:p w14:paraId="6CA0CEBB">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i w:val="0"/>
                <w:iCs w:val="0"/>
                <w:color w:val="000000"/>
                <w:kern w:val="0"/>
                <w:sz w:val="21"/>
                <w:szCs w:val="21"/>
                <w:u w:val="none"/>
                <w:lang w:val="en-US" w:eastAsia="zh-CN" w:bidi="ar"/>
              </w:rPr>
              <w:t>低压配电柜</w:t>
            </w:r>
          </w:p>
        </w:tc>
        <w:tc>
          <w:tcPr>
            <w:tcW w:w="3020" w:type="dxa"/>
            <w:tcBorders>
              <w:right w:val="single" w:color="auto" w:sz="4" w:space="0"/>
            </w:tcBorders>
            <w:noWrap w:val="0"/>
            <w:vAlign w:val="center"/>
          </w:tcPr>
          <w:p w14:paraId="3559797D">
            <w:pPr>
              <w:keepNext w:val="0"/>
              <w:keepLines w:val="0"/>
              <w:widowControl/>
              <w:suppressLineNumbers w:val="0"/>
              <w:jc w:val="center"/>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GGD/DWRAA101</w:t>
            </w:r>
          </w:p>
          <w:p w14:paraId="724A85FE">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1000（W）*800（D）*2200（H）</w:t>
            </w:r>
          </w:p>
        </w:tc>
        <w:tc>
          <w:tcPr>
            <w:tcW w:w="800" w:type="dxa"/>
            <w:tcBorders>
              <w:left w:val="single" w:color="auto" w:sz="4" w:space="0"/>
              <w:right w:val="single" w:color="auto" w:sz="4" w:space="0"/>
            </w:tcBorders>
            <w:noWrap w:val="0"/>
            <w:vAlign w:val="center"/>
          </w:tcPr>
          <w:p w14:paraId="11A9A719">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37820356">
            <w:pPr>
              <w:keepNext w:val="0"/>
              <w:keepLines w:val="0"/>
              <w:widowControl/>
              <w:suppressLineNumbers w:val="0"/>
              <w:jc w:val="center"/>
              <w:textAlignment w:val="center"/>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台</w:t>
            </w:r>
          </w:p>
        </w:tc>
        <w:tc>
          <w:tcPr>
            <w:tcW w:w="2415" w:type="dxa"/>
            <w:vMerge w:val="restart"/>
            <w:tcBorders>
              <w:right w:val="single" w:color="auto" w:sz="4" w:space="0"/>
            </w:tcBorders>
            <w:noWrap w:val="0"/>
            <w:vAlign w:val="center"/>
          </w:tcPr>
          <w:p w14:paraId="0E9D19F7">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磷化工/12万吨设备更新及配套余热发电项目</w:t>
            </w:r>
          </w:p>
        </w:tc>
      </w:tr>
      <w:tr w14:paraId="2FB41E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7ACFC42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2</w:t>
            </w:r>
          </w:p>
        </w:tc>
        <w:tc>
          <w:tcPr>
            <w:tcW w:w="1730" w:type="dxa"/>
            <w:tcBorders>
              <w:left w:val="single" w:color="auto" w:sz="4" w:space="0"/>
            </w:tcBorders>
            <w:noWrap w:val="0"/>
            <w:vAlign w:val="center"/>
          </w:tcPr>
          <w:p w14:paraId="7C140CC4">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i w:val="0"/>
                <w:iCs w:val="0"/>
                <w:color w:val="000000"/>
                <w:kern w:val="0"/>
                <w:sz w:val="21"/>
                <w:szCs w:val="21"/>
                <w:u w:val="none"/>
                <w:lang w:val="en-US" w:eastAsia="zh-CN" w:bidi="ar"/>
              </w:rPr>
              <w:t>低压配电柜</w:t>
            </w:r>
          </w:p>
        </w:tc>
        <w:tc>
          <w:tcPr>
            <w:tcW w:w="3020" w:type="dxa"/>
            <w:tcBorders>
              <w:right w:val="single" w:color="auto" w:sz="4" w:space="0"/>
            </w:tcBorders>
            <w:noWrap w:val="0"/>
            <w:vAlign w:val="center"/>
          </w:tcPr>
          <w:p w14:paraId="2B557497">
            <w:pPr>
              <w:keepNext w:val="0"/>
              <w:keepLines w:val="0"/>
              <w:widowControl/>
              <w:suppressLineNumbers w:val="0"/>
              <w:jc w:val="center"/>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GGD/DWRAA102</w:t>
            </w:r>
          </w:p>
          <w:p w14:paraId="682A0F73">
            <w:pPr>
              <w:keepNext w:val="0"/>
              <w:keepLines w:val="0"/>
              <w:widowControl/>
              <w:suppressLineNumbers w:val="0"/>
              <w:jc w:val="center"/>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800（W）*800（D）*2200（H）</w:t>
            </w:r>
          </w:p>
        </w:tc>
        <w:tc>
          <w:tcPr>
            <w:tcW w:w="800" w:type="dxa"/>
            <w:tcBorders>
              <w:left w:val="single" w:color="auto" w:sz="4" w:space="0"/>
              <w:right w:val="single" w:color="auto" w:sz="4" w:space="0"/>
            </w:tcBorders>
            <w:noWrap w:val="0"/>
            <w:vAlign w:val="center"/>
          </w:tcPr>
          <w:p w14:paraId="1096B41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06961AA8">
            <w:pPr>
              <w:keepNext w:val="0"/>
              <w:keepLines w:val="0"/>
              <w:widowControl/>
              <w:suppressLineNumbers w:val="0"/>
              <w:jc w:val="center"/>
              <w:textAlignment w:val="center"/>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台</w:t>
            </w:r>
          </w:p>
        </w:tc>
        <w:tc>
          <w:tcPr>
            <w:tcW w:w="2415" w:type="dxa"/>
            <w:vMerge w:val="continue"/>
            <w:tcBorders>
              <w:right w:val="single" w:color="auto" w:sz="4" w:space="0"/>
            </w:tcBorders>
            <w:noWrap w:val="0"/>
            <w:vAlign w:val="center"/>
          </w:tcPr>
          <w:p w14:paraId="108D456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6AF45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7A711F10">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3</w:t>
            </w:r>
          </w:p>
        </w:tc>
        <w:tc>
          <w:tcPr>
            <w:tcW w:w="1730" w:type="dxa"/>
            <w:tcBorders>
              <w:left w:val="single" w:color="auto" w:sz="4" w:space="0"/>
            </w:tcBorders>
            <w:noWrap w:val="0"/>
            <w:vAlign w:val="center"/>
          </w:tcPr>
          <w:p w14:paraId="1A840A69">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高压开关柜</w:t>
            </w:r>
          </w:p>
        </w:tc>
        <w:tc>
          <w:tcPr>
            <w:tcW w:w="3020" w:type="dxa"/>
            <w:tcBorders>
              <w:right w:val="single" w:color="auto" w:sz="4" w:space="0"/>
            </w:tcBorders>
            <w:noWrap w:val="0"/>
            <w:vAlign w:val="center"/>
          </w:tcPr>
          <w:p w14:paraId="281ED09F">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KYN28A-12/AK01          800（W）*1500（D）*2200（H）</w:t>
            </w:r>
          </w:p>
        </w:tc>
        <w:tc>
          <w:tcPr>
            <w:tcW w:w="800" w:type="dxa"/>
            <w:tcBorders>
              <w:left w:val="single" w:color="auto" w:sz="4" w:space="0"/>
              <w:right w:val="single" w:color="auto" w:sz="4" w:space="0"/>
            </w:tcBorders>
            <w:noWrap w:val="0"/>
            <w:vAlign w:val="center"/>
          </w:tcPr>
          <w:p w14:paraId="7EFF37BD">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270085C6">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台</w:t>
            </w:r>
          </w:p>
        </w:tc>
        <w:tc>
          <w:tcPr>
            <w:tcW w:w="2415" w:type="dxa"/>
            <w:vMerge w:val="continue"/>
            <w:tcBorders>
              <w:right w:val="single" w:color="auto" w:sz="4" w:space="0"/>
            </w:tcBorders>
            <w:noWrap w:val="0"/>
            <w:vAlign w:val="center"/>
          </w:tcPr>
          <w:p w14:paraId="7761C61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741569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1FE7F724">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4</w:t>
            </w:r>
          </w:p>
        </w:tc>
        <w:tc>
          <w:tcPr>
            <w:tcW w:w="1730" w:type="dxa"/>
            <w:tcBorders>
              <w:left w:val="single" w:color="auto" w:sz="4" w:space="0"/>
            </w:tcBorders>
            <w:shd w:val="clear" w:color="auto" w:fill="auto"/>
            <w:noWrap w:val="0"/>
            <w:vAlign w:val="center"/>
          </w:tcPr>
          <w:p w14:paraId="0D619CA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高压开关柜</w:t>
            </w:r>
          </w:p>
        </w:tc>
        <w:tc>
          <w:tcPr>
            <w:tcW w:w="3020" w:type="dxa"/>
            <w:tcBorders>
              <w:right w:val="single" w:color="auto" w:sz="4" w:space="0"/>
            </w:tcBorders>
            <w:shd w:val="clear" w:color="auto" w:fill="auto"/>
            <w:noWrap w:val="0"/>
            <w:vAlign w:val="center"/>
          </w:tcPr>
          <w:p w14:paraId="10486580">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rPr>
              <w:t>KYN28A-12/C0301AP       800（W）*1500（D）*2200（H）</w:t>
            </w:r>
          </w:p>
        </w:tc>
        <w:tc>
          <w:tcPr>
            <w:tcW w:w="800" w:type="dxa"/>
            <w:tcBorders>
              <w:left w:val="single" w:color="auto" w:sz="4" w:space="0"/>
              <w:right w:val="single" w:color="auto" w:sz="4" w:space="0"/>
            </w:tcBorders>
            <w:noWrap w:val="0"/>
            <w:vAlign w:val="center"/>
          </w:tcPr>
          <w:p w14:paraId="19FBA65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5C4E5809">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台</w:t>
            </w:r>
          </w:p>
        </w:tc>
        <w:tc>
          <w:tcPr>
            <w:tcW w:w="2415" w:type="dxa"/>
            <w:vMerge w:val="continue"/>
            <w:tcBorders>
              <w:right w:val="single" w:color="auto" w:sz="4" w:space="0"/>
            </w:tcBorders>
            <w:noWrap w:val="0"/>
            <w:vAlign w:val="center"/>
          </w:tcPr>
          <w:p w14:paraId="3D96C357">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00F91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0903D6B6">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5</w:t>
            </w:r>
          </w:p>
        </w:tc>
        <w:tc>
          <w:tcPr>
            <w:tcW w:w="1730" w:type="dxa"/>
            <w:tcBorders>
              <w:left w:val="single" w:color="auto" w:sz="4" w:space="0"/>
            </w:tcBorders>
            <w:noWrap w:val="0"/>
            <w:vAlign w:val="center"/>
          </w:tcPr>
          <w:p w14:paraId="1678CD4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高压开关柜</w:t>
            </w:r>
          </w:p>
        </w:tc>
        <w:tc>
          <w:tcPr>
            <w:tcW w:w="3020" w:type="dxa"/>
            <w:tcBorders>
              <w:right w:val="single" w:color="auto" w:sz="4" w:space="0"/>
            </w:tcBorders>
            <w:noWrap w:val="0"/>
            <w:vAlign w:val="center"/>
          </w:tcPr>
          <w:p w14:paraId="799ADEF4">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KYN28A-12/AH101</w:t>
            </w:r>
          </w:p>
        </w:tc>
        <w:tc>
          <w:tcPr>
            <w:tcW w:w="800" w:type="dxa"/>
            <w:tcBorders>
              <w:left w:val="single" w:color="auto" w:sz="4" w:space="0"/>
              <w:right w:val="single" w:color="auto" w:sz="4" w:space="0"/>
            </w:tcBorders>
            <w:noWrap w:val="0"/>
            <w:vAlign w:val="center"/>
          </w:tcPr>
          <w:p w14:paraId="2AE89C1D">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6EBB162E">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c>
          <w:tcPr>
            <w:tcW w:w="2415" w:type="dxa"/>
            <w:vMerge w:val="restart"/>
            <w:tcBorders>
              <w:right w:val="single" w:color="auto" w:sz="4" w:space="0"/>
            </w:tcBorders>
            <w:noWrap w:val="0"/>
            <w:vAlign w:val="center"/>
          </w:tcPr>
          <w:p w14:paraId="18006846">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有色公司/电解锌冶炼系统设备更新项目</w:t>
            </w:r>
          </w:p>
          <w:p w14:paraId="4181698A">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锌电解系统更新子项目</w:t>
            </w:r>
          </w:p>
        </w:tc>
      </w:tr>
      <w:tr w14:paraId="49AEA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5015A235">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6</w:t>
            </w:r>
          </w:p>
        </w:tc>
        <w:tc>
          <w:tcPr>
            <w:tcW w:w="1730" w:type="dxa"/>
            <w:tcBorders>
              <w:left w:val="single" w:color="auto" w:sz="4" w:space="0"/>
            </w:tcBorders>
            <w:noWrap w:val="0"/>
            <w:vAlign w:val="center"/>
          </w:tcPr>
          <w:p w14:paraId="506D501B">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高压开关柜</w:t>
            </w:r>
          </w:p>
        </w:tc>
        <w:tc>
          <w:tcPr>
            <w:tcW w:w="3020" w:type="dxa"/>
            <w:tcBorders>
              <w:right w:val="single" w:color="auto" w:sz="4" w:space="0"/>
            </w:tcBorders>
            <w:noWrap w:val="0"/>
            <w:vAlign w:val="center"/>
          </w:tcPr>
          <w:p w14:paraId="2B7E591C">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KYN28A-12/AH102</w:t>
            </w:r>
          </w:p>
        </w:tc>
        <w:tc>
          <w:tcPr>
            <w:tcW w:w="800" w:type="dxa"/>
            <w:tcBorders>
              <w:left w:val="single" w:color="auto" w:sz="4" w:space="0"/>
              <w:right w:val="single" w:color="auto" w:sz="4" w:space="0"/>
            </w:tcBorders>
            <w:noWrap w:val="0"/>
            <w:vAlign w:val="center"/>
          </w:tcPr>
          <w:p w14:paraId="12785D40">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4CBB2ABC">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台</w:t>
            </w:r>
          </w:p>
        </w:tc>
        <w:tc>
          <w:tcPr>
            <w:tcW w:w="2415" w:type="dxa"/>
            <w:vMerge w:val="continue"/>
            <w:tcBorders>
              <w:right w:val="single" w:color="auto" w:sz="4" w:space="0"/>
            </w:tcBorders>
            <w:noWrap w:val="0"/>
            <w:vAlign w:val="center"/>
          </w:tcPr>
          <w:p w14:paraId="14C0C791">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616CA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409D5811">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7</w:t>
            </w:r>
          </w:p>
        </w:tc>
        <w:tc>
          <w:tcPr>
            <w:tcW w:w="1730" w:type="dxa"/>
            <w:tcBorders>
              <w:left w:val="single" w:color="auto" w:sz="4" w:space="0"/>
            </w:tcBorders>
            <w:noWrap w:val="0"/>
            <w:vAlign w:val="center"/>
          </w:tcPr>
          <w:p w14:paraId="12B58453">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高压开关柜</w:t>
            </w:r>
          </w:p>
        </w:tc>
        <w:tc>
          <w:tcPr>
            <w:tcW w:w="3020" w:type="dxa"/>
            <w:tcBorders>
              <w:right w:val="single" w:color="auto" w:sz="4" w:space="0"/>
            </w:tcBorders>
            <w:noWrap w:val="0"/>
            <w:vAlign w:val="center"/>
          </w:tcPr>
          <w:p w14:paraId="1C28EE35">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KYN28A-12/AH103</w:t>
            </w:r>
          </w:p>
        </w:tc>
        <w:tc>
          <w:tcPr>
            <w:tcW w:w="800" w:type="dxa"/>
            <w:tcBorders>
              <w:left w:val="single" w:color="auto" w:sz="4" w:space="0"/>
              <w:right w:val="single" w:color="auto" w:sz="4" w:space="0"/>
            </w:tcBorders>
            <w:noWrap w:val="0"/>
            <w:vAlign w:val="center"/>
          </w:tcPr>
          <w:p w14:paraId="2DC70C44">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2200ED14">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台</w:t>
            </w:r>
          </w:p>
        </w:tc>
        <w:tc>
          <w:tcPr>
            <w:tcW w:w="2415" w:type="dxa"/>
            <w:vMerge w:val="continue"/>
            <w:tcBorders>
              <w:right w:val="single" w:color="auto" w:sz="4" w:space="0"/>
            </w:tcBorders>
            <w:noWrap w:val="0"/>
            <w:vAlign w:val="center"/>
          </w:tcPr>
          <w:p w14:paraId="38588B70">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2B409C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4A70180C">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8</w:t>
            </w:r>
          </w:p>
        </w:tc>
        <w:tc>
          <w:tcPr>
            <w:tcW w:w="1730" w:type="dxa"/>
            <w:tcBorders>
              <w:left w:val="single" w:color="auto" w:sz="4" w:space="0"/>
            </w:tcBorders>
            <w:noWrap w:val="0"/>
            <w:vAlign w:val="center"/>
          </w:tcPr>
          <w:p w14:paraId="7FC2C24E">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高压开关柜</w:t>
            </w:r>
          </w:p>
        </w:tc>
        <w:tc>
          <w:tcPr>
            <w:tcW w:w="3020" w:type="dxa"/>
            <w:tcBorders>
              <w:right w:val="single" w:color="auto" w:sz="4" w:space="0"/>
            </w:tcBorders>
            <w:noWrap w:val="0"/>
            <w:vAlign w:val="center"/>
          </w:tcPr>
          <w:p w14:paraId="4E0CCAEE">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KYN28A-12/AH104</w:t>
            </w:r>
          </w:p>
        </w:tc>
        <w:tc>
          <w:tcPr>
            <w:tcW w:w="800" w:type="dxa"/>
            <w:tcBorders>
              <w:left w:val="single" w:color="auto" w:sz="4" w:space="0"/>
              <w:right w:val="single" w:color="auto" w:sz="4" w:space="0"/>
            </w:tcBorders>
            <w:noWrap w:val="0"/>
            <w:vAlign w:val="center"/>
          </w:tcPr>
          <w:p w14:paraId="2B6972E2">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09BF6A3E">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台</w:t>
            </w:r>
          </w:p>
        </w:tc>
        <w:tc>
          <w:tcPr>
            <w:tcW w:w="2415" w:type="dxa"/>
            <w:vMerge w:val="continue"/>
            <w:tcBorders>
              <w:right w:val="single" w:color="auto" w:sz="4" w:space="0"/>
            </w:tcBorders>
            <w:noWrap w:val="0"/>
            <w:vAlign w:val="center"/>
          </w:tcPr>
          <w:p w14:paraId="401D54CE">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21963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0B818738">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9</w:t>
            </w:r>
          </w:p>
        </w:tc>
        <w:tc>
          <w:tcPr>
            <w:tcW w:w="1730" w:type="dxa"/>
            <w:tcBorders>
              <w:left w:val="single" w:color="auto" w:sz="4" w:space="0"/>
            </w:tcBorders>
            <w:noWrap w:val="0"/>
            <w:vAlign w:val="center"/>
          </w:tcPr>
          <w:p w14:paraId="72D586B8">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高压开关柜</w:t>
            </w:r>
          </w:p>
        </w:tc>
        <w:tc>
          <w:tcPr>
            <w:tcW w:w="3020" w:type="dxa"/>
            <w:tcBorders>
              <w:right w:val="single" w:color="auto" w:sz="4" w:space="0"/>
            </w:tcBorders>
            <w:noWrap w:val="0"/>
            <w:vAlign w:val="center"/>
          </w:tcPr>
          <w:p w14:paraId="0929B0FE">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KYN28A-12/AH105</w:t>
            </w:r>
          </w:p>
        </w:tc>
        <w:tc>
          <w:tcPr>
            <w:tcW w:w="800" w:type="dxa"/>
            <w:tcBorders>
              <w:left w:val="single" w:color="auto" w:sz="4" w:space="0"/>
              <w:right w:val="single" w:color="auto" w:sz="4" w:space="0"/>
            </w:tcBorders>
            <w:noWrap w:val="0"/>
            <w:vAlign w:val="center"/>
          </w:tcPr>
          <w:p w14:paraId="79C2CB7B">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3F5F58C2">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台</w:t>
            </w:r>
          </w:p>
        </w:tc>
        <w:tc>
          <w:tcPr>
            <w:tcW w:w="2415" w:type="dxa"/>
            <w:vMerge w:val="continue"/>
            <w:tcBorders>
              <w:right w:val="single" w:color="auto" w:sz="4" w:space="0"/>
            </w:tcBorders>
            <w:noWrap w:val="0"/>
            <w:vAlign w:val="center"/>
          </w:tcPr>
          <w:p w14:paraId="15B3F0B1">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3DCE1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7201FD1B">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10</w:t>
            </w:r>
          </w:p>
        </w:tc>
        <w:tc>
          <w:tcPr>
            <w:tcW w:w="1730" w:type="dxa"/>
            <w:tcBorders>
              <w:left w:val="single" w:color="auto" w:sz="4" w:space="0"/>
            </w:tcBorders>
            <w:noWrap w:val="0"/>
            <w:vAlign w:val="center"/>
          </w:tcPr>
          <w:p w14:paraId="53A03075">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高压开关柜</w:t>
            </w:r>
          </w:p>
        </w:tc>
        <w:tc>
          <w:tcPr>
            <w:tcW w:w="3020" w:type="dxa"/>
            <w:tcBorders>
              <w:right w:val="single" w:color="auto" w:sz="4" w:space="0"/>
            </w:tcBorders>
            <w:noWrap w:val="0"/>
            <w:vAlign w:val="center"/>
          </w:tcPr>
          <w:p w14:paraId="13F56A80">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KYN28A-12/AH106</w:t>
            </w:r>
          </w:p>
        </w:tc>
        <w:tc>
          <w:tcPr>
            <w:tcW w:w="800" w:type="dxa"/>
            <w:tcBorders>
              <w:left w:val="single" w:color="auto" w:sz="4" w:space="0"/>
              <w:right w:val="single" w:color="auto" w:sz="4" w:space="0"/>
            </w:tcBorders>
            <w:noWrap w:val="0"/>
            <w:vAlign w:val="center"/>
          </w:tcPr>
          <w:p w14:paraId="434EEC49">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645F98EC">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台</w:t>
            </w:r>
          </w:p>
        </w:tc>
        <w:tc>
          <w:tcPr>
            <w:tcW w:w="2415" w:type="dxa"/>
            <w:vMerge w:val="continue"/>
            <w:tcBorders>
              <w:right w:val="single" w:color="auto" w:sz="4" w:space="0"/>
            </w:tcBorders>
            <w:noWrap w:val="0"/>
            <w:vAlign w:val="center"/>
          </w:tcPr>
          <w:p w14:paraId="2C74CCE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4A25A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422EC6D1">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11</w:t>
            </w:r>
          </w:p>
        </w:tc>
        <w:tc>
          <w:tcPr>
            <w:tcW w:w="1730" w:type="dxa"/>
            <w:tcBorders>
              <w:left w:val="single" w:color="auto" w:sz="4" w:space="0"/>
            </w:tcBorders>
            <w:noWrap w:val="0"/>
            <w:vAlign w:val="center"/>
          </w:tcPr>
          <w:p w14:paraId="28CF88CB">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高压开关柜</w:t>
            </w:r>
          </w:p>
        </w:tc>
        <w:tc>
          <w:tcPr>
            <w:tcW w:w="3020" w:type="dxa"/>
            <w:tcBorders>
              <w:right w:val="single" w:color="auto" w:sz="4" w:space="0"/>
            </w:tcBorders>
            <w:noWrap w:val="0"/>
            <w:vAlign w:val="center"/>
          </w:tcPr>
          <w:p w14:paraId="787FC977">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KYN28A-12/AH107</w:t>
            </w:r>
          </w:p>
        </w:tc>
        <w:tc>
          <w:tcPr>
            <w:tcW w:w="800" w:type="dxa"/>
            <w:tcBorders>
              <w:left w:val="single" w:color="auto" w:sz="4" w:space="0"/>
              <w:right w:val="single" w:color="auto" w:sz="4" w:space="0"/>
            </w:tcBorders>
            <w:noWrap w:val="0"/>
            <w:vAlign w:val="center"/>
          </w:tcPr>
          <w:p w14:paraId="5AB5462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7BDE5F68">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台</w:t>
            </w:r>
          </w:p>
        </w:tc>
        <w:tc>
          <w:tcPr>
            <w:tcW w:w="2415" w:type="dxa"/>
            <w:vMerge w:val="continue"/>
            <w:tcBorders>
              <w:right w:val="single" w:color="auto" w:sz="4" w:space="0"/>
            </w:tcBorders>
            <w:noWrap w:val="0"/>
            <w:vAlign w:val="center"/>
          </w:tcPr>
          <w:p w14:paraId="3BA3CEFF">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28DD0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7E927606">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12</w:t>
            </w:r>
          </w:p>
        </w:tc>
        <w:tc>
          <w:tcPr>
            <w:tcW w:w="1730" w:type="dxa"/>
            <w:tcBorders>
              <w:left w:val="single" w:color="auto" w:sz="4" w:space="0"/>
            </w:tcBorders>
            <w:noWrap w:val="0"/>
            <w:vAlign w:val="center"/>
          </w:tcPr>
          <w:p w14:paraId="11CDBDEC">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高压开关柜</w:t>
            </w:r>
          </w:p>
        </w:tc>
        <w:tc>
          <w:tcPr>
            <w:tcW w:w="3020" w:type="dxa"/>
            <w:tcBorders>
              <w:right w:val="single" w:color="auto" w:sz="4" w:space="0"/>
            </w:tcBorders>
            <w:noWrap w:val="0"/>
            <w:vAlign w:val="center"/>
          </w:tcPr>
          <w:p w14:paraId="3DCCD2AA">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KYN28A-12/AH108</w:t>
            </w:r>
          </w:p>
        </w:tc>
        <w:tc>
          <w:tcPr>
            <w:tcW w:w="800" w:type="dxa"/>
            <w:tcBorders>
              <w:left w:val="single" w:color="auto" w:sz="4" w:space="0"/>
              <w:right w:val="single" w:color="auto" w:sz="4" w:space="0"/>
            </w:tcBorders>
            <w:noWrap w:val="0"/>
            <w:vAlign w:val="center"/>
          </w:tcPr>
          <w:p w14:paraId="24C3030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5471BEB5">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台</w:t>
            </w:r>
          </w:p>
        </w:tc>
        <w:tc>
          <w:tcPr>
            <w:tcW w:w="2415" w:type="dxa"/>
            <w:vMerge w:val="continue"/>
            <w:tcBorders>
              <w:right w:val="single" w:color="auto" w:sz="4" w:space="0"/>
            </w:tcBorders>
            <w:noWrap w:val="0"/>
            <w:vAlign w:val="center"/>
          </w:tcPr>
          <w:p w14:paraId="638A63F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05263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722C2F50">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13</w:t>
            </w:r>
          </w:p>
        </w:tc>
        <w:tc>
          <w:tcPr>
            <w:tcW w:w="1730" w:type="dxa"/>
            <w:tcBorders>
              <w:left w:val="single" w:color="auto" w:sz="4" w:space="0"/>
            </w:tcBorders>
            <w:noWrap w:val="0"/>
            <w:vAlign w:val="center"/>
          </w:tcPr>
          <w:p w14:paraId="71476F31">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高压开关柜</w:t>
            </w:r>
          </w:p>
        </w:tc>
        <w:tc>
          <w:tcPr>
            <w:tcW w:w="3020" w:type="dxa"/>
            <w:tcBorders>
              <w:right w:val="single" w:color="auto" w:sz="4" w:space="0"/>
            </w:tcBorders>
            <w:noWrap w:val="0"/>
            <w:vAlign w:val="center"/>
          </w:tcPr>
          <w:p w14:paraId="1BFF8AB2">
            <w:pPr>
              <w:keepNext w:val="0"/>
              <w:keepLines w:val="0"/>
              <w:widowControl/>
              <w:suppressLineNumbers w:val="0"/>
              <w:jc w:val="center"/>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KYN28A-12/AH109（备用）</w:t>
            </w:r>
          </w:p>
        </w:tc>
        <w:tc>
          <w:tcPr>
            <w:tcW w:w="800" w:type="dxa"/>
            <w:tcBorders>
              <w:left w:val="single" w:color="auto" w:sz="4" w:space="0"/>
              <w:right w:val="single" w:color="auto" w:sz="4" w:space="0"/>
            </w:tcBorders>
            <w:noWrap w:val="0"/>
            <w:vAlign w:val="center"/>
          </w:tcPr>
          <w:p w14:paraId="5C41DE7B">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0DBF52AB">
            <w:pPr>
              <w:keepNext w:val="0"/>
              <w:keepLines w:val="0"/>
              <w:widowControl/>
              <w:suppressLineNumbers w:val="0"/>
              <w:jc w:val="center"/>
              <w:textAlignment w:val="center"/>
              <w:rPr>
                <w:rFonts w:hint="eastAsia" w:ascii="黑体" w:hAnsi="黑体" w:eastAsia="黑体" w:cs="黑体"/>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台</w:t>
            </w:r>
          </w:p>
        </w:tc>
        <w:tc>
          <w:tcPr>
            <w:tcW w:w="2415" w:type="dxa"/>
            <w:vMerge w:val="continue"/>
            <w:tcBorders>
              <w:right w:val="single" w:color="auto" w:sz="4" w:space="0"/>
            </w:tcBorders>
            <w:noWrap w:val="0"/>
            <w:vAlign w:val="center"/>
          </w:tcPr>
          <w:p w14:paraId="21EAAA62">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48228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207CBC9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14</w:t>
            </w:r>
          </w:p>
        </w:tc>
        <w:tc>
          <w:tcPr>
            <w:tcW w:w="1730" w:type="dxa"/>
            <w:tcBorders>
              <w:left w:val="single" w:color="auto" w:sz="4" w:space="0"/>
            </w:tcBorders>
            <w:noWrap w:val="0"/>
            <w:vAlign w:val="center"/>
          </w:tcPr>
          <w:p w14:paraId="0F8DFA5A">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直流屏</w:t>
            </w:r>
          </w:p>
        </w:tc>
        <w:tc>
          <w:tcPr>
            <w:tcW w:w="3020" w:type="dxa"/>
            <w:tcBorders>
              <w:right w:val="single" w:color="auto" w:sz="4" w:space="0"/>
            </w:tcBorders>
            <w:noWrap w:val="0"/>
            <w:vAlign w:val="center"/>
          </w:tcPr>
          <w:p w14:paraId="5996E015">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50AH</w:t>
            </w:r>
          </w:p>
        </w:tc>
        <w:tc>
          <w:tcPr>
            <w:tcW w:w="800" w:type="dxa"/>
            <w:tcBorders>
              <w:left w:val="single" w:color="auto" w:sz="4" w:space="0"/>
              <w:right w:val="single" w:color="auto" w:sz="4" w:space="0"/>
            </w:tcBorders>
            <w:noWrap w:val="0"/>
            <w:vAlign w:val="center"/>
          </w:tcPr>
          <w:p w14:paraId="6B00F930">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w:t>
            </w:r>
          </w:p>
        </w:tc>
        <w:tc>
          <w:tcPr>
            <w:tcW w:w="905" w:type="dxa"/>
            <w:tcBorders>
              <w:right w:val="single" w:color="auto" w:sz="4" w:space="0"/>
            </w:tcBorders>
            <w:noWrap w:val="0"/>
            <w:vAlign w:val="center"/>
          </w:tcPr>
          <w:p w14:paraId="52FB5014">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台</w:t>
            </w:r>
          </w:p>
        </w:tc>
        <w:tc>
          <w:tcPr>
            <w:tcW w:w="2415" w:type="dxa"/>
            <w:vMerge w:val="continue"/>
            <w:tcBorders>
              <w:right w:val="single" w:color="auto" w:sz="4" w:space="0"/>
            </w:tcBorders>
            <w:noWrap w:val="0"/>
            <w:vAlign w:val="center"/>
          </w:tcPr>
          <w:p w14:paraId="6887635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0A985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1CCB4181">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15</w:t>
            </w:r>
          </w:p>
        </w:tc>
        <w:tc>
          <w:tcPr>
            <w:tcW w:w="1730" w:type="dxa"/>
            <w:tcBorders>
              <w:left w:val="single" w:color="auto" w:sz="4" w:space="0"/>
            </w:tcBorders>
            <w:noWrap w:val="0"/>
            <w:vAlign w:val="center"/>
          </w:tcPr>
          <w:p w14:paraId="40CF04C4">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后台系统</w:t>
            </w:r>
          </w:p>
        </w:tc>
        <w:tc>
          <w:tcPr>
            <w:tcW w:w="3020" w:type="dxa"/>
            <w:tcBorders>
              <w:right w:val="single" w:color="auto" w:sz="4" w:space="0"/>
            </w:tcBorders>
            <w:noWrap w:val="0"/>
            <w:vAlign w:val="center"/>
          </w:tcPr>
          <w:p w14:paraId="5550AE7A">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含五防柜、电脑</w:t>
            </w:r>
          </w:p>
        </w:tc>
        <w:tc>
          <w:tcPr>
            <w:tcW w:w="800" w:type="dxa"/>
            <w:tcBorders>
              <w:left w:val="single" w:color="auto" w:sz="4" w:space="0"/>
              <w:right w:val="single" w:color="auto" w:sz="4" w:space="0"/>
            </w:tcBorders>
            <w:noWrap w:val="0"/>
            <w:vAlign w:val="center"/>
          </w:tcPr>
          <w:p w14:paraId="5BDF2D68">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w:t>
            </w:r>
          </w:p>
        </w:tc>
        <w:tc>
          <w:tcPr>
            <w:tcW w:w="905" w:type="dxa"/>
            <w:tcBorders>
              <w:right w:val="single" w:color="auto" w:sz="4" w:space="0"/>
            </w:tcBorders>
            <w:noWrap w:val="0"/>
            <w:vAlign w:val="center"/>
          </w:tcPr>
          <w:p w14:paraId="49B5AE75">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台</w:t>
            </w:r>
          </w:p>
        </w:tc>
        <w:tc>
          <w:tcPr>
            <w:tcW w:w="2415" w:type="dxa"/>
            <w:vMerge w:val="continue"/>
            <w:tcBorders>
              <w:right w:val="single" w:color="auto" w:sz="4" w:space="0"/>
            </w:tcBorders>
            <w:noWrap w:val="0"/>
            <w:vAlign w:val="center"/>
          </w:tcPr>
          <w:p w14:paraId="4F81A15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3E34E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3394FAA6">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16</w:t>
            </w:r>
          </w:p>
        </w:tc>
        <w:tc>
          <w:tcPr>
            <w:tcW w:w="1730" w:type="dxa"/>
            <w:tcBorders>
              <w:left w:val="single" w:color="auto" w:sz="4" w:space="0"/>
            </w:tcBorders>
            <w:noWrap w:val="0"/>
            <w:vAlign w:val="center"/>
          </w:tcPr>
          <w:p w14:paraId="352E732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转运小车</w:t>
            </w:r>
          </w:p>
        </w:tc>
        <w:tc>
          <w:tcPr>
            <w:tcW w:w="3020" w:type="dxa"/>
            <w:tcBorders>
              <w:right w:val="single" w:color="auto" w:sz="4" w:space="0"/>
            </w:tcBorders>
            <w:noWrap w:val="0"/>
            <w:vAlign w:val="bottom"/>
          </w:tcPr>
          <w:p w14:paraId="4AD96D03">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800mm</w:t>
            </w:r>
          </w:p>
        </w:tc>
        <w:tc>
          <w:tcPr>
            <w:tcW w:w="800" w:type="dxa"/>
            <w:tcBorders>
              <w:left w:val="single" w:color="auto" w:sz="4" w:space="0"/>
              <w:right w:val="single" w:color="auto" w:sz="4" w:space="0"/>
            </w:tcBorders>
            <w:noWrap w:val="0"/>
            <w:vAlign w:val="center"/>
          </w:tcPr>
          <w:p w14:paraId="7E18622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2</w:t>
            </w:r>
          </w:p>
        </w:tc>
        <w:tc>
          <w:tcPr>
            <w:tcW w:w="905" w:type="dxa"/>
            <w:tcBorders>
              <w:right w:val="single" w:color="auto" w:sz="4" w:space="0"/>
            </w:tcBorders>
            <w:noWrap w:val="0"/>
            <w:vAlign w:val="center"/>
          </w:tcPr>
          <w:p w14:paraId="221F677A">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台</w:t>
            </w:r>
          </w:p>
        </w:tc>
        <w:tc>
          <w:tcPr>
            <w:tcW w:w="2415" w:type="dxa"/>
            <w:vMerge w:val="continue"/>
            <w:tcBorders>
              <w:right w:val="single" w:color="auto" w:sz="4" w:space="0"/>
            </w:tcBorders>
            <w:noWrap w:val="0"/>
            <w:vAlign w:val="center"/>
          </w:tcPr>
          <w:p w14:paraId="544D203A">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75E11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6AA16EEC">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17</w:t>
            </w:r>
          </w:p>
        </w:tc>
        <w:tc>
          <w:tcPr>
            <w:tcW w:w="1730" w:type="dxa"/>
            <w:tcBorders>
              <w:left w:val="single" w:color="auto" w:sz="4" w:space="0"/>
            </w:tcBorders>
            <w:noWrap w:val="0"/>
            <w:vAlign w:val="center"/>
          </w:tcPr>
          <w:p w14:paraId="006E5F87">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转运小车</w:t>
            </w:r>
          </w:p>
        </w:tc>
        <w:tc>
          <w:tcPr>
            <w:tcW w:w="3020" w:type="dxa"/>
            <w:tcBorders>
              <w:right w:val="single" w:color="auto" w:sz="4" w:space="0"/>
            </w:tcBorders>
            <w:noWrap w:val="0"/>
            <w:vAlign w:val="bottom"/>
          </w:tcPr>
          <w:p w14:paraId="7F407360">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1000mm</w:t>
            </w:r>
          </w:p>
        </w:tc>
        <w:tc>
          <w:tcPr>
            <w:tcW w:w="800" w:type="dxa"/>
            <w:tcBorders>
              <w:left w:val="single" w:color="auto" w:sz="4" w:space="0"/>
              <w:right w:val="single" w:color="auto" w:sz="4" w:space="0"/>
            </w:tcBorders>
            <w:noWrap w:val="0"/>
            <w:vAlign w:val="center"/>
          </w:tcPr>
          <w:p w14:paraId="6B086C4F">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w:t>
            </w:r>
          </w:p>
        </w:tc>
        <w:tc>
          <w:tcPr>
            <w:tcW w:w="905" w:type="dxa"/>
            <w:tcBorders>
              <w:right w:val="single" w:color="auto" w:sz="4" w:space="0"/>
            </w:tcBorders>
            <w:noWrap w:val="0"/>
            <w:vAlign w:val="center"/>
          </w:tcPr>
          <w:p w14:paraId="11A5379F">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台</w:t>
            </w:r>
          </w:p>
        </w:tc>
        <w:tc>
          <w:tcPr>
            <w:tcW w:w="2415" w:type="dxa"/>
            <w:vMerge w:val="continue"/>
            <w:tcBorders>
              <w:right w:val="single" w:color="auto" w:sz="4" w:space="0"/>
            </w:tcBorders>
            <w:noWrap w:val="0"/>
            <w:vAlign w:val="center"/>
          </w:tcPr>
          <w:p w14:paraId="0BA03F8B">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55B71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30" w:type="dxa"/>
            <w:gridSpan w:val="6"/>
            <w:tcBorders>
              <w:right w:val="single" w:color="auto" w:sz="4" w:space="0"/>
            </w:tcBorders>
            <w:noWrap w:val="0"/>
            <w:vAlign w:val="center"/>
          </w:tcPr>
          <w:p w14:paraId="753CCD0E">
            <w:pPr>
              <w:keepNext w:val="0"/>
              <w:keepLines w:val="0"/>
              <w:pageBreakBefore w:val="0"/>
              <w:kinsoku/>
              <w:wordWrap/>
              <w:overflowPunct/>
              <w:topLinePunct w:val="0"/>
              <w:autoSpaceDE/>
              <w:autoSpaceDN/>
              <w:bidi w:val="0"/>
              <w:spacing w:line="480" w:lineRule="exact"/>
              <w:jc w:val="left"/>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说明：</w:t>
            </w:r>
          </w:p>
          <w:p w14:paraId="18E05F72">
            <w:pPr>
              <w:keepNext w:val="0"/>
              <w:keepLines w:val="0"/>
              <w:pageBreakBefore w:val="0"/>
              <w:numPr>
                <w:ilvl w:val="0"/>
                <w:numId w:val="0"/>
              </w:numPr>
              <w:kinsoku/>
              <w:wordWrap/>
              <w:overflowPunct/>
              <w:topLinePunct w:val="0"/>
              <w:autoSpaceDE/>
              <w:autoSpaceDN/>
              <w:bidi w:val="0"/>
              <w:spacing w:line="480" w:lineRule="exact"/>
              <w:jc w:val="left"/>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1、该表中序号3开关柜AK01系统联络线电源柜上的微机保护型号由RCS9613CS光差保护装置，改成型号为RCS9611CS线路保护装置，同时该柜的二次控制原理图制造厂家作相应变更。</w:t>
            </w:r>
          </w:p>
          <w:p w14:paraId="7E9B1447">
            <w:pPr>
              <w:keepNext w:val="0"/>
              <w:keepLines w:val="0"/>
              <w:pageBreakBefore w:val="0"/>
              <w:numPr>
                <w:ilvl w:val="0"/>
                <w:numId w:val="0"/>
              </w:numPr>
              <w:kinsoku/>
              <w:wordWrap/>
              <w:overflowPunct/>
              <w:topLinePunct w:val="0"/>
              <w:autoSpaceDE/>
              <w:autoSpaceDN/>
              <w:bidi w:val="0"/>
              <w:spacing w:line="480" w:lineRule="exact"/>
              <w:jc w:val="left"/>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2、该表中序号3开关柜AK01系统联络线电源柜的电源进线采用电缆进线与已有的10KV母线连接方式，厂家制造时需预留电缆进出的空间以及电缆接线柱。</w:t>
            </w:r>
          </w:p>
          <w:p w14:paraId="38790906">
            <w:pPr>
              <w:keepNext w:val="0"/>
              <w:keepLines w:val="0"/>
              <w:pageBreakBefore w:val="0"/>
              <w:kinsoku/>
              <w:wordWrap/>
              <w:overflowPunct/>
              <w:topLinePunct w:val="0"/>
              <w:autoSpaceDE/>
              <w:autoSpaceDN/>
              <w:bidi w:val="0"/>
              <w:spacing w:line="480" w:lineRule="exact"/>
              <w:jc w:val="left"/>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3、供货单位负责设计出图、盖章后递交施工单位用于供电审批。</w:t>
            </w:r>
          </w:p>
          <w:p w14:paraId="6BF08F66">
            <w:pPr>
              <w:keepNext w:val="0"/>
              <w:keepLines w:val="0"/>
              <w:pageBreakBefore w:val="0"/>
              <w:kinsoku/>
              <w:wordWrap/>
              <w:overflowPunct/>
              <w:topLinePunct w:val="0"/>
              <w:autoSpaceDE/>
              <w:autoSpaceDN/>
              <w:bidi w:val="0"/>
              <w:spacing w:line="480" w:lineRule="exact"/>
              <w:jc w:val="left"/>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4、配电柜配置、技术要求详见设计图和技术规格书。</w:t>
            </w:r>
          </w:p>
        </w:tc>
      </w:tr>
    </w:tbl>
    <w:p w14:paraId="01D54A5C">
      <w:pPr>
        <w:keepNext w:val="0"/>
        <w:keepLines w:val="0"/>
        <w:pageBreakBefore w:val="0"/>
        <w:kinsoku/>
        <w:wordWrap/>
        <w:overflowPunct/>
        <w:topLinePunct w:val="0"/>
        <w:autoSpaceDE/>
        <w:autoSpaceDN/>
        <w:bidi w:val="0"/>
        <w:spacing w:line="360" w:lineRule="auto"/>
        <w:textAlignment w:val="auto"/>
        <w:rPr>
          <w:rFonts w:hint="eastAsia" w:ascii="黑体" w:hAnsi="黑体" w:eastAsia="黑体" w:cs="宋体"/>
          <w:kern w:val="0"/>
          <w:sz w:val="28"/>
          <w:szCs w:val="28"/>
          <w:lang w:val="en-US" w:eastAsia="zh-CN"/>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师古镇。</w:t>
      </w:r>
    </w:p>
    <w:p w14:paraId="1248BFDC">
      <w:pPr>
        <w:keepNext w:val="0"/>
        <w:keepLines w:val="0"/>
        <w:pageBreakBefore w:val="0"/>
        <w:kinsoku/>
        <w:wordWrap/>
        <w:overflowPunct/>
        <w:topLinePunct w:val="0"/>
        <w:autoSpaceDE/>
        <w:autoSpaceDN/>
        <w:bidi w:val="0"/>
        <w:spacing w:line="360" w:lineRule="auto"/>
        <w:textAlignment w:val="auto"/>
        <w:rPr>
          <w:rFonts w:hint="eastAsia"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3.交货期：合同生效之日起30个自然日内，由中选人将标的物运（发）至交货地点。</w:t>
      </w:r>
    </w:p>
    <w:p w14:paraId="568AF9C7">
      <w:pPr>
        <w:keepNext w:val="0"/>
        <w:keepLines w:val="0"/>
        <w:pageBreakBefore w:val="0"/>
        <w:kinsoku/>
        <w:wordWrap/>
        <w:overflowPunct/>
        <w:topLinePunct w:val="0"/>
        <w:autoSpaceDE/>
        <w:autoSpaceDN/>
        <w:bidi w:val="0"/>
        <w:spacing w:line="360" w:lineRule="auto"/>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360" w:lineRule="auto"/>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标的物验收合格、且收到中选人合同全额增值税发票之日起2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合同总额的</w:t>
      </w:r>
      <w:r>
        <w:rPr>
          <w:rFonts w:hint="eastAsia" w:ascii="黑体" w:hAnsi="黑体" w:eastAsia="黑体" w:cs="黑体"/>
          <w:kern w:val="0"/>
          <w:sz w:val="28"/>
          <w:szCs w:val="28"/>
          <w:lang w:val="en-US" w:eastAsia="zh-CN"/>
        </w:rPr>
        <w:t>9</w:t>
      </w:r>
      <w:r>
        <w:rPr>
          <w:rFonts w:hint="eastAsia" w:ascii="黑体" w:hAnsi="黑体" w:eastAsia="黑体" w:cs="黑体"/>
          <w:kern w:val="0"/>
          <w:sz w:val="28"/>
          <w:szCs w:val="28"/>
        </w:rPr>
        <w:t>0%；余</w:t>
      </w:r>
      <w:r>
        <w:rPr>
          <w:rFonts w:hint="eastAsia" w:ascii="黑体" w:hAnsi="黑体" w:eastAsia="黑体" w:cs="黑体"/>
          <w:kern w:val="0"/>
          <w:sz w:val="28"/>
          <w:szCs w:val="28"/>
          <w:lang w:val="en-US" w:eastAsia="zh-CN"/>
        </w:rPr>
        <w:t>10</w:t>
      </w:r>
      <w:r>
        <w:rPr>
          <w:rFonts w:hint="eastAsia" w:ascii="黑体" w:hAnsi="黑体" w:eastAsia="黑体" w:cs="黑体"/>
          <w:kern w:val="0"/>
          <w:sz w:val="28"/>
          <w:szCs w:val="28"/>
        </w:rPr>
        <w:t>%作为质保金，待质保期结束且无质量异议后</w:t>
      </w:r>
      <w:r>
        <w:rPr>
          <w:rFonts w:hint="eastAsia" w:ascii="黑体" w:hAnsi="黑体" w:eastAsia="黑体" w:cs="黑体"/>
          <w:kern w:val="0"/>
          <w:sz w:val="28"/>
          <w:szCs w:val="28"/>
          <w:lang w:val="en-US" w:eastAsia="zh-CN"/>
        </w:rPr>
        <w:t>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360" w:lineRule="auto"/>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360" w:lineRule="auto"/>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360" w:lineRule="auto"/>
        <w:rPr>
          <w:rFonts w:ascii="黑体" w:hAnsi="黑体" w:eastAsia="黑体" w:cs="宋体"/>
          <w:kern w:val="0"/>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或合同约定对标的物外观质量、规格型号、数量、配置等</w:t>
      </w:r>
      <w:r>
        <w:rPr>
          <w:rFonts w:hint="eastAsia" w:ascii="黑体" w:hAnsi="黑体" w:eastAsia="黑体" w:cs="Times New Roman"/>
          <w:sz w:val="28"/>
          <w:szCs w:val="28"/>
        </w:rPr>
        <w:t>进行入库验收。</w:t>
      </w:r>
    </w:p>
    <w:p w14:paraId="38D383CD">
      <w:pPr>
        <w:spacing w:line="360" w:lineRule="auto"/>
        <w:rPr>
          <w:rFonts w:hint="eastAsia" w:ascii="黑体" w:hAnsi="黑体" w:eastAsia="黑体" w:cs="黑体"/>
          <w:kern w:val="2"/>
          <w:sz w:val="28"/>
          <w:szCs w:val="28"/>
          <w:lang w:val="en-US" w:eastAsia="zh-CN" w:bidi="ar-SA"/>
        </w:rPr>
      </w:pPr>
      <w:r>
        <w:rPr>
          <w:rFonts w:hint="eastAsia" w:ascii="黑体" w:hAnsi="黑体" w:eastAsia="黑体" w:cs="仿宋_GB2312"/>
          <w:sz w:val="28"/>
          <w:szCs w:val="28"/>
          <w:lang w:val="en-US" w:eastAsia="zh-CN"/>
        </w:rPr>
        <w:t>②</w:t>
      </w:r>
      <w:r>
        <w:rPr>
          <w:rFonts w:hint="eastAsia" w:ascii="黑体" w:hAnsi="黑体" w:eastAsia="黑体" w:cs="黑体"/>
          <w:kern w:val="0"/>
          <w:sz w:val="28"/>
          <w:szCs w:val="28"/>
          <w:lang w:val="en-US" w:eastAsia="zh-CN"/>
        </w:rPr>
        <w:t>通电运行验收。</w:t>
      </w:r>
    </w:p>
    <w:p w14:paraId="24A08032">
      <w:pPr>
        <w:numPr>
          <w:ilvl w:val="0"/>
          <w:numId w:val="0"/>
        </w:numPr>
        <w:spacing w:line="360" w:lineRule="auto"/>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w:t>
      </w:r>
      <w:r>
        <w:rPr>
          <w:rFonts w:hint="eastAsia" w:ascii="黑体" w:hAnsi="黑体" w:eastAsia="黑体" w:cs="黑体"/>
          <w:sz w:val="28"/>
          <w:szCs w:val="28"/>
          <w:lang w:val="en-US" w:eastAsia="zh-CN"/>
        </w:rPr>
        <w:t>标的物</w:t>
      </w:r>
      <w:r>
        <w:rPr>
          <w:rFonts w:hint="eastAsia" w:ascii="黑体" w:hAnsi="黑体" w:eastAsia="黑体" w:cs="黑体"/>
          <w:sz w:val="28"/>
          <w:szCs w:val="28"/>
        </w:rPr>
        <w:t>验收合格之日起开始计算。</w:t>
      </w:r>
    </w:p>
    <w:p w14:paraId="6F201807">
      <w:pPr>
        <w:numPr>
          <w:ilvl w:val="0"/>
          <w:numId w:val="0"/>
        </w:numPr>
        <w:spacing w:line="360" w:lineRule="auto"/>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63491664">
      <w:pPr>
        <w:numPr>
          <w:ilvl w:val="0"/>
          <w:numId w:val="0"/>
        </w:numPr>
        <w:spacing w:line="360" w:lineRule="auto"/>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2026年9月2日10时 00 分至 2026年9月7日 10时 00 分通过四川宏达股份有限公司集采中心招投标平台(以下简称“ 宏达股份集采平台”）（http://jc.sichuanhongda.com/）进行注册，登录后下载比选文件参与投标。 </w:t>
      </w:r>
    </w:p>
    <w:p w14:paraId="504767B0">
      <w:pPr>
        <w:numPr>
          <w:ilvl w:val="0"/>
          <w:numId w:val="0"/>
        </w:numPr>
        <w:spacing w:line="360" w:lineRule="auto"/>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03D00619">
      <w:pPr>
        <w:spacing w:line="360" w:lineRule="auto"/>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递交截止时间：2026年9月7日10 时 00 分。</w:t>
      </w:r>
    </w:p>
    <w:p w14:paraId="0E7C9B66">
      <w:pPr>
        <w:spacing w:line="360" w:lineRule="auto"/>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w:t>
      </w:r>
      <w:r>
        <w:rPr>
          <w:rFonts w:hint="eastAsia" w:ascii="黑体" w:hAnsi="黑体" w:eastAsia="黑体" w:cs="黑体"/>
          <w:color w:val="auto"/>
          <w:sz w:val="28"/>
          <w:szCs w:val="28"/>
          <w:lang w:val="en-US" w:eastAsia="zh-CN"/>
        </w:rPr>
        <w:t>参数</w:t>
      </w:r>
      <w:r>
        <w:rPr>
          <w:rFonts w:hint="eastAsia" w:ascii="黑体" w:hAnsi="黑体" w:eastAsia="黑体" w:cs="黑体"/>
          <w:sz w:val="28"/>
          <w:szCs w:val="28"/>
          <w:lang w:val="en-US" w:eastAsia="zh-CN"/>
        </w:rPr>
        <w:t>、</w:t>
      </w:r>
      <w:r>
        <w:rPr>
          <w:rFonts w:hint="eastAsia" w:ascii="黑体" w:hAnsi="黑体" w:eastAsia="黑体" w:cs="黑体"/>
          <w:sz w:val="28"/>
          <w:szCs w:val="28"/>
        </w:rPr>
        <w:t>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360" w:lineRule="auto"/>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9.响应性文件的组成要求</w:t>
      </w:r>
    </w:p>
    <w:p w14:paraId="548CFB9C">
      <w:pPr>
        <w:widowControl/>
        <w:shd w:val="clear" w:color="auto" w:fill="FFFFFF"/>
        <w:spacing w:line="360" w:lineRule="auto"/>
        <w:jc w:val="left"/>
        <w:rPr>
          <w:rFonts w:hint="eastAsia" w:ascii="黑体" w:hAnsi="黑体" w:eastAsia="黑体" w:cs="Segoe UI"/>
          <w:color w:val="auto"/>
          <w:kern w:val="0"/>
          <w:sz w:val="28"/>
          <w:szCs w:val="28"/>
          <w:highlight w:val="none"/>
          <w:lang w:val="en-US" w:eastAsia="zh-CN"/>
        </w:rPr>
      </w:pPr>
      <w:r>
        <w:rPr>
          <w:rFonts w:hint="eastAsia" w:ascii="黑体" w:hAnsi="黑体" w:eastAsia="黑体" w:cs="仿宋_GB2312"/>
          <w:sz w:val="28"/>
          <w:szCs w:val="28"/>
          <w:lang w:val="en-US" w:eastAsia="zh-CN"/>
        </w:rPr>
        <w:t>（1）比选申请人需提供</w:t>
      </w:r>
      <w:bookmarkStart w:id="0" w:name="OLE_LINK4"/>
      <w:bookmarkStart w:id="1" w:name="OLE_LINK3"/>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w:t>
      </w:r>
      <w:r>
        <w:rPr>
          <w:rFonts w:hint="eastAsia" w:ascii="黑体" w:hAnsi="黑体" w:eastAsia="黑体" w:cs="Segoe UI"/>
          <w:color w:val="auto"/>
          <w:kern w:val="0"/>
          <w:sz w:val="28"/>
          <w:szCs w:val="28"/>
          <w:highlight w:val="none"/>
        </w:rPr>
        <w:t>营业执照</w:t>
      </w:r>
      <w:r>
        <w:rPr>
          <w:rFonts w:hint="eastAsia" w:ascii="黑体" w:hAnsi="黑体" w:eastAsia="黑体" w:cs="Segoe UI"/>
          <w:color w:val="auto"/>
          <w:kern w:val="0"/>
          <w:sz w:val="28"/>
          <w:szCs w:val="28"/>
          <w:highlight w:val="none"/>
          <w:lang w:val="en-US" w:eastAsia="zh-CN"/>
        </w:rPr>
        <w:t>经营范围包含电气设备，电器成套设备或电力输配电设备生产（制造）及销售，</w:t>
      </w:r>
      <w:r>
        <w:rPr>
          <w:rFonts w:hint="eastAsia" w:ascii="黑体" w:hAnsi="黑体" w:eastAsia="黑体" w:cs="Segoe UI"/>
          <w:color w:val="auto"/>
          <w:kern w:val="0"/>
          <w:sz w:val="28"/>
          <w:szCs w:val="28"/>
          <w:highlight w:val="none"/>
        </w:rPr>
        <w:t>为增值税一般纳税人。</w:t>
      </w:r>
      <w:r>
        <w:rPr>
          <w:rFonts w:hint="eastAsia" w:ascii="黑体" w:hAnsi="黑体" w:eastAsia="黑体" w:cs="Segoe UI"/>
          <w:color w:val="auto"/>
          <w:kern w:val="0"/>
          <w:sz w:val="28"/>
          <w:szCs w:val="28"/>
          <w:highlight w:val="none"/>
          <w:lang w:val="en-US" w:eastAsia="zh-CN"/>
        </w:rPr>
        <w:t>代理商投标，除提供本公司营业执照外，另需提供生产商营业执照及生产商授权销售证书等相关资料。</w:t>
      </w:r>
    </w:p>
    <w:p w14:paraId="3E891104">
      <w:pPr>
        <w:widowControl/>
        <w:shd w:val="clear" w:color="auto" w:fill="FFFFFF"/>
        <w:spacing w:line="360" w:lineRule="auto"/>
        <w:jc w:val="left"/>
        <w:rPr>
          <w:rFonts w:hint="default" w:ascii="黑体" w:hAnsi="黑体" w:eastAsia="黑体" w:cs="Segoe UI"/>
          <w:color w:val="auto"/>
          <w:kern w:val="0"/>
          <w:sz w:val="28"/>
          <w:szCs w:val="28"/>
          <w:highlight w:val="none"/>
          <w:lang w:val="en-US" w:eastAsia="zh-CN"/>
        </w:rPr>
      </w:pPr>
      <w:r>
        <w:rPr>
          <w:rFonts w:hint="eastAsia" w:ascii="黑体" w:hAnsi="黑体" w:eastAsia="黑体" w:cs="Segoe UI"/>
          <w:color w:val="auto"/>
          <w:kern w:val="0"/>
          <w:sz w:val="28"/>
          <w:szCs w:val="28"/>
          <w:highlight w:val="none"/>
          <w:lang w:val="en-US" w:eastAsia="zh-CN"/>
        </w:rPr>
        <w:t>（2）第三方出具，有效期范围内的成套开关设备型式试验报告或产品认证证书。</w:t>
      </w:r>
      <w:r>
        <w:rPr>
          <w:rFonts w:hint="eastAsia" w:ascii="黑体" w:hAnsi="黑体" w:eastAsia="黑体" w:cs="Segoe UI"/>
          <w:color w:val="auto"/>
          <w:kern w:val="0"/>
          <w:sz w:val="28"/>
          <w:szCs w:val="28"/>
          <w:lang w:val="en-US" w:eastAsia="zh-CN" w:bidi="ar-SA"/>
        </w:rPr>
        <w:t>提供任意一项，</w:t>
      </w:r>
      <w:r>
        <w:rPr>
          <w:rFonts w:hint="eastAsia" w:ascii="黑体" w:hAnsi="黑体" w:eastAsia="黑体" w:cs="Segoe UI"/>
          <w:color w:val="auto"/>
          <w:kern w:val="0"/>
          <w:sz w:val="28"/>
          <w:szCs w:val="28"/>
          <w:highlight w:val="none"/>
          <w:lang w:val="en-US" w:eastAsia="zh-CN"/>
        </w:rPr>
        <w:t>CCC认证或CQC认证均可。</w:t>
      </w:r>
    </w:p>
    <w:p w14:paraId="5A05F397">
      <w:pPr>
        <w:widowControl/>
        <w:shd w:val="clear" w:color="auto" w:fill="FFFFFF"/>
        <w:spacing w:line="360" w:lineRule="auto"/>
        <w:jc w:val="left"/>
        <w:rPr>
          <w:rFonts w:hint="eastAsia" w:ascii="黑体" w:hAnsi="黑体" w:eastAsia="黑体" w:cs="Segoe UI"/>
          <w:kern w:val="0"/>
          <w:sz w:val="28"/>
          <w:szCs w:val="28"/>
          <w:lang w:val="en-US" w:eastAsia="zh-CN"/>
        </w:rPr>
      </w:pPr>
      <w:r>
        <w:rPr>
          <w:rFonts w:hint="eastAsia" w:ascii="黑体" w:hAnsi="黑体" w:eastAsia="黑体" w:cs="Segoe UI"/>
          <w:color w:val="auto"/>
          <w:kern w:val="0"/>
          <w:sz w:val="28"/>
          <w:szCs w:val="28"/>
          <w:highlight w:val="none"/>
          <w:lang w:val="en-US" w:eastAsia="zh-CN"/>
        </w:rPr>
        <w:t>（3）</w:t>
      </w:r>
      <w:r>
        <w:rPr>
          <w:rFonts w:hint="eastAsia" w:ascii="黑体" w:hAnsi="黑体" w:eastAsia="黑体" w:cs="Segoe UI"/>
          <w:color w:val="auto"/>
          <w:kern w:val="0"/>
          <w:sz w:val="28"/>
          <w:szCs w:val="28"/>
          <w:highlight w:val="none"/>
        </w:rPr>
        <w:t>业绩要求：提供近三年（202</w:t>
      </w:r>
      <w:r>
        <w:rPr>
          <w:rFonts w:hint="eastAsia" w:ascii="黑体" w:hAnsi="黑体" w:eastAsia="黑体" w:cs="Segoe UI"/>
          <w:color w:val="auto"/>
          <w:kern w:val="0"/>
          <w:sz w:val="28"/>
          <w:szCs w:val="28"/>
          <w:highlight w:val="none"/>
          <w:lang w:val="en-US" w:eastAsia="zh-CN"/>
        </w:rPr>
        <w:t>3</w:t>
      </w:r>
      <w:r>
        <w:rPr>
          <w:rFonts w:hint="eastAsia" w:ascii="黑体" w:hAnsi="黑体" w:eastAsia="黑体" w:cs="Segoe UI"/>
          <w:color w:val="auto"/>
          <w:kern w:val="0"/>
          <w:sz w:val="28"/>
          <w:szCs w:val="28"/>
          <w:highlight w:val="none"/>
        </w:rPr>
        <w:t>年</w:t>
      </w:r>
      <w:r>
        <w:rPr>
          <w:rFonts w:hint="eastAsia" w:ascii="黑体" w:hAnsi="黑体" w:eastAsia="黑体" w:cs="Segoe UI"/>
          <w:color w:val="auto"/>
          <w:kern w:val="0"/>
          <w:sz w:val="28"/>
          <w:szCs w:val="28"/>
          <w:highlight w:val="none"/>
          <w:lang w:val="en-US" w:eastAsia="zh-CN"/>
        </w:rPr>
        <w:t>1</w:t>
      </w:r>
      <w:r>
        <w:rPr>
          <w:rFonts w:hint="eastAsia" w:ascii="黑体" w:hAnsi="黑体" w:eastAsia="黑体" w:cs="Segoe UI"/>
          <w:color w:val="auto"/>
          <w:kern w:val="0"/>
          <w:sz w:val="28"/>
          <w:szCs w:val="28"/>
          <w:highlight w:val="none"/>
        </w:rPr>
        <w:t>月-2025年</w:t>
      </w:r>
      <w:r>
        <w:rPr>
          <w:rFonts w:hint="eastAsia" w:ascii="黑体" w:hAnsi="黑体" w:eastAsia="黑体" w:cs="Segoe UI"/>
          <w:color w:val="auto"/>
          <w:kern w:val="0"/>
          <w:sz w:val="28"/>
          <w:szCs w:val="28"/>
          <w:highlight w:val="none"/>
          <w:lang w:val="en-US" w:eastAsia="zh-CN"/>
        </w:rPr>
        <w:t>12</w:t>
      </w:r>
      <w:r>
        <w:rPr>
          <w:rFonts w:hint="eastAsia" w:ascii="黑体" w:hAnsi="黑体" w:eastAsia="黑体" w:cs="Segoe UI"/>
          <w:color w:val="auto"/>
          <w:kern w:val="0"/>
          <w:sz w:val="28"/>
          <w:szCs w:val="28"/>
          <w:highlight w:val="none"/>
        </w:rPr>
        <w:t>月）</w:t>
      </w:r>
      <w:r>
        <w:rPr>
          <w:rFonts w:hint="eastAsia" w:ascii="黑体" w:hAnsi="黑体" w:eastAsia="黑体" w:cs="Segoe UI"/>
          <w:kern w:val="0"/>
          <w:sz w:val="28"/>
          <w:szCs w:val="28"/>
          <w:lang w:val="en-US" w:eastAsia="zh-CN"/>
        </w:rPr>
        <w:t>高压开关柜</w:t>
      </w:r>
      <w:r>
        <w:rPr>
          <w:rFonts w:hint="eastAsia" w:ascii="黑体" w:hAnsi="黑体" w:eastAsia="黑体" w:cs="Segoe UI"/>
          <w:color w:val="auto"/>
          <w:kern w:val="0"/>
          <w:sz w:val="28"/>
          <w:szCs w:val="28"/>
          <w:highlight w:val="none"/>
          <w:lang w:val="en-US" w:eastAsia="zh-CN"/>
        </w:rPr>
        <w:t>销售</w:t>
      </w:r>
      <w:r>
        <w:rPr>
          <w:rFonts w:hint="eastAsia" w:ascii="黑体" w:hAnsi="黑体" w:eastAsia="黑体" w:cs="Segoe UI"/>
          <w:color w:val="auto"/>
          <w:kern w:val="0"/>
          <w:sz w:val="28"/>
          <w:szCs w:val="28"/>
          <w:highlight w:val="none"/>
        </w:rPr>
        <w:t>业绩</w:t>
      </w:r>
      <w:r>
        <w:rPr>
          <w:rFonts w:hint="eastAsia" w:ascii="黑体" w:hAnsi="黑体" w:eastAsia="黑体" w:cs="Segoe UI"/>
          <w:color w:val="auto"/>
          <w:kern w:val="0"/>
          <w:sz w:val="28"/>
          <w:szCs w:val="28"/>
          <w:highlight w:val="none"/>
          <w:lang w:eastAsia="zh-CN"/>
        </w:rPr>
        <w:t>，</w:t>
      </w:r>
      <w:r>
        <w:rPr>
          <w:rFonts w:hint="eastAsia" w:ascii="黑体" w:hAnsi="黑体" w:eastAsia="黑体" w:cs="Segoe UI"/>
          <w:color w:val="auto"/>
          <w:kern w:val="0"/>
          <w:sz w:val="28"/>
          <w:szCs w:val="28"/>
          <w:highlight w:val="none"/>
          <w:lang w:val="en-US" w:eastAsia="zh-CN"/>
        </w:rPr>
        <w:t>规格型号不做要求。</w:t>
      </w:r>
      <w:r>
        <w:rPr>
          <w:rFonts w:hint="eastAsia" w:ascii="黑体" w:hAnsi="黑体" w:eastAsia="黑体" w:cs="Segoe UI"/>
          <w:color w:val="auto"/>
          <w:kern w:val="0"/>
          <w:sz w:val="28"/>
          <w:szCs w:val="28"/>
          <w:highlight w:val="none"/>
        </w:rPr>
        <w:t>附中标通知书或合同扫描件</w:t>
      </w:r>
      <w:r>
        <w:rPr>
          <w:rFonts w:hint="eastAsia" w:ascii="黑体" w:hAnsi="黑体" w:eastAsia="黑体" w:cs="Segoe UI"/>
          <w:color w:val="auto"/>
          <w:kern w:val="0"/>
          <w:sz w:val="28"/>
          <w:szCs w:val="28"/>
        </w:rPr>
        <w:t>，</w:t>
      </w:r>
      <w:r>
        <w:rPr>
          <w:rFonts w:hint="eastAsia" w:ascii="黑体" w:hAnsi="黑体" w:eastAsia="黑体" w:cs="Segoe UI"/>
          <w:kern w:val="0"/>
          <w:sz w:val="28"/>
          <w:szCs w:val="28"/>
        </w:rPr>
        <w:t>中标通知书或合同包括已履约完成和正在履约均可，同一家单位多次采购，合同数量可累计</w:t>
      </w:r>
      <w:r>
        <w:rPr>
          <w:rFonts w:hint="eastAsia" w:ascii="黑体" w:hAnsi="黑体" w:eastAsia="黑体" w:cs="Segoe UI"/>
          <w:kern w:val="0"/>
          <w:sz w:val="28"/>
          <w:szCs w:val="28"/>
          <w:lang w:eastAsia="zh-CN"/>
        </w:rPr>
        <w:t>。</w:t>
      </w:r>
      <w:r>
        <w:rPr>
          <w:rFonts w:hint="eastAsia" w:ascii="黑体" w:hAnsi="黑体" w:eastAsia="黑体" w:cs="Segoe UI"/>
          <w:kern w:val="0"/>
          <w:sz w:val="28"/>
          <w:szCs w:val="28"/>
          <w:lang w:val="en-US" w:eastAsia="zh-CN"/>
        </w:rPr>
        <w:t>数量不少于5项。</w:t>
      </w:r>
      <w:r>
        <w:rPr>
          <w:rFonts w:hint="eastAsia" w:ascii="黑体" w:hAnsi="黑体" w:eastAsia="黑体" w:cs="Segoe UI"/>
          <w:color w:val="auto"/>
          <w:kern w:val="0"/>
          <w:sz w:val="28"/>
          <w:szCs w:val="28"/>
          <w:highlight w:val="none"/>
          <w:lang w:val="en-US" w:eastAsia="zh-CN"/>
        </w:rPr>
        <w:t>代理商提供生产商业绩予以认可。</w:t>
      </w:r>
    </w:p>
    <w:p w14:paraId="6CB38CCF">
      <w:pPr>
        <w:numPr>
          <w:ilvl w:val="0"/>
          <w:numId w:val="0"/>
        </w:numPr>
        <w:spacing w:line="360" w:lineRule="auto"/>
        <w:ind w:leftChars="0"/>
        <w:rPr>
          <w:rFonts w:hint="default" w:ascii="黑体" w:hAnsi="黑体" w:eastAsia="黑体" w:cs="仿宋_GB2312"/>
          <w:sz w:val="28"/>
          <w:szCs w:val="28"/>
          <w:lang w:val="en-US" w:eastAsia="zh-CN"/>
        </w:rPr>
      </w:pPr>
      <w:r>
        <w:rPr>
          <w:rFonts w:hint="eastAsia" w:ascii="黑体" w:hAnsi="黑体" w:eastAsia="黑体" w:cs="Segoe UI"/>
          <w:color w:val="auto"/>
          <w:kern w:val="0"/>
          <w:sz w:val="28"/>
          <w:szCs w:val="28"/>
          <w:highlight w:val="none"/>
          <w:lang w:val="en-US" w:eastAsia="zh-CN"/>
        </w:rPr>
        <w:t>（4）</w:t>
      </w:r>
      <w:r>
        <w:rPr>
          <w:rFonts w:hint="eastAsia" w:ascii="黑体" w:hAnsi="黑体" w:eastAsia="黑体" w:cs="仿宋_GB2312"/>
          <w:sz w:val="28"/>
          <w:szCs w:val="28"/>
          <w:lang w:val="en-US" w:eastAsia="zh-CN"/>
        </w:rPr>
        <w:t>报价函件。</w:t>
      </w:r>
      <w:r>
        <w:rPr>
          <w:rFonts w:hint="eastAsia" w:ascii="Calibri" w:hAnsi="Calibri" w:eastAsia="黑体" w:cs="Calibri"/>
          <w:color w:val="auto"/>
          <w:kern w:val="0"/>
          <w:sz w:val="28"/>
          <w:szCs w:val="28"/>
          <w:lang w:val="en-US" w:eastAsia="zh-CN"/>
        </w:rPr>
        <w:t>务必按图纸约定的电器元件规格型号（品牌）报价。未约定的其他元件，按元件的技术参数和技术规格书执行。</w:t>
      </w:r>
      <w:r>
        <w:rPr>
          <w:rFonts w:hint="eastAsia" w:ascii="黑体" w:hAnsi="黑体" w:eastAsia="黑体" w:cs="黑体"/>
          <w:kern w:val="0"/>
          <w:sz w:val="28"/>
          <w:szCs w:val="28"/>
          <w:lang w:val="en-US" w:eastAsia="zh-CN"/>
        </w:rPr>
        <w:t>。</w:t>
      </w:r>
    </w:p>
    <w:p w14:paraId="3595808B">
      <w:pPr>
        <w:numPr>
          <w:ilvl w:val="0"/>
          <w:numId w:val="0"/>
        </w:numPr>
        <w:spacing w:line="360" w:lineRule="auto"/>
        <w:ind w:leftChars="0"/>
        <w:rPr>
          <w:rFonts w:hint="default" w:ascii="Calibri" w:hAnsi="Calibri" w:eastAsia="黑体" w:cs="Calibri"/>
          <w:color w:val="auto"/>
          <w:kern w:val="0"/>
          <w:sz w:val="28"/>
          <w:szCs w:val="28"/>
          <w:lang w:val="en-US" w:eastAsia="zh-CN"/>
        </w:rPr>
      </w:pPr>
      <w:r>
        <w:rPr>
          <w:rFonts w:hint="eastAsia" w:ascii="黑体" w:hAnsi="黑体" w:eastAsia="黑体" w:cs="黑体"/>
          <w:kern w:val="0"/>
          <w:sz w:val="28"/>
          <w:szCs w:val="28"/>
          <w:lang w:val="en-US" w:eastAsia="zh-CN"/>
        </w:rPr>
        <w:t>（5）</w:t>
      </w:r>
      <w:r>
        <w:rPr>
          <w:rFonts w:hint="eastAsia" w:ascii="Calibri" w:hAnsi="Calibri" w:eastAsia="黑体" w:cs="Calibri"/>
          <w:color w:val="auto"/>
          <w:kern w:val="0"/>
          <w:sz w:val="28"/>
          <w:szCs w:val="28"/>
          <w:lang w:val="en-US" w:eastAsia="zh-CN"/>
        </w:rPr>
        <w:t>标的物详细配置清单，务必按图纸约定或技术规格书约定的规格型号（品牌）。包括柜体材质、外形尺寸、电气元件名称、规格型号、数量及生产商等。</w:t>
      </w:r>
    </w:p>
    <w:p w14:paraId="66DBDF8F">
      <w:pPr>
        <w:keepNext w:val="0"/>
        <w:keepLines w:val="0"/>
        <w:pageBreakBefore w:val="0"/>
        <w:widowControl/>
        <w:shd w:val="clear" w:color="auto" w:fill="FFFFFF"/>
        <w:kinsoku/>
        <w:wordWrap/>
        <w:overflowPunct/>
        <w:topLinePunct w:val="0"/>
        <w:autoSpaceDE/>
        <w:autoSpaceDN/>
        <w:bidi w:val="0"/>
        <w:snapToGrid/>
        <w:spacing w:line="360" w:lineRule="auto"/>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（6）承诺函。</w:t>
      </w:r>
    </w:p>
    <w:p w14:paraId="3BC56295">
      <w:pPr>
        <w:spacing w:line="360" w:lineRule="auto"/>
        <w:rPr>
          <w:rFonts w:hint="eastAsia" w:ascii="黑体" w:hAnsi="黑体" w:eastAsia="黑体" w:cs="Times New Roman"/>
          <w:sz w:val="28"/>
          <w:szCs w:val="28"/>
          <w:lang w:val="en-US" w:eastAsia="zh-CN"/>
        </w:rPr>
      </w:pPr>
      <w:r>
        <w:rPr>
          <w:rFonts w:hint="eastAsia" w:ascii="黑体" w:hAnsi="黑体" w:eastAsia="黑体" w:cs="Times New Roman"/>
          <w:sz w:val="28"/>
          <w:szCs w:val="28"/>
          <w:lang w:val="en-US" w:eastAsia="zh-CN"/>
        </w:rPr>
        <w:t>10.本项目采用符合响应性条款的最低价法进行比选。</w:t>
      </w:r>
    </w:p>
    <w:p w14:paraId="56674FAE">
      <w:pPr>
        <w:spacing w:line="360" w:lineRule="auto"/>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技术咨询：磷化工分公司李登成13890279539；有色金属分公司 张华久19881556688.</w:t>
      </w:r>
    </w:p>
    <w:p w14:paraId="6ED43AE4">
      <w:pPr>
        <w:spacing w:line="360" w:lineRule="auto"/>
        <w:rPr>
          <w:rFonts w:ascii="黑体" w:hAnsi="黑体" w:eastAsia="黑体" w:cs="宋体"/>
          <w:kern w:val="0"/>
          <w:sz w:val="28"/>
          <w:szCs w:val="28"/>
        </w:rPr>
      </w:pPr>
    </w:p>
    <w:p w14:paraId="20636B28">
      <w:pPr>
        <w:pStyle w:val="5"/>
        <w:spacing w:line="360" w:lineRule="auto"/>
      </w:pPr>
    </w:p>
    <w:p w14:paraId="21A47B92">
      <w:pPr>
        <w:spacing w:line="360" w:lineRule="auto"/>
        <w:jc w:val="righ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四川宏达股份有限公司</w:t>
      </w:r>
    </w:p>
    <w:p w14:paraId="01C786DB">
      <w:pPr>
        <w:pStyle w:val="49"/>
        <w:jc w:val="righ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6.9.1</w:t>
      </w:r>
    </w:p>
    <w:p w14:paraId="4B1AD448">
      <w:pPr>
        <w:pStyle w:val="49"/>
        <w:rPr>
          <w:rFonts w:hint="eastAsia" w:ascii="黑体" w:hAnsi="黑体" w:eastAsia="黑体" w:cs="宋体"/>
          <w:kern w:val="0"/>
          <w:sz w:val="28"/>
          <w:szCs w:val="28"/>
        </w:rPr>
      </w:pPr>
    </w:p>
    <w:p w14:paraId="20AA53A3">
      <w:pPr>
        <w:pStyle w:val="49"/>
        <w:rPr>
          <w:rFonts w:hint="eastAsia" w:ascii="黑体" w:hAnsi="黑体" w:eastAsia="黑体" w:cs="宋体"/>
          <w:kern w:val="0"/>
          <w:sz w:val="28"/>
          <w:szCs w:val="28"/>
        </w:rPr>
      </w:pPr>
    </w:p>
    <w:p w14:paraId="1FE59FAA">
      <w:pPr>
        <w:pStyle w:val="49"/>
        <w:rPr>
          <w:rFonts w:hint="eastAsia" w:ascii="黑体" w:hAnsi="黑体" w:eastAsia="黑体" w:cs="宋体"/>
          <w:kern w:val="0"/>
          <w:sz w:val="28"/>
          <w:szCs w:val="28"/>
        </w:rPr>
      </w:pPr>
    </w:p>
    <w:p w14:paraId="4E33FE6E">
      <w:pPr>
        <w:pStyle w:val="49"/>
        <w:rPr>
          <w:rFonts w:hint="eastAsia" w:ascii="黑体" w:hAnsi="黑体" w:eastAsia="黑体" w:cs="宋体"/>
          <w:kern w:val="0"/>
          <w:sz w:val="28"/>
          <w:szCs w:val="28"/>
        </w:rPr>
      </w:pPr>
    </w:p>
    <w:p w14:paraId="5FAF2C8A">
      <w:pPr>
        <w:pStyle w:val="49"/>
        <w:rPr>
          <w:rFonts w:hint="eastAsia" w:ascii="黑体" w:hAnsi="黑体" w:eastAsia="黑体" w:cs="宋体"/>
          <w:kern w:val="0"/>
          <w:sz w:val="28"/>
          <w:szCs w:val="28"/>
        </w:rPr>
      </w:pPr>
    </w:p>
    <w:p w14:paraId="7D9290B0">
      <w:pPr>
        <w:pStyle w:val="49"/>
        <w:rPr>
          <w:rFonts w:hint="eastAsia" w:ascii="黑体" w:hAnsi="黑体" w:eastAsia="黑体" w:cs="宋体"/>
          <w:kern w:val="0"/>
          <w:sz w:val="28"/>
          <w:szCs w:val="28"/>
        </w:rPr>
      </w:pPr>
    </w:p>
    <w:p w14:paraId="75CFBC32">
      <w:pPr>
        <w:pStyle w:val="49"/>
        <w:rPr>
          <w:rFonts w:hint="eastAsia" w:ascii="黑体" w:hAnsi="黑体" w:eastAsia="黑体" w:cs="宋体"/>
          <w:kern w:val="0"/>
          <w:sz w:val="28"/>
          <w:szCs w:val="28"/>
        </w:rPr>
      </w:pPr>
    </w:p>
    <w:p w14:paraId="6C2E2CB1">
      <w:pPr>
        <w:pStyle w:val="49"/>
        <w:rPr>
          <w:rFonts w:hint="eastAsia" w:ascii="黑体" w:hAnsi="黑体" w:eastAsia="黑体" w:cs="宋体"/>
          <w:kern w:val="0"/>
          <w:sz w:val="28"/>
          <w:szCs w:val="28"/>
        </w:rPr>
      </w:pPr>
    </w:p>
    <w:p w14:paraId="0914FEBA">
      <w:pPr>
        <w:pStyle w:val="49"/>
        <w:rPr>
          <w:rFonts w:hint="eastAsia" w:ascii="黑体" w:hAnsi="黑体" w:eastAsia="黑体" w:cs="宋体"/>
          <w:kern w:val="0"/>
          <w:sz w:val="28"/>
          <w:szCs w:val="28"/>
        </w:rPr>
      </w:pPr>
    </w:p>
    <w:p w14:paraId="4D0109F7">
      <w:pPr>
        <w:pStyle w:val="49"/>
        <w:rPr>
          <w:rFonts w:hint="eastAsia" w:ascii="黑体" w:hAnsi="黑体" w:eastAsia="黑体" w:cs="宋体"/>
          <w:kern w:val="0"/>
          <w:sz w:val="28"/>
          <w:szCs w:val="28"/>
        </w:rPr>
      </w:pPr>
    </w:p>
    <w:p w14:paraId="59001440">
      <w:pPr>
        <w:pStyle w:val="49"/>
        <w:rPr>
          <w:rFonts w:hint="eastAsia" w:ascii="黑体" w:hAnsi="黑体" w:eastAsia="黑体" w:cs="宋体"/>
          <w:kern w:val="0"/>
          <w:sz w:val="28"/>
          <w:szCs w:val="28"/>
        </w:rPr>
      </w:pPr>
      <w:bookmarkStart w:id="6" w:name="_GoBack"/>
      <w:bookmarkEnd w:id="6"/>
    </w:p>
    <w:p w14:paraId="17071F13">
      <w:pPr>
        <w:spacing w:line="360" w:lineRule="exact"/>
        <w:rPr>
          <w:rFonts w:hint="eastAsia" w:ascii="黑体" w:hAnsi="黑体" w:eastAsia="黑体" w:cs="宋体"/>
          <w:b/>
          <w:kern w:val="0"/>
          <w:sz w:val="28"/>
          <w:szCs w:val="28"/>
        </w:rPr>
      </w:pPr>
      <w:r>
        <w:rPr>
          <w:rFonts w:hint="eastAsia" w:ascii="黑体" w:hAnsi="黑体" w:eastAsia="黑体" w:cs="宋体"/>
          <w:b/>
          <w:kern w:val="0"/>
          <w:sz w:val="28"/>
          <w:szCs w:val="28"/>
          <w:lang w:val="en-US" w:eastAsia="zh-CN"/>
        </w:rPr>
        <w:t>附件：</w:t>
      </w:r>
    </w:p>
    <w:p w14:paraId="444EDB62">
      <w:pPr>
        <w:spacing w:line="360" w:lineRule="exact"/>
        <w:rPr>
          <w:rFonts w:hint="eastAsia" w:ascii="黑体" w:hAnsi="黑体" w:eastAsia="黑体" w:cs="宋体"/>
          <w:b/>
          <w:kern w:val="0"/>
          <w:sz w:val="28"/>
          <w:szCs w:val="28"/>
        </w:rPr>
      </w:pPr>
    </w:p>
    <w:p w14:paraId="26DFE4FB">
      <w:pPr>
        <w:numPr>
          <w:ilvl w:val="0"/>
          <w:numId w:val="2"/>
        </w:numPr>
        <w:kinsoku/>
        <w:overflowPunct/>
        <w:topLinePunct w:val="0"/>
        <w:bidi w:val="0"/>
        <w:ind w:left="0" w:leftChars="0" w:right="0" w:rightChars="0" w:firstLine="640" w:firstLineChars="200"/>
        <w:jc w:val="center"/>
        <w:rPr>
          <w:rFonts w:hint="eastAsia" w:ascii="黑体" w:hAnsi="黑体" w:eastAsia="黑体" w:cs="黑体"/>
          <w:b w:val="0"/>
          <w:bCs w:val="0"/>
          <w:sz w:val="32"/>
          <w:szCs w:val="32"/>
        </w:rPr>
      </w:pPr>
      <w:r>
        <w:rPr>
          <w:rFonts w:hint="eastAsia" w:ascii="黑体" w:hAnsi="宋体" w:eastAsia="黑体"/>
          <w:color w:val="auto"/>
          <w:sz w:val="32"/>
          <w:szCs w:val="32"/>
        </w:rPr>
        <w:t xml:space="preserve"> </w:t>
      </w:r>
      <w:r>
        <w:rPr>
          <w:rFonts w:hint="eastAsia" w:ascii="黑体" w:hAnsi="黑体" w:eastAsia="黑体" w:cs="黑体"/>
          <w:b w:val="0"/>
          <w:bCs w:val="0"/>
          <w:sz w:val="32"/>
          <w:szCs w:val="32"/>
          <w:lang w:val="en-US" w:eastAsia="zh-CN"/>
        </w:rPr>
        <w:t>配电柜采购项目响应性</w:t>
      </w:r>
      <w:r>
        <w:rPr>
          <w:rFonts w:hint="eastAsia" w:ascii="黑体" w:hAnsi="黑体" w:eastAsia="黑体" w:cs="黑体"/>
          <w:b w:val="0"/>
          <w:bCs w:val="0"/>
          <w:sz w:val="32"/>
          <w:szCs w:val="32"/>
        </w:rPr>
        <w:t>文件</w:t>
      </w:r>
    </w:p>
    <w:p w14:paraId="2D3A4F1A">
      <w:pPr>
        <w:kinsoku/>
        <w:overflowPunct/>
        <w:topLinePunct w:val="0"/>
        <w:bidi w:val="0"/>
        <w:ind w:left="0" w:leftChars="0" w:right="0" w:rightChars="0" w:firstLine="720" w:firstLineChars="200"/>
        <w:jc w:val="center"/>
        <w:rPr>
          <w:rFonts w:ascii="黑体" w:hAnsi="宋体" w:eastAsia="黑体"/>
          <w:b w:val="0"/>
          <w:bCs w:val="0"/>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2CA9FBF9">
      <w:pPr>
        <w:kinsoku/>
        <w:overflowPunct/>
        <w:topLinePunct w:val="0"/>
        <w:bidi w:val="0"/>
        <w:ind w:right="0" w:rightChars="0"/>
        <w:jc w:val="both"/>
        <w:rPr>
          <w:rFonts w:hint="default" w:ascii="宋体" w:hAnsi="宋体" w:cs="宋体" w:eastAsiaTheme="minorEastAsia"/>
          <w:b/>
          <w:bCs/>
          <w:color w:val="auto"/>
          <w:sz w:val="28"/>
          <w:szCs w:val="28"/>
          <w:lang w:val="en-US" w:eastAsia="zh-CN"/>
        </w:rPr>
      </w:pPr>
      <w:r>
        <w:rPr>
          <w:rFonts w:hint="eastAsia" w:ascii="宋体" w:hAnsi="宋体" w:cs="宋体"/>
          <w:b/>
          <w:bCs/>
          <w:color w:val="auto"/>
          <w:sz w:val="28"/>
          <w:szCs w:val="28"/>
        </w:rPr>
        <w:br w:type="page"/>
      </w:r>
      <w:bookmarkStart w:id="2" w:name="_Toc30198"/>
      <w:bookmarkStart w:id="3" w:name="_Toc9978"/>
      <w:bookmarkStart w:id="4" w:name="_Toc4384"/>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 代理商投标另需提供授权文件</w:t>
      </w:r>
    </w:p>
    <w:p w14:paraId="325D8396">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19F3B6E1">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103B16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3B792D1">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41DD34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916829B">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B9746FB">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125BEF4E">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4190D3B">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E0BEF2A">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68A48A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368594B">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7AF77EC4">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8201CB9">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79F38ED3">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7CDEF45F">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A54343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F533A38">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ED6458C">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D7F8F02">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91FC36E">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740B3B19">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59CCD4C">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6A22182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76FAE3F">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668D6598">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1FE2C5E">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2C587DB">
      <w:pPr>
        <w:widowControl/>
        <w:shd w:val="clear" w:color="auto" w:fill="FFFFFF"/>
        <w:spacing w:line="360" w:lineRule="auto"/>
        <w:jc w:val="left"/>
        <w:rPr>
          <w:rFonts w:hint="default" w:ascii="黑体" w:hAnsi="黑体" w:eastAsia="黑体" w:cs="Segoe UI"/>
          <w:color w:val="auto"/>
          <w:kern w:val="0"/>
          <w:sz w:val="28"/>
          <w:szCs w:val="28"/>
          <w:highlight w:val="none"/>
          <w:lang w:val="en-US" w:eastAsia="zh-CN"/>
        </w:rPr>
      </w:pPr>
      <w:r>
        <w:rPr>
          <w:rFonts w:hint="eastAsia" w:ascii="黑体" w:hAnsi="黑体" w:eastAsia="黑体" w:cs="仿宋_GB2312"/>
          <w:kern w:val="2"/>
          <w:sz w:val="28"/>
          <w:szCs w:val="28"/>
          <w:lang w:val="en-US" w:eastAsia="zh-CN" w:bidi="ar-SA"/>
        </w:rPr>
        <w:t>（二）</w:t>
      </w:r>
      <w:r>
        <w:rPr>
          <w:rFonts w:hint="eastAsia" w:ascii="黑体" w:hAnsi="黑体" w:eastAsia="黑体" w:cs="Segoe UI"/>
          <w:color w:val="auto"/>
          <w:kern w:val="0"/>
          <w:sz w:val="28"/>
          <w:szCs w:val="28"/>
          <w:highlight w:val="none"/>
          <w:lang w:val="en-US" w:eastAsia="zh-CN"/>
        </w:rPr>
        <w:t>第三方出具，有效期范围内的成套开关设备型式试验报告或产品认证证书。</w:t>
      </w:r>
      <w:r>
        <w:rPr>
          <w:rFonts w:hint="eastAsia" w:ascii="黑体" w:hAnsi="黑体" w:eastAsia="黑体" w:cs="Segoe UI"/>
          <w:color w:val="auto"/>
          <w:kern w:val="0"/>
          <w:sz w:val="28"/>
          <w:szCs w:val="28"/>
          <w:lang w:val="en-US" w:eastAsia="zh-CN" w:bidi="ar-SA"/>
        </w:rPr>
        <w:t>提供任意一项，</w:t>
      </w:r>
      <w:r>
        <w:rPr>
          <w:rFonts w:hint="eastAsia" w:ascii="黑体" w:hAnsi="黑体" w:eastAsia="黑体" w:cs="Segoe UI"/>
          <w:color w:val="auto"/>
          <w:kern w:val="0"/>
          <w:sz w:val="28"/>
          <w:szCs w:val="28"/>
          <w:highlight w:val="none"/>
          <w:lang w:val="en-US" w:eastAsia="zh-CN"/>
        </w:rPr>
        <w:t>CCC认证或CQC认证均可。</w:t>
      </w:r>
    </w:p>
    <w:p w14:paraId="7A5EEE5F">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11FB19E">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2B1452B">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B8E8FA7">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63680323">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196A2B5A">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6779E47">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C825193">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D48FCBE">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5F04491">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6BA266EF">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1853843">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CD80316">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6F7552F4">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152E5BD">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A38DD13">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29688F0">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61AB9ACE">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97BB83D">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0C8D7D8">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6F40E1A9">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E4BEEF2">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7B46DFA">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1B611024">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289DE1A">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13C8BC98">
      <w:pPr>
        <w:widowControl/>
        <w:shd w:val="clear" w:color="auto" w:fill="FFFFFF"/>
        <w:spacing w:line="360" w:lineRule="auto"/>
        <w:jc w:val="left"/>
        <w:rPr>
          <w:rFonts w:hint="eastAsia" w:ascii="黑体" w:hAnsi="黑体" w:eastAsia="黑体" w:cs="Segoe UI"/>
          <w:kern w:val="0"/>
          <w:sz w:val="28"/>
          <w:szCs w:val="28"/>
          <w:lang w:val="en-US" w:eastAsia="zh-CN"/>
        </w:rPr>
      </w:pPr>
      <w:r>
        <w:rPr>
          <w:rFonts w:hint="eastAsia" w:ascii="黑体" w:hAnsi="黑体" w:eastAsia="黑体" w:cs="仿宋_GB2312"/>
          <w:kern w:val="2"/>
          <w:sz w:val="28"/>
          <w:szCs w:val="28"/>
          <w:lang w:val="en-US" w:eastAsia="zh-CN" w:bidi="ar-SA"/>
        </w:rPr>
        <w:t>（三）</w:t>
      </w:r>
      <w:r>
        <w:rPr>
          <w:rFonts w:hint="eastAsia" w:ascii="黑体" w:hAnsi="黑体" w:eastAsia="黑体" w:cs="仿宋_GB2312"/>
          <w:sz w:val="28"/>
          <w:szCs w:val="28"/>
          <w:lang w:val="en-US" w:eastAsia="zh-CN"/>
        </w:rPr>
        <w:t>业绩证明文件 提供近三年（2023年1月-2025年12月）相关制造及销售业绩，不低于5项。附中标通知书或合同扫描件，中标通知书或合同包括已履约完成和正在履约均可，同一家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配电柜规格型号不限。</w:t>
      </w:r>
      <w:r>
        <w:rPr>
          <w:rFonts w:hint="eastAsia" w:ascii="黑体" w:hAnsi="黑体" w:eastAsia="黑体" w:cs="Segoe UI"/>
          <w:color w:val="auto"/>
          <w:kern w:val="0"/>
          <w:sz w:val="28"/>
          <w:szCs w:val="28"/>
          <w:highlight w:val="none"/>
          <w:lang w:val="en-US" w:eastAsia="zh-CN"/>
        </w:rPr>
        <w:t>代理商提供生产商业绩予以认可。</w:t>
      </w:r>
    </w:p>
    <w:p w14:paraId="4478DC75">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1.业绩汇总表</w:t>
      </w:r>
    </w:p>
    <w:tbl>
      <w:tblPr>
        <w:tblStyle w:val="17"/>
        <w:tblpPr w:leftFromText="180" w:rightFromText="180" w:vertAnchor="text" w:horzAnchor="page" w:tblpX="1777" w:tblpY="45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923"/>
        <w:gridCol w:w="1791"/>
        <w:gridCol w:w="1355"/>
        <w:gridCol w:w="1356"/>
        <w:gridCol w:w="1356"/>
      </w:tblGrid>
      <w:tr w14:paraId="4DA6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14F8AFED">
            <w:pPr>
              <w:pStyle w:val="34"/>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序号</w:t>
            </w:r>
          </w:p>
        </w:tc>
        <w:tc>
          <w:tcPr>
            <w:tcW w:w="1923" w:type="dxa"/>
            <w:vAlign w:val="center"/>
          </w:tcPr>
          <w:p w14:paraId="127627E3">
            <w:pPr>
              <w:pStyle w:val="34"/>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合同签订时间</w:t>
            </w:r>
          </w:p>
        </w:tc>
        <w:tc>
          <w:tcPr>
            <w:tcW w:w="1791" w:type="dxa"/>
            <w:vAlign w:val="center"/>
          </w:tcPr>
          <w:p w14:paraId="5705E02B">
            <w:pPr>
              <w:pStyle w:val="34"/>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业绩单位</w:t>
            </w:r>
          </w:p>
        </w:tc>
        <w:tc>
          <w:tcPr>
            <w:tcW w:w="1355" w:type="dxa"/>
            <w:vAlign w:val="center"/>
          </w:tcPr>
          <w:p w14:paraId="5072ADA4">
            <w:pPr>
              <w:pStyle w:val="34"/>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产品规格</w:t>
            </w:r>
          </w:p>
        </w:tc>
        <w:tc>
          <w:tcPr>
            <w:tcW w:w="1356" w:type="dxa"/>
            <w:vAlign w:val="center"/>
          </w:tcPr>
          <w:p w14:paraId="73D151C6">
            <w:pPr>
              <w:pStyle w:val="34"/>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产品数量</w:t>
            </w:r>
          </w:p>
        </w:tc>
        <w:tc>
          <w:tcPr>
            <w:tcW w:w="1356" w:type="dxa"/>
            <w:vAlign w:val="center"/>
          </w:tcPr>
          <w:p w14:paraId="67E95946">
            <w:pPr>
              <w:pStyle w:val="34"/>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备注</w:t>
            </w:r>
          </w:p>
        </w:tc>
      </w:tr>
      <w:tr w14:paraId="048C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2E959D5">
            <w:pPr>
              <w:pStyle w:val="34"/>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1</w:t>
            </w:r>
          </w:p>
        </w:tc>
        <w:tc>
          <w:tcPr>
            <w:tcW w:w="1923" w:type="dxa"/>
          </w:tcPr>
          <w:p w14:paraId="31E1BBC7">
            <w:pPr>
              <w:pStyle w:val="34"/>
              <w:ind w:firstLine="0" w:firstLineChars="0"/>
              <w:rPr>
                <w:rFonts w:ascii="黑体" w:hAnsi="黑体" w:eastAsia="黑体" w:cs="Segoe UI"/>
                <w:kern w:val="0"/>
                <w:sz w:val="28"/>
                <w:szCs w:val="28"/>
              </w:rPr>
            </w:pPr>
          </w:p>
        </w:tc>
        <w:tc>
          <w:tcPr>
            <w:tcW w:w="1791" w:type="dxa"/>
          </w:tcPr>
          <w:p w14:paraId="030B6EF1">
            <w:pPr>
              <w:pStyle w:val="34"/>
              <w:ind w:firstLine="0" w:firstLineChars="0"/>
              <w:rPr>
                <w:rFonts w:ascii="黑体" w:hAnsi="黑体" w:eastAsia="黑体" w:cs="Segoe UI"/>
                <w:kern w:val="0"/>
                <w:sz w:val="28"/>
                <w:szCs w:val="28"/>
              </w:rPr>
            </w:pPr>
          </w:p>
        </w:tc>
        <w:tc>
          <w:tcPr>
            <w:tcW w:w="1355" w:type="dxa"/>
          </w:tcPr>
          <w:p w14:paraId="2DCD3BC2">
            <w:pPr>
              <w:pStyle w:val="34"/>
              <w:ind w:firstLine="0" w:firstLineChars="0"/>
              <w:rPr>
                <w:rFonts w:ascii="黑体" w:hAnsi="黑体" w:eastAsia="黑体" w:cs="Segoe UI"/>
                <w:kern w:val="0"/>
                <w:sz w:val="28"/>
                <w:szCs w:val="28"/>
              </w:rPr>
            </w:pPr>
          </w:p>
        </w:tc>
        <w:tc>
          <w:tcPr>
            <w:tcW w:w="1356" w:type="dxa"/>
          </w:tcPr>
          <w:p w14:paraId="4DAC0EDE">
            <w:pPr>
              <w:pStyle w:val="34"/>
              <w:ind w:firstLine="0" w:firstLineChars="0"/>
              <w:rPr>
                <w:rFonts w:ascii="黑体" w:hAnsi="黑体" w:eastAsia="黑体" w:cs="Segoe UI"/>
                <w:kern w:val="0"/>
                <w:sz w:val="28"/>
                <w:szCs w:val="28"/>
              </w:rPr>
            </w:pPr>
          </w:p>
        </w:tc>
        <w:tc>
          <w:tcPr>
            <w:tcW w:w="1356" w:type="dxa"/>
          </w:tcPr>
          <w:p w14:paraId="07E55335">
            <w:pPr>
              <w:pStyle w:val="34"/>
              <w:ind w:firstLine="0" w:firstLineChars="0"/>
              <w:rPr>
                <w:rFonts w:ascii="黑体" w:hAnsi="黑体" w:eastAsia="黑体" w:cs="Segoe UI"/>
                <w:kern w:val="0"/>
                <w:sz w:val="28"/>
                <w:szCs w:val="28"/>
              </w:rPr>
            </w:pPr>
          </w:p>
        </w:tc>
      </w:tr>
      <w:tr w14:paraId="3BBE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586C4C1">
            <w:pPr>
              <w:pStyle w:val="34"/>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p>
        </w:tc>
        <w:tc>
          <w:tcPr>
            <w:tcW w:w="1923" w:type="dxa"/>
          </w:tcPr>
          <w:p w14:paraId="49FE1AA8">
            <w:pPr>
              <w:pStyle w:val="34"/>
              <w:ind w:firstLine="0" w:firstLineChars="0"/>
              <w:rPr>
                <w:rFonts w:ascii="黑体" w:hAnsi="黑体" w:eastAsia="黑体" w:cs="Segoe UI"/>
                <w:kern w:val="0"/>
                <w:sz w:val="28"/>
                <w:szCs w:val="28"/>
              </w:rPr>
            </w:pPr>
          </w:p>
        </w:tc>
        <w:tc>
          <w:tcPr>
            <w:tcW w:w="1791" w:type="dxa"/>
          </w:tcPr>
          <w:p w14:paraId="6BFDF9D1">
            <w:pPr>
              <w:pStyle w:val="34"/>
              <w:ind w:firstLine="0" w:firstLineChars="0"/>
              <w:rPr>
                <w:rFonts w:ascii="黑体" w:hAnsi="黑体" w:eastAsia="黑体" w:cs="Segoe UI"/>
                <w:kern w:val="0"/>
                <w:sz w:val="28"/>
                <w:szCs w:val="28"/>
              </w:rPr>
            </w:pPr>
          </w:p>
        </w:tc>
        <w:tc>
          <w:tcPr>
            <w:tcW w:w="1355" w:type="dxa"/>
          </w:tcPr>
          <w:p w14:paraId="5E76EA03">
            <w:pPr>
              <w:pStyle w:val="34"/>
              <w:ind w:firstLine="0" w:firstLineChars="0"/>
              <w:rPr>
                <w:rFonts w:ascii="黑体" w:hAnsi="黑体" w:eastAsia="黑体" w:cs="Segoe UI"/>
                <w:kern w:val="0"/>
                <w:sz w:val="28"/>
                <w:szCs w:val="28"/>
              </w:rPr>
            </w:pPr>
          </w:p>
        </w:tc>
        <w:tc>
          <w:tcPr>
            <w:tcW w:w="1356" w:type="dxa"/>
          </w:tcPr>
          <w:p w14:paraId="71A4D001">
            <w:pPr>
              <w:pStyle w:val="34"/>
              <w:ind w:firstLine="0" w:firstLineChars="0"/>
              <w:rPr>
                <w:rFonts w:ascii="黑体" w:hAnsi="黑体" w:eastAsia="黑体" w:cs="Segoe UI"/>
                <w:kern w:val="0"/>
                <w:sz w:val="28"/>
                <w:szCs w:val="28"/>
              </w:rPr>
            </w:pPr>
          </w:p>
        </w:tc>
        <w:tc>
          <w:tcPr>
            <w:tcW w:w="1356" w:type="dxa"/>
          </w:tcPr>
          <w:p w14:paraId="01AD338E">
            <w:pPr>
              <w:pStyle w:val="34"/>
              <w:ind w:firstLine="0" w:firstLineChars="0"/>
              <w:rPr>
                <w:rFonts w:ascii="黑体" w:hAnsi="黑体" w:eastAsia="黑体" w:cs="Segoe UI"/>
                <w:kern w:val="0"/>
                <w:sz w:val="28"/>
                <w:szCs w:val="28"/>
              </w:rPr>
            </w:pPr>
          </w:p>
        </w:tc>
      </w:tr>
      <w:tr w14:paraId="2F1A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93312CA">
            <w:pPr>
              <w:pStyle w:val="34"/>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3</w:t>
            </w:r>
          </w:p>
        </w:tc>
        <w:tc>
          <w:tcPr>
            <w:tcW w:w="1923" w:type="dxa"/>
            <w:vAlign w:val="top"/>
          </w:tcPr>
          <w:p w14:paraId="08E1FB7D">
            <w:pPr>
              <w:pStyle w:val="34"/>
              <w:ind w:firstLine="0" w:firstLineChars="0"/>
              <w:jc w:val="center"/>
              <w:rPr>
                <w:rFonts w:ascii="黑体" w:hAnsi="黑体" w:eastAsia="黑体" w:cs="Segoe UI"/>
                <w:kern w:val="0"/>
                <w:sz w:val="28"/>
                <w:szCs w:val="28"/>
              </w:rPr>
            </w:pPr>
          </w:p>
        </w:tc>
        <w:tc>
          <w:tcPr>
            <w:tcW w:w="1791" w:type="dxa"/>
            <w:vAlign w:val="top"/>
          </w:tcPr>
          <w:p w14:paraId="3C323F01">
            <w:pPr>
              <w:pStyle w:val="34"/>
              <w:ind w:right="560" w:rightChars="0" w:firstLine="980" w:firstLineChars="350"/>
              <w:jc w:val="left"/>
              <w:rPr>
                <w:rFonts w:ascii="黑体" w:hAnsi="黑体" w:eastAsia="黑体" w:cs="Segoe UI"/>
                <w:kern w:val="0"/>
                <w:sz w:val="28"/>
                <w:szCs w:val="28"/>
              </w:rPr>
            </w:pPr>
          </w:p>
        </w:tc>
        <w:tc>
          <w:tcPr>
            <w:tcW w:w="1355" w:type="dxa"/>
            <w:vAlign w:val="top"/>
          </w:tcPr>
          <w:p w14:paraId="20C8C783">
            <w:pPr>
              <w:pStyle w:val="34"/>
              <w:ind w:firstLine="0" w:firstLineChars="0"/>
              <w:jc w:val="center"/>
              <w:rPr>
                <w:rFonts w:ascii="黑体" w:hAnsi="黑体" w:eastAsia="黑体" w:cs="Segoe UI"/>
                <w:kern w:val="0"/>
                <w:sz w:val="28"/>
                <w:szCs w:val="28"/>
              </w:rPr>
            </w:pPr>
          </w:p>
        </w:tc>
        <w:tc>
          <w:tcPr>
            <w:tcW w:w="1356" w:type="dxa"/>
            <w:vAlign w:val="top"/>
          </w:tcPr>
          <w:p w14:paraId="384F3439">
            <w:pPr>
              <w:pStyle w:val="34"/>
              <w:ind w:firstLine="0" w:firstLineChars="0"/>
              <w:jc w:val="right"/>
              <w:rPr>
                <w:rFonts w:ascii="黑体" w:hAnsi="黑体" w:eastAsia="黑体" w:cs="Segoe UI"/>
                <w:kern w:val="0"/>
                <w:sz w:val="28"/>
                <w:szCs w:val="28"/>
              </w:rPr>
            </w:pPr>
          </w:p>
        </w:tc>
        <w:tc>
          <w:tcPr>
            <w:tcW w:w="1356" w:type="dxa"/>
          </w:tcPr>
          <w:p w14:paraId="69874AFE">
            <w:pPr>
              <w:pStyle w:val="34"/>
              <w:ind w:firstLine="0" w:firstLineChars="0"/>
              <w:jc w:val="right"/>
              <w:rPr>
                <w:rFonts w:ascii="黑体" w:hAnsi="黑体" w:eastAsia="黑体" w:cs="Segoe UI"/>
                <w:kern w:val="0"/>
                <w:sz w:val="28"/>
                <w:szCs w:val="28"/>
              </w:rPr>
            </w:pPr>
          </w:p>
        </w:tc>
      </w:tr>
      <w:tr w14:paraId="25D7E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FDA223C">
            <w:pPr>
              <w:pStyle w:val="34"/>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4</w:t>
            </w:r>
          </w:p>
        </w:tc>
        <w:tc>
          <w:tcPr>
            <w:tcW w:w="1923" w:type="dxa"/>
          </w:tcPr>
          <w:p w14:paraId="27A357CA">
            <w:pPr>
              <w:pStyle w:val="34"/>
              <w:ind w:firstLine="0" w:firstLineChars="0"/>
              <w:jc w:val="center"/>
              <w:rPr>
                <w:rFonts w:hint="eastAsia" w:ascii="黑体" w:hAnsi="黑体" w:eastAsia="黑体" w:cs="Segoe UI"/>
                <w:kern w:val="0"/>
                <w:sz w:val="28"/>
                <w:szCs w:val="28"/>
              </w:rPr>
            </w:pPr>
          </w:p>
        </w:tc>
        <w:tc>
          <w:tcPr>
            <w:tcW w:w="1791" w:type="dxa"/>
          </w:tcPr>
          <w:p w14:paraId="27FFF267">
            <w:pPr>
              <w:pStyle w:val="34"/>
              <w:ind w:right="560" w:firstLine="980" w:firstLineChars="350"/>
              <w:jc w:val="left"/>
              <w:rPr>
                <w:rFonts w:hint="eastAsia" w:ascii="黑体" w:hAnsi="黑体" w:eastAsia="黑体" w:cs="Segoe UI"/>
                <w:kern w:val="0"/>
                <w:sz w:val="28"/>
                <w:szCs w:val="28"/>
              </w:rPr>
            </w:pPr>
          </w:p>
        </w:tc>
        <w:tc>
          <w:tcPr>
            <w:tcW w:w="1355" w:type="dxa"/>
          </w:tcPr>
          <w:p w14:paraId="58BBD2A8">
            <w:pPr>
              <w:pStyle w:val="34"/>
              <w:ind w:firstLine="0" w:firstLineChars="0"/>
              <w:jc w:val="center"/>
              <w:rPr>
                <w:rFonts w:hint="eastAsia" w:ascii="黑体" w:hAnsi="黑体" w:eastAsia="黑体" w:cs="Segoe UI"/>
                <w:kern w:val="0"/>
                <w:sz w:val="28"/>
                <w:szCs w:val="28"/>
              </w:rPr>
            </w:pPr>
          </w:p>
        </w:tc>
        <w:tc>
          <w:tcPr>
            <w:tcW w:w="1356" w:type="dxa"/>
          </w:tcPr>
          <w:p w14:paraId="69EF217F">
            <w:pPr>
              <w:pStyle w:val="34"/>
              <w:ind w:firstLine="0" w:firstLineChars="0"/>
              <w:jc w:val="right"/>
              <w:rPr>
                <w:rFonts w:hint="eastAsia" w:ascii="黑体" w:hAnsi="黑体" w:eastAsia="黑体" w:cs="Segoe UI"/>
                <w:kern w:val="0"/>
                <w:sz w:val="28"/>
                <w:szCs w:val="28"/>
              </w:rPr>
            </w:pPr>
          </w:p>
        </w:tc>
        <w:tc>
          <w:tcPr>
            <w:tcW w:w="1356" w:type="dxa"/>
          </w:tcPr>
          <w:p w14:paraId="413703C6">
            <w:pPr>
              <w:pStyle w:val="34"/>
              <w:ind w:firstLine="0" w:firstLineChars="0"/>
              <w:jc w:val="right"/>
              <w:rPr>
                <w:rFonts w:ascii="黑体" w:hAnsi="黑体" w:eastAsia="黑体" w:cs="Segoe UI"/>
                <w:kern w:val="0"/>
                <w:sz w:val="28"/>
                <w:szCs w:val="28"/>
              </w:rPr>
            </w:pPr>
          </w:p>
        </w:tc>
      </w:tr>
      <w:tr w14:paraId="7056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83B07FE">
            <w:pPr>
              <w:pStyle w:val="34"/>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5</w:t>
            </w:r>
          </w:p>
        </w:tc>
        <w:tc>
          <w:tcPr>
            <w:tcW w:w="1923" w:type="dxa"/>
          </w:tcPr>
          <w:p w14:paraId="1F622B97">
            <w:pPr>
              <w:pStyle w:val="34"/>
              <w:ind w:firstLine="0" w:firstLineChars="0"/>
              <w:jc w:val="center"/>
              <w:rPr>
                <w:rFonts w:hint="eastAsia" w:ascii="黑体" w:hAnsi="黑体" w:eastAsia="黑体" w:cs="Segoe UI"/>
                <w:kern w:val="0"/>
                <w:sz w:val="28"/>
                <w:szCs w:val="28"/>
              </w:rPr>
            </w:pPr>
          </w:p>
        </w:tc>
        <w:tc>
          <w:tcPr>
            <w:tcW w:w="1791" w:type="dxa"/>
          </w:tcPr>
          <w:p w14:paraId="3D751995">
            <w:pPr>
              <w:pStyle w:val="34"/>
              <w:ind w:right="560" w:firstLine="980" w:firstLineChars="350"/>
              <w:jc w:val="left"/>
              <w:rPr>
                <w:rFonts w:hint="eastAsia" w:ascii="黑体" w:hAnsi="黑体" w:eastAsia="黑体" w:cs="Segoe UI"/>
                <w:kern w:val="0"/>
                <w:sz w:val="28"/>
                <w:szCs w:val="28"/>
              </w:rPr>
            </w:pPr>
          </w:p>
        </w:tc>
        <w:tc>
          <w:tcPr>
            <w:tcW w:w="1355" w:type="dxa"/>
          </w:tcPr>
          <w:p w14:paraId="40CB5EE1">
            <w:pPr>
              <w:pStyle w:val="34"/>
              <w:ind w:firstLine="0" w:firstLineChars="0"/>
              <w:jc w:val="center"/>
              <w:rPr>
                <w:rFonts w:hint="eastAsia" w:ascii="黑体" w:hAnsi="黑体" w:eastAsia="黑体" w:cs="Segoe UI"/>
                <w:kern w:val="0"/>
                <w:sz w:val="28"/>
                <w:szCs w:val="28"/>
              </w:rPr>
            </w:pPr>
          </w:p>
        </w:tc>
        <w:tc>
          <w:tcPr>
            <w:tcW w:w="1356" w:type="dxa"/>
          </w:tcPr>
          <w:p w14:paraId="73C8DDB0">
            <w:pPr>
              <w:pStyle w:val="34"/>
              <w:ind w:firstLine="0" w:firstLineChars="0"/>
              <w:jc w:val="right"/>
              <w:rPr>
                <w:rFonts w:hint="eastAsia" w:ascii="黑体" w:hAnsi="黑体" w:eastAsia="黑体" w:cs="Segoe UI"/>
                <w:kern w:val="0"/>
                <w:sz w:val="28"/>
                <w:szCs w:val="28"/>
              </w:rPr>
            </w:pPr>
          </w:p>
        </w:tc>
        <w:tc>
          <w:tcPr>
            <w:tcW w:w="1356" w:type="dxa"/>
          </w:tcPr>
          <w:p w14:paraId="2E1FDBE0">
            <w:pPr>
              <w:pStyle w:val="34"/>
              <w:ind w:firstLine="0" w:firstLineChars="0"/>
              <w:jc w:val="right"/>
              <w:rPr>
                <w:rFonts w:ascii="黑体" w:hAnsi="黑体" w:eastAsia="黑体" w:cs="Segoe UI"/>
                <w:kern w:val="0"/>
                <w:sz w:val="28"/>
                <w:szCs w:val="28"/>
              </w:rPr>
            </w:pPr>
          </w:p>
        </w:tc>
      </w:tr>
      <w:tr w14:paraId="18B5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0E7D782">
            <w:pPr>
              <w:pStyle w:val="34"/>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923" w:type="dxa"/>
          </w:tcPr>
          <w:p w14:paraId="6F52C176">
            <w:pPr>
              <w:pStyle w:val="34"/>
              <w:ind w:firstLine="0" w:firstLineChars="0"/>
              <w:jc w:val="center"/>
              <w:rPr>
                <w:rFonts w:hint="eastAsia" w:ascii="黑体" w:hAnsi="黑体" w:eastAsia="黑体" w:cs="Segoe UI"/>
                <w:kern w:val="0"/>
                <w:sz w:val="28"/>
                <w:szCs w:val="28"/>
              </w:rPr>
            </w:pPr>
          </w:p>
        </w:tc>
        <w:tc>
          <w:tcPr>
            <w:tcW w:w="1791" w:type="dxa"/>
          </w:tcPr>
          <w:p w14:paraId="3D70223E">
            <w:pPr>
              <w:pStyle w:val="34"/>
              <w:ind w:right="560" w:firstLine="980" w:firstLineChars="350"/>
              <w:jc w:val="left"/>
              <w:rPr>
                <w:rFonts w:hint="eastAsia" w:ascii="黑体" w:hAnsi="黑体" w:eastAsia="黑体" w:cs="Segoe UI"/>
                <w:kern w:val="0"/>
                <w:sz w:val="28"/>
                <w:szCs w:val="28"/>
              </w:rPr>
            </w:pPr>
          </w:p>
        </w:tc>
        <w:tc>
          <w:tcPr>
            <w:tcW w:w="1355" w:type="dxa"/>
          </w:tcPr>
          <w:p w14:paraId="0496B395">
            <w:pPr>
              <w:pStyle w:val="34"/>
              <w:ind w:firstLine="0" w:firstLineChars="0"/>
              <w:jc w:val="center"/>
              <w:rPr>
                <w:rFonts w:hint="eastAsia" w:ascii="黑体" w:hAnsi="黑体" w:eastAsia="黑体" w:cs="Segoe UI"/>
                <w:kern w:val="0"/>
                <w:sz w:val="28"/>
                <w:szCs w:val="28"/>
              </w:rPr>
            </w:pPr>
          </w:p>
        </w:tc>
        <w:tc>
          <w:tcPr>
            <w:tcW w:w="1356" w:type="dxa"/>
          </w:tcPr>
          <w:p w14:paraId="551DB7EB">
            <w:pPr>
              <w:pStyle w:val="34"/>
              <w:ind w:firstLine="0" w:firstLineChars="0"/>
              <w:jc w:val="right"/>
              <w:rPr>
                <w:rFonts w:hint="eastAsia" w:ascii="黑体" w:hAnsi="黑体" w:eastAsia="黑体" w:cs="Segoe UI"/>
                <w:kern w:val="0"/>
                <w:sz w:val="28"/>
                <w:szCs w:val="28"/>
              </w:rPr>
            </w:pPr>
          </w:p>
        </w:tc>
        <w:tc>
          <w:tcPr>
            <w:tcW w:w="1356" w:type="dxa"/>
          </w:tcPr>
          <w:p w14:paraId="53AB7D6F">
            <w:pPr>
              <w:pStyle w:val="34"/>
              <w:ind w:firstLine="0" w:firstLineChars="0"/>
              <w:jc w:val="right"/>
              <w:rPr>
                <w:rFonts w:ascii="黑体" w:hAnsi="黑体" w:eastAsia="黑体" w:cs="Segoe UI"/>
                <w:kern w:val="0"/>
                <w:sz w:val="28"/>
                <w:szCs w:val="28"/>
              </w:rPr>
            </w:pPr>
          </w:p>
        </w:tc>
      </w:tr>
      <w:tr w14:paraId="3585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7497E60F">
            <w:pPr>
              <w:pStyle w:val="34"/>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合计</w:t>
            </w:r>
          </w:p>
        </w:tc>
        <w:tc>
          <w:tcPr>
            <w:tcW w:w="1923" w:type="dxa"/>
            <w:vAlign w:val="top"/>
          </w:tcPr>
          <w:p w14:paraId="1498D97D">
            <w:pPr>
              <w:pStyle w:val="34"/>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791" w:type="dxa"/>
            <w:vAlign w:val="top"/>
          </w:tcPr>
          <w:p w14:paraId="2A70C03D">
            <w:pPr>
              <w:pStyle w:val="34"/>
              <w:ind w:right="560" w:rightChars="0" w:firstLine="980" w:firstLineChars="350"/>
              <w:jc w:val="left"/>
              <w:rPr>
                <w:rFonts w:hint="eastAsia" w:ascii="黑体" w:hAnsi="黑体" w:eastAsia="黑体" w:cs="Segoe UI"/>
                <w:kern w:val="0"/>
                <w:sz w:val="28"/>
                <w:szCs w:val="28"/>
              </w:rPr>
            </w:pPr>
            <w:r>
              <w:rPr>
                <w:rFonts w:hint="eastAsia" w:ascii="黑体" w:hAnsi="黑体" w:eastAsia="黑体" w:cs="Segoe UI"/>
                <w:kern w:val="0"/>
                <w:sz w:val="28"/>
                <w:szCs w:val="28"/>
              </w:rPr>
              <w:t>家</w:t>
            </w:r>
          </w:p>
        </w:tc>
        <w:tc>
          <w:tcPr>
            <w:tcW w:w="1355" w:type="dxa"/>
            <w:vAlign w:val="top"/>
          </w:tcPr>
          <w:p w14:paraId="7D584D35">
            <w:pPr>
              <w:pStyle w:val="34"/>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356" w:type="dxa"/>
            <w:vAlign w:val="top"/>
          </w:tcPr>
          <w:p w14:paraId="63F63AD2">
            <w:pPr>
              <w:pStyle w:val="34"/>
              <w:ind w:firstLine="0" w:firstLineChars="0"/>
              <w:jc w:val="right"/>
              <w:rPr>
                <w:rFonts w:hint="eastAsia" w:ascii="黑体" w:hAnsi="黑体" w:eastAsia="黑体" w:cs="Segoe UI"/>
                <w:kern w:val="0"/>
                <w:sz w:val="28"/>
                <w:szCs w:val="28"/>
              </w:rPr>
            </w:pPr>
            <w:r>
              <w:rPr>
                <w:rFonts w:hint="eastAsia" w:ascii="黑体" w:hAnsi="黑体" w:eastAsia="黑体" w:cs="Segoe UI"/>
                <w:kern w:val="0"/>
                <w:sz w:val="28"/>
                <w:szCs w:val="28"/>
              </w:rPr>
              <w:t>台</w:t>
            </w:r>
          </w:p>
        </w:tc>
        <w:tc>
          <w:tcPr>
            <w:tcW w:w="1356" w:type="dxa"/>
            <w:vAlign w:val="center"/>
          </w:tcPr>
          <w:p w14:paraId="0A7208AE">
            <w:pPr>
              <w:pStyle w:val="34"/>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合计</w:t>
            </w:r>
          </w:p>
        </w:tc>
      </w:tr>
    </w:tbl>
    <w:p w14:paraId="376E1E3F">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cs="黑体" w:asciiTheme="minorEastAsia" w:hAnsiTheme="minorEastAsia"/>
          <w:b/>
          <w:bCs/>
          <w:kern w:val="44"/>
          <w:sz w:val="28"/>
          <w:szCs w:val="28"/>
          <w:highlight w:val="none"/>
          <w:lang w:val="zh-CN"/>
        </w:rPr>
      </w:pPr>
      <w:r>
        <w:rPr>
          <w:rFonts w:hint="eastAsia" w:ascii="黑体" w:hAnsi="黑体" w:eastAsia="黑体" w:cs="Segoe UI"/>
          <w:kern w:val="0"/>
          <w:sz w:val="28"/>
          <w:szCs w:val="28"/>
          <w:lang w:val="en-US" w:eastAsia="zh-CN"/>
        </w:rPr>
        <w:t>2、</w:t>
      </w:r>
      <w:r>
        <w:rPr>
          <w:rFonts w:hint="eastAsia" w:ascii="黑体" w:hAnsi="黑体" w:eastAsia="黑体" w:cs="仿宋_GB2312"/>
          <w:sz w:val="28"/>
          <w:szCs w:val="28"/>
          <w:lang w:val="en-US" w:eastAsia="zh-CN"/>
        </w:rPr>
        <w:t>中标通知书或合同扫描件：</w:t>
      </w:r>
    </w:p>
    <w:p w14:paraId="30F9B0EF">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en-US" w:eastAsia="zh-CN"/>
        </w:rPr>
      </w:pPr>
      <w:r>
        <w:rPr>
          <w:rFonts w:hint="eastAsia" w:cs="黑体" w:asciiTheme="minorEastAsia" w:hAnsiTheme="minorEastAsia"/>
          <w:b/>
          <w:bCs/>
          <w:kern w:val="44"/>
          <w:sz w:val="28"/>
          <w:szCs w:val="28"/>
          <w:highlight w:val="none"/>
          <w:lang w:val="en-US" w:eastAsia="zh-CN"/>
        </w:rPr>
        <w:t xml:space="preserve">   </w:t>
      </w:r>
      <w:bookmarkEnd w:id="2"/>
      <w:bookmarkEnd w:id="3"/>
      <w:bookmarkEnd w:id="4"/>
    </w:p>
    <w:p w14:paraId="64B7884D">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en-US" w:eastAsia="zh-CN"/>
        </w:rPr>
      </w:pPr>
    </w:p>
    <w:p w14:paraId="2D60356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D4E26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02E3FD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FE50DB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305F8963">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b/>
          <w:bCs/>
          <w:kern w:val="44"/>
          <w:sz w:val="28"/>
          <w:szCs w:val="28"/>
          <w:highlight w:val="none"/>
          <w:lang w:val="en-US" w:eastAsia="zh-CN"/>
        </w:rPr>
        <w:t>（四）</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r>
        <w:rPr>
          <w:rFonts w:hint="eastAsia" w:cs="黑体" w:asciiTheme="minorEastAsia" w:hAnsiTheme="minorEastAsia"/>
          <w:b/>
          <w:bCs/>
          <w:kern w:val="44"/>
          <w:sz w:val="28"/>
          <w:szCs w:val="28"/>
          <w:highlight w:val="none"/>
          <w:lang w:val="zh-CN"/>
        </w:rPr>
        <w:t>。</w:t>
      </w:r>
      <w:r>
        <w:rPr>
          <w:rFonts w:hint="eastAsia" w:ascii="Calibri" w:hAnsi="Calibri" w:eastAsia="黑体" w:cs="Calibri"/>
          <w:color w:val="auto"/>
          <w:kern w:val="0"/>
          <w:sz w:val="28"/>
          <w:szCs w:val="28"/>
          <w:lang w:val="en-US" w:eastAsia="zh-CN"/>
        </w:rPr>
        <w:t>按图纸约定的电器元件规格型号（品牌）报价。未约定的其他元件，按技术规格书执行</w:t>
      </w:r>
      <w:r>
        <w:rPr>
          <w:rFonts w:hint="eastAsia" w:ascii="黑体" w:hAnsi="黑体" w:eastAsia="黑体" w:cs="黑体"/>
          <w:kern w:val="0"/>
          <w:sz w:val="28"/>
          <w:szCs w:val="28"/>
          <w:lang w:val="en-US" w:eastAsia="zh-CN"/>
        </w:rPr>
        <w:t>。</w:t>
      </w:r>
    </w:p>
    <w:p w14:paraId="63B50BEC">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0E2D9C3D">
      <w:pPr>
        <w:pStyle w:val="51"/>
        <w:keepNext w:val="0"/>
        <w:keepLines w:val="0"/>
        <w:pageBreakBefore w:val="0"/>
        <w:numPr>
          <w:ilvl w:val="0"/>
          <w:numId w:val="3"/>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75661EBD">
      <w:pPr>
        <w:keepNext w:val="0"/>
        <w:keepLines w:val="0"/>
        <w:pageBreakBefore w:val="0"/>
        <w:widowControl/>
        <w:numPr>
          <w:ilvl w:val="0"/>
          <w:numId w:val="3"/>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498DC1E8">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5747583E">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3229AC10">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30D2E96E">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6D4F0154">
      <w:pPr>
        <w:keepNext w:val="0"/>
        <w:keepLines w:val="0"/>
        <w:pageBreakBefore w:val="0"/>
        <w:kinsoku/>
        <w:wordWrap/>
        <w:overflowPunct/>
        <w:topLinePunct w:val="0"/>
        <w:autoSpaceDE/>
        <w:autoSpaceDN/>
        <w:bidi w:val="0"/>
        <w:spacing w:line="560" w:lineRule="exact"/>
        <w:jc w:val="both"/>
        <w:textAlignment w:val="auto"/>
        <w:rPr>
          <w:rFonts w:asciiTheme="minorEastAsia" w:hAnsiTheme="minorEastAsia" w:eastAsiaTheme="minorEastAsia"/>
          <w:sz w:val="24"/>
          <w:szCs w:val="24"/>
          <w:highlight w:val="none"/>
        </w:rPr>
      </w:pPr>
    </w:p>
    <w:p w14:paraId="31FA1CBC">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067A933D">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17B6AE33">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4AAC0508">
      <w:pPr>
        <w:kinsoku/>
        <w:overflowPunct/>
        <w:topLinePunct w:val="0"/>
        <w:bidi w:val="0"/>
        <w:spacing w:line="360" w:lineRule="auto"/>
        <w:ind w:left="0" w:leftChars="0" w:right="0" w:rightChars="0" w:firstLine="480" w:firstLineChars="200"/>
        <w:rPr>
          <w:rFonts w:ascii="宋体" w:hAnsi="宋体"/>
          <w:color w:val="auto"/>
          <w:sz w:val="24"/>
        </w:rPr>
      </w:pPr>
    </w:p>
    <w:p w14:paraId="42E45419">
      <w:pPr>
        <w:pStyle w:val="50"/>
        <w:kinsoku/>
        <w:overflowPunct/>
        <w:topLinePunct w:val="0"/>
        <w:bidi w:val="0"/>
        <w:spacing w:line="360" w:lineRule="auto"/>
        <w:ind w:left="0" w:leftChars="0" w:right="0" w:rightChars="0" w:firstLine="482" w:firstLineChars="200"/>
        <w:jc w:val="center"/>
        <w:rPr>
          <w:rFonts w:ascii="宋体" w:hAnsi="宋体" w:eastAsia="宋体"/>
          <w:b/>
          <w:color w:val="auto"/>
        </w:rPr>
      </w:pPr>
      <w:r>
        <w:rPr>
          <w:rFonts w:hint="eastAsia" w:ascii="宋体" w:hAnsi="宋体" w:eastAsia="宋体"/>
          <w:b/>
          <w:color w:val="auto"/>
          <w:lang w:val="en-US" w:eastAsia="zh-CN"/>
        </w:rPr>
        <w:t>详细报价清单</w:t>
      </w:r>
    </w:p>
    <w:p w14:paraId="4ECF3696">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6"/>
        <w:tblW w:w="10167" w:type="dxa"/>
        <w:tblInd w:w="0" w:type="dxa"/>
        <w:shd w:val="clear" w:color="auto" w:fill="auto"/>
        <w:tblLayout w:type="fixed"/>
        <w:tblCellMar>
          <w:top w:w="0" w:type="dxa"/>
          <w:left w:w="0" w:type="dxa"/>
          <w:bottom w:w="0" w:type="dxa"/>
          <w:right w:w="0" w:type="dxa"/>
        </w:tblCellMar>
      </w:tblPr>
      <w:tblGrid>
        <w:gridCol w:w="705"/>
        <w:gridCol w:w="1894"/>
        <w:gridCol w:w="1550"/>
        <w:gridCol w:w="940"/>
        <w:gridCol w:w="830"/>
        <w:gridCol w:w="1740"/>
        <w:gridCol w:w="1270"/>
        <w:gridCol w:w="1238"/>
      </w:tblGrid>
      <w:tr w14:paraId="66B49945">
        <w:tblPrEx>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5E51896D">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894"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9FA4D04">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55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2D6EA616">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40"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1C7C0F1">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29133261">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5B81AB03">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w:t>
            </w:r>
          </w:p>
        </w:tc>
        <w:tc>
          <w:tcPr>
            <w:tcW w:w="1238"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3FB45FE8">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558209F1">
        <w:tblPrEx>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12415B5D">
            <w:pPr>
              <w:jc w:val="center"/>
              <w:rPr>
                <w:rFonts w:hint="eastAsia" w:ascii="宋体" w:hAnsi="宋体" w:eastAsia="宋体" w:cs="宋体"/>
                <w:b/>
                <w:i w:val="0"/>
                <w:color w:val="auto"/>
                <w:sz w:val="18"/>
                <w:szCs w:val="18"/>
                <w:highlight w:val="none"/>
                <w:u w:val="none"/>
              </w:rPr>
            </w:pPr>
          </w:p>
        </w:tc>
        <w:tc>
          <w:tcPr>
            <w:tcW w:w="1894"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988941">
            <w:pPr>
              <w:jc w:val="center"/>
              <w:rPr>
                <w:rFonts w:hint="eastAsia" w:ascii="宋体" w:hAnsi="宋体" w:eastAsia="宋体" w:cs="宋体"/>
                <w:b/>
                <w:i w:val="0"/>
                <w:color w:val="auto"/>
                <w:sz w:val="18"/>
                <w:szCs w:val="18"/>
                <w:highlight w:val="none"/>
                <w:u w:val="none"/>
              </w:rPr>
            </w:pPr>
          </w:p>
        </w:tc>
        <w:tc>
          <w:tcPr>
            <w:tcW w:w="155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28471D97">
            <w:pPr>
              <w:jc w:val="center"/>
              <w:rPr>
                <w:rFonts w:hint="eastAsia" w:ascii="宋体" w:hAnsi="宋体" w:eastAsia="宋体" w:cs="宋体"/>
                <w:b/>
                <w:i w:val="0"/>
                <w:color w:val="auto"/>
                <w:sz w:val="18"/>
                <w:szCs w:val="18"/>
                <w:highlight w:val="none"/>
                <w:u w:val="none"/>
              </w:rPr>
            </w:pPr>
          </w:p>
        </w:tc>
        <w:tc>
          <w:tcPr>
            <w:tcW w:w="940"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5A5C295">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452AB280">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CCC8FF9">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F9842DC">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238"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0C2215BC">
            <w:pPr>
              <w:jc w:val="left"/>
              <w:rPr>
                <w:rFonts w:hint="eastAsia" w:ascii="宋体" w:hAnsi="宋体" w:eastAsia="宋体" w:cs="宋体"/>
                <w:b/>
                <w:i w:val="0"/>
                <w:color w:val="auto"/>
                <w:sz w:val="18"/>
                <w:szCs w:val="18"/>
                <w:highlight w:val="none"/>
                <w:u w:val="none"/>
              </w:rPr>
            </w:pPr>
          </w:p>
        </w:tc>
      </w:tr>
      <w:tr w14:paraId="56264C42">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6E0B01D9">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1</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2390803">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950B4C7">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9124812">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DD2F3A7">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5D513EF">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1EDCF07">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1FE64099">
            <w:pPr>
              <w:rPr>
                <w:rFonts w:hint="eastAsia" w:ascii="宋体" w:hAnsi="宋体" w:eastAsia="宋体" w:cs="宋体"/>
                <w:i w:val="0"/>
                <w:color w:val="auto"/>
                <w:sz w:val="18"/>
                <w:szCs w:val="18"/>
                <w:highlight w:val="none"/>
                <w:u w:val="none"/>
              </w:rPr>
            </w:pPr>
          </w:p>
        </w:tc>
      </w:tr>
      <w:tr w14:paraId="4B41CD12">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4A940A3B">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2</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073F765">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B91DFA2">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1A1ABB3">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9147EA1">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04366B">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4968F09">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6480A53">
            <w:pPr>
              <w:rPr>
                <w:rFonts w:hint="eastAsia" w:ascii="宋体" w:hAnsi="宋体" w:eastAsia="宋体" w:cs="宋体"/>
                <w:i w:val="0"/>
                <w:color w:val="auto"/>
                <w:sz w:val="18"/>
                <w:szCs w:val="18"/>
                <w:highlight w:val="none"/>
                <w:u w:val="none"/>
              </w:rPr>
            </w:pPr>
          </w:p>
        </w:tc>
      </w:tr>
      <w:tr w14:paraId="25F17E0E">
        <w:tblPrEx>
          <w:tblCellMar>
            <w:top w:w="0" w:type="dxa"/>
            <w:left w:w="0" w:type="dxa"/>
            <w:bottom w:w="0" w:type="dxa"/>
            <w:right w:w="0" w:type="dxa"/>
          </w:tblCellMar>
        </w:tblPrEx>
        <w:trPr>
          <w:trHeight w:val="78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0F2CF48E">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7568" w:type="dxa"/>
            <w:gridSpan w:val="6"/>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6853564">
            <w:pPr>
              <w:rPr>
                <w:rFonts w:hint="default" w:ascii="宋体" w:hAnsi="宋体" w:eastAsia="宋体" w:cs="宋体"/>
                <w:b/>
                <w:bCs/>
                <w:i w:val="0"/>
                <w:color w:val="auto"/>
                <w:sz w:val="18"/>
                <w:szCs w:val="18"/>
                <w:highlight w:val="none"/>
                <w:u w:val="none"/>
                <w:lang w:val="en-US" w:eastAsia="zh-CN"/>
              </w:rPr>
            </w:pPr>
          </w:p>
        </w:tc>
      </w:tr>
    </w:tbl>
    <w:p w14:paraId="0D6A000A">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74D6F069">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449298CD">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5380DF42">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379F0537">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0224579D">
      <w:pPr>
        <w:pStyle w:val="35"/>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48C42CBA">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2D2E42A4">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640A96EE">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F1E25C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FF79421">
      <w:pPr>
        <w:kinsoku/>
        <w:overflowPunct/>
        <w:topLinePunct w:val="0"/>
        <w:bidi w:val="0"/>
        <w:ind w:right="0" w:rightChars="0"/>
        <w:jc w:val="left"/>
        <w:rPr>
          <w:rFonts w:hint="eastAsia" w:ascii="宋体" w:hAnsi="宋体" w:cs="宋体"/>
          <w:b/>
          <w:bCs/>
          <w:color w:val="auto"/>
          <w:sz w:val="28"/>
          <w:szCs w:val="28"/>
        </w:rPr>
      </w:pPr>
    </w:p>
    <w:p w14:paraId="1B4F6F3B">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7366E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4EB4B58">
      <w:pPr>
        <w:kinsoku/>
        <w:overflowPunct/>
        <w:topLinePunct w:val="0"/>
        <w:bidi w:val="0"/>
        <w:ind w:right="0" w:rightChars="0"/>
        <w:jc w:val="left"/>
        <w:rPr>
          <w:rFonts w:hint="eastAsia" w:ascii="宋体" w:hAnsi="宋体" w:cs="宋体"/>
          <w:b/>
          <w:bCs/>
          <w:color w:val="auto"/>
          <w:sz w:val="28"/>
          <w:szCs w:val="28"/>
        </w:rPr>
      </w:pPr>
    </w:p>
    <w:p w14:paraId="577A709A">
      <w:pPr>
        <w:kinsoku/>
        <w:overflowPunct/>
        <w:topLinePunct w:val="0"/>
        <w:bidi w:val="0"/>
        <w:ind w:right="0" w:rightChars="0"/>
        <w:jc w:val="left"/>
        <w:rPr>
          <w:rFonts w:hint="eastAsia" w:ascii="宋体" w:hAnsi="宋体" w:cs="宋体"/>
          <w:b/>
          <w:bCs/>
          <w:color w:val="auto"/>
          <w:sz w:val="28"/>
          <w:szCs w:val="28"/>
        </w:rPr>
      </w:pPr>
    </w:p>
    <w:p w14:paraId="4B05D4E4">
      <w:pPr>
        <w:kinsoku/>
        <w:overflowPunct/>
        <w:topLinePunct w:val="0"/>
        <w:bidi w:val="0"/>
        <w:ind w:right="0" w:rightChars="0"/>
        <w:jc w:val="left"/>
        <w:rPr>
          <w:rFonts w:hint="eastAsia" w:ascii="宋体" w:hAnsi="宋体" w:cs="宋体"/>
          <w:b/>
          <w:bCs/>
          <w:color w:val="auto"/>
          <w:sz w:val="28"/>
          <w:szCs w:val="28"/>
        </w:rPr>
      </w:pPr>
    </w:p>
    <w:p w14:paraId="33CB9D82">
      <w:pPr>
        <w:kinsoku/>
        <w:overflowPunct/>
        <w:topLinePunct w:val="0"/>
        <w:bidi w:val="0"/>
        <w:ind w:right="0" w:rightChars="0"/>
        <w:jc w:val="left"/>
        <w:rPr>
          <w:rFonts w:hint="eastAsia" w:ascii="宋体" w:hAnsi="宋体" w:cs="宋体"/>
          <w:b/>
          <w:bCs/>
          <w:color w:val="auto"/>
          <w:sz w:val="28"/>
          <w:szCs w:val="28"/>
        </w:rPr>
      </w:pPr>
    </w:p>
    <w:p w14:paraId="7C5783D2">
      <w:pPr>
        <w:kinsoku/>
        <w:overflowPunct/>
        <w:topLinePunct w:val="0"/>
        <w:bidi w:val="0"/>
        <w:ind w:right="0" w:rightChars="0"/>
        <w:jc w:val="left"/>
        <w:rPr>
          <w:rFonts w:hint="eastAsia" w:ascii="宋体" w:hAnsi="宋体" w:cs="宋体"/>
          <w:b/>
          <w:bCs/>
          <w:color w:val="auto"/>
          <w:sz w:val="28"/>
          <w:szCs w:val="28"/>
        </w:rPr>
      </w:pPr>
    </w:p>
    <w:p w14:paraId="25731259">
      <w:pPr>
        <w:kinsoku/>
        <w:overflowPunct/>
        <w:topLinePunct w:val="0"/>
        <w:bidi w:val="0"/>
        <w:ind w:right="0" w:rightChars="0"/>
        <w:jc w:val="left"/>
        <w:rPr>
          <w:rFonts w:hint="eastAsia" w:ascii="宋体" w:hAnsi="宋体" w:cs="宋体"/>
          <w:b/>
          <w:bCs/>
          <w:color w:val="auto"/>
          <w:sz w:val="28"/>
          <w:szCs w:val="28"/>
        </w:rPr>
      </w:pPr>
    </w:p>
    <w:p w14:paraId="0BF75A20">
      <w:pPr>
        <w:kinsoku/>
        <w:overflowPunct/>
        <w:topLinePunct w:val="0"/>
        <w:bidi w:val="0"/>
        <w:ind w:right="0" w:rightChars="0"/>
        <w:jc w:val="left"/>
        <w:rPr>
          <w:rFonts w:hint="eastAsia" w:ascii="宋体" w:hAnsi="宋体" w:cs="宋体"/>
          <w:b/>
          <w:bCs/>
          <w:color w:val="auto"/>
          <w:sz w:val="28"/>
          <w:szCs w:val="28"/>
        </w:rPr>
      </w:pPr>
    </w:p>
    <w:p w14:paraId="62A6617A">
      <w:pPr>
        <w:kinsoku/>
        <w:overflowPunct/>
        <w:topLinePunct w:val="0"/>
        <w:bidi w:val="0"/>
        <w:ind w:right="0" w:rightChars="0"/>
        <w:jc w:val="left"/>
        <w:rPr>
          <w:rFonts w:hint="eastAsia" w:ascii="宋体" w:hAnsi="宋体" w:cs="宋体"/>
          <w:b/>
          <w:bCs/>
          <w:color w:val="auto"/>
          <w:sz w:val="28"/>
          <w:szCs w:val="28"/>
        </w:rPr>
      </w:pPr>
    </w:p>
    <w:p w14:paraId="535D2B64">
      <w:pPr>
        <w:kinsoku/>
        <w:overflowPunct/>
        <w:topLinePunct w:val="0"/>
        <w:bidi w:val="0"/>
        <w:ind w:right="0" w:rightChars="0"/>
        <w:jc w:val="left"/>
        <w:rPr>
          <w:rFonts w:hint="eastAsia" w:ascii="宋体" w:hAnsi="宋体" w:cs="宋体"/>
          <w:b/>
          <w:bCs/>
          <w:color w:val="auto"/>
          <w:sz w:val="28"/>
          <w:szCs w:val="28"/>
        </w:rPr>
      </w:pPr>
    </w:p>
    <w:p w14:paraId="43A3FB15">
      <w:pPr>
        <w:kinsoku/>
        <w:overflowPunct/>
        <w:topLinePunct w:val="0"/>
        <w:bidi w:val="0"/>
        <w:ind w:right="0" w:rightChars="0"/>
        <w:jc w:val="left"/>
        <w:rPr>
          <w:rFonts w:hint="eastAsia" w:ascii="宋体" w:hAnsi="宋体" w:cs="宋体"/>
          <w:b/>
          <w:bCs/>
          <w:color w:val="auto"/>
          <w:sz w:val="28"/>
          <w:szCs w:val="28"/>
        </w:rPr>
      </w:pPr>
    </w:p>
    <w:p w14:paraId="77D621DB">
      <w:pPr>
        <w:kinsoku/>
        <w:overflowPunct/>
        <w:topLinePunct w:val="0"/>
        <w:bidi w:val="0"/>
        <w:ind w:right="0" w:rightChars="0"/>
        <w:jc w:val="left"/>
        <w:rPr>
          <w:rFonts w:hint="eastAsia" w:ascii="宋体" w:hAnsi="宋体" w:cs="宋体"/>
          <w:b/>
          <w:bCs/>
          <w:color w:val="auto"/>
          <w:sz w:val="28"/>
          <w:szCs w:val="28"/>
        </w:rPr>
      </w:pPr>
    </w:p>
    <w:p w14:paraId="6CE549D3">
      <w:pPr>
        <w:numPr>
          <w:ilvl w:val="0"/>
          <w:numId w:val="0"/>
        </w:numPr>
        <w:kinsoku/>
        <w:overflowPunct/>
        <w:topLinePunct w:val="0"/>
        <w:bidi w:val="0"/>
        <w:ind w:right="0" w:rightChars="0"/>
        <w:jc w:val="both"/>
        <w:rPr>
          <w:rFonts w:hint="default" w:ascii="宋体" w:hAnsi="宋体" w:cs="宋体"/>
          <w:color w:val="auto"/>
          <w:sz w:val="24"/>
          <w:lang w:val="en-US" w:eastAsia="zh-CN"/>
        </w:rPr>
      </w:pPr>
      <w:r>
        <w:rPr>
          <w:rFonts w:hint="eastAsia" w:ascii="黑体" w:hAnsi="黑体" w:eastAsia="黑体" w:cs="黑体"/>
          <w:sz w:val="28"/>
          <w:szCs w:val="28"/>
          <w:lang w:val="en-US" w:eastAsia="zh-CN"/>
        </w:rPr>
        <w:t>（五）配电箱</w:t>
      </w:r>
      <w:r>
        <w:rPr>
          <w:rFonts w:hint="eastAsia" w:ascii="黑体" w:hAnsi="黑体" w:eastAsia="黑体" w:cs="黑体"/>
          <w:color w:val="auto"/>
          <w:sz w:val="28"/>
          <w:szCs w:val="28"/>
          <w:lang w:val="en-US" w:eastAsia="zh-CN"/>
        </w:rPr>
        <w:t>参数及配置明细</w:t>
      </w:r>
      <w:r>
        <w:rPr>
          <w:rFonts w:hint="eastAsia" w:ascii="Calibri" w:hAnsi="Calibri" w:eastAsia="黑体" w:cs="Calibri"/>
          <w:color w:val="auto"/>
          <w:kern w:val="0"/>
          <w:sz w:val="28"/>
          <w:szCs w:val="28"/>
          <w:lang w:val="en-US" w:eastAsia="zh-CN"/>
        </w:rPr>
        <w:t>（务必按图纸或技术规格书约定的规格型号/品牌）</w:t>
      </w:r>
    </w:p>
    <w:p w14:paraId="778C2883">
      <w:pPr>
        <w:numPr>
          <w:ilvl w:val="0"/>
          <w:numId w:val="0"/>
        </w:numPr>
        <w:kinsoku/>
        <w:overflowPunct/>
        <w:topLinePunct w:val="0"/>
        <w:bidi w:val="0"/>
        <w:ind w:right="0" w:rightChars="0"/>
        <w:jc w:val="both"/>
        <w:rPr>
          <w:rFonts w:hint="default" w:ascii="宋体" w:hAnsi="宋体" w:cs="宋体"/>
          <w:color w:val="auto"/>
          <w:sz w:val="24"/>
          <w:lang w:val="en-US" w:eastAsia="zh-CN"/>
        </w:rPr>
      </w:pPr>
    </w:p>
    <w:p w14:paraId="25D728B3">
      <w:pPr>
        <w:widowControl w:val="0"/>
        <w:numPr>
          <w:ilvl w:val="0"/>
          <w:numId w:val="0"/>
        </w:numPr>
        <w:kinsoku/>
        <w:overflowPunct/>
        <w:topLinePunct w:val="0"/>
        <w:bidi w:val="0"/>
        <w:ind w:right="0" w:rightChars="0"/>
        <w:jc w:val="both"/>
        <w:rPr>
          <w:rFonts w:hint="eastAsia" w:ascii="宋体" w:hAnsi="宋体" w:eastAsiaTheme="minorEastAsia" w:cstheme="minorBidi"/>
          <w:color w:val="auto"/>
          <w:kern w:val="2"/>
          <w:sz w:val="21"/>
          <w:szCs w:val="21"/>
          <w:lang w:val="en-US" w:eastAsia="zh-CN" w:bidi="ar-SA"/>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s="宋体"/>
          <w:color w:val="auto"/>
          <w:sz w:val="24"/>
          <w:lang w:val="en-US" w:eastAsia="zh-CN"/>
        </w:rPr>
        <w:t>注明配电箱外形尺寸、材质、板材厚度；注明所有电器元件品名、规格型号、生产商及数量。格式自拟。</w:t>
      </w:r>
    </w:p>
    <w:p w14:paraId="6A44F188">
      <w:pPr>
        <w:kinsoku/>
        <w:overflowPunct/>
        <w:topLinePunct w:val="0"/>
        <w:bidi w:val="0"/>
        <w:spacing w:line="360" w:lineRule="auto"/>
        <w:ind w:right="0" w:rightChars="0"/>
        <w:jc w:val="left"/>
        <w:rPr>
          <w:rFonts w:hint="eastAsia" w:ascii="宋体" w:hAnsi="宋体"/>
          <w:b/>
          <w:color w:val="auto"/>
          <w:sz w:val="28"/>
        </w:rPr>
      </w:pPr>
      <w:r>
        <w:rPr>
          <w:rFonts w:hint="eastAsia" w:ascii="宋体" w:hAnsi="宋体" w:cs="宋体"/>
          <w:b/>
          <w:bCs/>
          <w:color w:val="auto"/>
          <w:sz w:val="28"/>
          <w:szCs w:val="28"/>
          <w:lang w:val="en-US" w:eastAsia="zh-CN"/>
        </w:rPr>
        <w:t>（六）</w:t>
      </w:r>
      <w:r>
        <w:rPr>
          <w:rFonts w:hint="eastAsia" w:ascii="宋体" w:hAnsi="宋体"/>
          <w:b/>
          <w:color w:val="auto"/>
          <w:sz w:val="28"/>
        </w:rPr>
        <w:t>承 诺</w:t>
      </w:r>
    </w:p>
    <w:p w14:paraId="2D7BA410">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CB5744E">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0E8ABE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6ABF46E1">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6614D45">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282E62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62C59844">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5B2DB98E">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BF320E5">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301FFC5D">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73BD8FA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078625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57166CBD">
      <w:pPr>
        <w:kinsoku/>
        <w:overflowPunct/>
        <w:topLinePunct w:val="0"/>
        <w:bidi w:val="0"/>
        <w:spacing w:line="360" w:lineRule="auto"/>
        <w:ind w:left="0" w:leftChars="0" w:right="0" w:rightChars="0" w:firstLine="4200" w:firstLineChars="2000"/>
        <w:rPr>
          <w:rFonts w:hint="eastAsia"/>
          <w:color w:val="auto"/>
          <w:kern w:val="0"/>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p>
    <w:p w14:paraId="18951453">
      <w:pPr>
        <w:kinsoku/>
        <w:overflowPunct/>
        <w:topLinePunct w:val="0"/>
        <w:bidi w:val="0"/>
        <w:ind w:right="0" w:rightChars="0"/>
        <w:jc w:val="both"/>
        <w:rPr>
          <w:rFonts w:hint="eastAsia" w:ascii="黑体" w:hAnsi="宋体" w:eastAsia="黑体"/>
          <w:color w:val="auto"/>
          <w:sz w:val="32"/>
          <w:szCs w:val="32"/>
        </w:rPr>
      </w:pPr>
    </w:p>
    <w:p w14:paraId="43F26870">
      <w:pPr>
        <w:kinsoku/>
        <w:overflowPunct/>
        <w:topLinePunct w:val="0"/>
        <w:bidi w:val="0"/>
        <w:ind w:left="0" w:leftChars="0" w:right="0" w:rightChars="0" w:firstLine="600" w:firstLineChars="20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1FCD0153">
      <w:pPr>
        <w:widowControl/>
        <w:jc w:val="left"/>
        <w:rPr>
          <w:rFonts w:hint="eastAsia" w:ascii="宋体" w:hAnsi="宋体"/>
          <w:color w:val="auto"/>
          <w:kern w:val="0"/>
          <w:szCs w:val="21"/>
        </w:rPr>
      </w:pPr>
    </w:p>
    <w:p w14:paraId="4612070E">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84DC907">
      <w:pPr>
        <w:spacing w:line="400" w:lineRule="exact"/>
        <w:jc w:val="center"/>
        <w:rPr>
          <w:rFonts w:ascii="黑体" w:hAnsi="黑体" w:eastAsia="黑体"/>
          <w:bCs/>
          <w:color w:val="auto"/>
          <w:sz w:val="36"/>
          <w:szCs w:val="36"/>
        </w:rPr>
      </w:pPr>
    </w:p>
    <w:p w14:paraId="19898C43">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w:t>
      </w:r>
    </w:p>
    <w:p w14:paraId="3725B72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1F08A9">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6646942">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01E3DA13">
      <w:pPr>
        <w:pStyle w:val="48"/>
        <w:numPr>
          <w:ilvl w:val="0"/>
          <w:numId w:val="4"/>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7"/>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4C7F4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B013D1">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F63FBA">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5AA0D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5358E64">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16087">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D3889">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BACCBB">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7F92F487">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51A171AE">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247B4E">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0217E6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52C70A">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484BF2">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77A5BC">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615431">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266359">
            <w:pPr>
              <w:pStyle w:val="48"/>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6C6E5">
            <w:pPr>
              <w:pStyle w:val="48"/>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68FFADD">
            <w:pPr>
              <w:pStyle w:val="48"/>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6EE4E5E4">
            <w:pPr>
              <w:pStyle w:val="48"/>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6B864E">
            <w:pPr>
              <w:pStyle w:val="48"/>
              <w:spacing w:line="400" w:lineRule="exact"/>
              <w:ind w:firstLine="0" w:firstLineChars="0"/>
              <w:jc w:val="center"/>
              <w:rPr>
                <w:rFonts w:ascii="黑体" w:hAnsi="黑体" w:eastAsia="黑体" w:cs="黑体"/>
                <w:b w:val="0"/>
                <w:bCs/>
                <w:color w:val="auto"/>
                <w:szCs w:val="21"/>
              </w:rPr>
            </w:pPr>
          </w:p>
        </w:tc>
      </w:tr>
      <w:tr w14:paraId="7A7BA4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36FD4E">
            <w:pPr>
              <w:pStyle w:val="48"/>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3C1E4AF3">
            <w:pPr>
              <w:pStyle w:val="48"/>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7B5F830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5"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2A0B6217">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50031A0C">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688BA119">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3462E504">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5A3E9FA7">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193DE09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8F06DF8">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5</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0EC69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u w:val="single"/>
          <w:lang w:val="en-US" w:eastAsia="zh-CN"/>
        </w:rPr>
        <w:t xml:space="preserve">   </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5E311AE7">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06666080">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06072104">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4.通电72小时运行验收。</w:t>
      </w:r>
    </w:p>
    <w:p w14:paraId="6361A639">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5.合同附件（标的物配置清单）作为标的物验收验收标准，具备同等法律效力。</w:t>
      </w:r>
    </w:p>
    <w:p w14:paraId="6624CC59">
      <w:pPr>
        <w:spacing w:line="360" w:lineRule="auto"/>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6.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604E5DFA">
      <w:pPr>
        <w:pStyle w:val="5"/>
        <w:keepNext w:val="0"/>
        <w:keepLines w:val="0"/>
        <w:pageBreakBefore w:val="0"/>
        <w:kinsoku/>
        <w:wordWrap/>
        <w:overflowPunct/>
        <w:topLinePunct w:val="0"/>
        <w:autoSpaceDE/>
        <w:autoSpaceDN/>
        <w:bidi w:val="0"/>
        <w:adjustRightInd/>
        <w:snapToGrid/>
        <w:spacing w:before="186" w:line="360" w:lineRule="auto"/>
        <w:ind w:left="0" w:leftChars="0" w:right="296" w:firstLine="0" w:firstLineChars="0"/>
        <w:textAlignment w:val="auto"/>
        <w:rPr>
          <w:rFonts w:hint="default" w:ascii="黑体" w:hAnsi="黑体" w:eastAsia="黑体" w:cs="黑体"/>
          <w:color w:val="auto"/>
          <w:kern w:val="2"/>
          <w:sz w:val="24"/>
          <w:szCs w:val="24"/>
          <w:lang w:val="en-US" w:eastAsia="zh-CN" w:bidi="ar-SA"/>
        </w:rPr>
      </w:pPr>
    </w:p>
    <w:p w14:paraId="36DDE6C4">
      <w:pPr>
        <w:pStyle w:val="5"/>
        <w:spacing w:before="186" w:line="332" w:lineRule="auto"/>
        <w:ind w:left="0" w:leftChars="0" w:right="296"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rPr>
        <w:t>（以下无正文）</w:t>
      </w:r>
      <w:bookmarkEnd w:id="5"/>
    </w:p>
    <w:tbl>
      <w:tblPr>
        <w:tblStyle w:val="16"/>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E01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03" w:type="dxa"/>
            <w:tcBorders>
              <w:top w:val="single" w:color="auto" w:sz="4" w:space="0"/>
              <w:left w:val="single" w:color="auto" w:sz="4" w:space="0"/>
              <w:bottom w:val="single" w:color="auto" w:sz="4" w:space="0"/>
              <w:right w:val="single" w:color="auto" w:sz="4" w:space="0"/>
            </w:tcBorders>
          </w:tcPr>
          <w:p w14:paraId="3F04B087">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614ADF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74F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739D7D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27226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3CD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2BF29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A2CE3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D6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D7C992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9A972A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7B33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E818A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09A0C35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65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E936F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3D7FE0D0">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3F87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306C2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564DB9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52F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1DB104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711026F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19170854">
      <w:pPr>
        <w:widowControl/>
        <w:jc w:val="left"/>
        <w:rPr>
          <w:rFonts w:hint="eastAsia" w:ascii="宋体" w:hAnsi="宋体" w:cs="仿宋" w:eastAsiaTheme="minorEastAsia"/>
          <w:color w:val="auto"/>
          <w:sz w:val="24"/>
          <w:szCs w:val="24"/>
          <w:lang w:val="en-US" w:eastAsia="zh-CN"/>
        </w:rPr>
      </w:pPr>
    </w:p>
    <w:p w14:paraId="3F18F4DA">
      <w:pPr>
        <w:widowControl/>
        <w:jc w:val="left"/>
        <w:rPr>
          <w:rFonts w:hint="eastAsia" w:ascii="宋体" w:hAnsi="宋体" w:cs="仿宋" w:eastAsiaTheme="minorEastAsia"/>
          <w:color w:val="auto"/>
          <w:szCs w:val="21"/>
          <w:lang w:val="en-US" w:eastAsia="zh-CN"/>
        </w:rPr>
      </w:pPr>
    </w:p>
    <w:p w14:paraId="42244D3D">
      <w:pPr>
        <w:spacing w:line="360" w:lineRule="exact"/>
        <w:rPr>
          <w:rFonts w:hint="eastAsia"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合同附件（配置清单）：</w:t>
      </w: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0"/>
      </w:rPr>
      <w:instrText xml:space="preserve"> PAGE </w:instrText>
    </w:r>
    <w:r>
      <w:fldChar w:fldCharType="separate"/>
    </w:r>
    <w:r>
      <w:rPr>
        <w:rStyle w:val="20"/>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525D10BB">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CF8C3976"/>
    <w:multiLevelType w:val="singleLevel"/>
    <w:tmpl w:val="CF8C3976"/>
    <w:lvl w:ilvl="0" w:tentative="0">
      <w:start w:val="2"/>
      <w:numFmt w:val="chineseCounting"/>
      <w:suff w:val="space"/>
      <w:lvlText w:val="第%1章"/>
      <w:lvlJc w:val="left"/>
      <w:rPr>
        <w:rFonts w:hint="eastAsia"/>
      </w:r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FE9D48E"/>
    <w:multiLevelType w:val="singleLevel"/>
    <w:tmpl w:val="5FE9D48E"/>
    <w:lvl w:ilvl="0" w:tentative="0">
      <w:start w:val="1"/>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1E3808"/>
    <w:rsid w:val="043B2184"/>
    <w:rsid w:val="0475718F"/>
    <w:rsid w:val="0485137E"/>
    <w:rsid w:val="04C66C1A"/>
    <w:rsid w:val="04C771FD"/>
    <w:rsid w:val="04D1736D"/>
    <w:rsid w:val="05573D16"/>
    <w:rsid w:val="057443B4"/>
    <w:rsid w:val="05A40373"/>
    <w:rsid w:val="05C017FD"/>
    <w:rsid w:val="0687687D"/>
    <w:rsid w:val="06F2489E"/>
    <w:rsid w:val="070268E6"/>
    <w:rsid w:val="07501427"/>
    <w:rsid w:val="076636BD"/>
    <w:rsid w:val="094A00EB"/>
    <w:rsid w:val="094D7C7A"/>
    <w:rsid w:val="097507C7"/>
    <w:rsid w:val="097D22E2"/>
    <w:rsid w:val="09AD2157"/>
    <w:rsid w:val="0A3C4D43"/>
    <w:rsid w:val="0B2329EA"/>
    <w:rsid w:val="0B6C6FDB"/>
    <w:rsid w:val="0C2D337D"/>
    <w:rsid w:val="0C5F0F6E"/>
    <w:rsid w:val="0D004BE0"/>
    <w:rsid w:val="0D6635DC"/>
    <w:rsid w:val="0EC51CF1"/>
    <w:rsid w:val="0F783207"/>
    <w:rsid w:val="0F797A29"/>
    <w:rsid w:val="0FBB34F5"/>
    <w:rsid w:val="0FFD54BA"/>
    <w:rsid w:val="10211CEC"/>
    <w:rsid w:val="10525110"/>
    <w:rsid w:val="110E7C3C"/>
    <w:rsid w:val="117D68B3"/>
    <w:rsid w:val="120F5BA7"/>
    <w:rsid w:val="1235718D"/>
    <w:rsid w:val="128A3A09"/>
    <w:rsid w:val="12A6008B"/>
    <w:rsid w:val="12D009A7"/>
    <w:rsid w:val="13C54541"/>
    <w:rsid w:val="14592936"/>
    <w:rsid w:val="14676D7E"/>
    <w:rsid w:val="15916DD0"/>
    <w:rsid w:val="16413351"/>
    <w:rsid w:val="164E090F"/>
    <w:rsid w:val="16937390"/>
    <w:rsid w:val="16C23451"/>
    <w:rsid w:val="172F5937"/>
    <w:rsid w:val="17660053"/>
    <w:rsid w:val="177C482D"/>
    <w:rsid w:val="190E59FE"/>
    <w:rsid w:val="19393A07"/>
    <w:rsid w:val="1A294B27"/>
    <w:rsid w:val="1A683441"/>
    <w:rsid w:val="1C3C008E"/>
    <w:rsid w:val="1C4C57FF"/>
    <w:rsid w:val="1D176383"/>
    <w:rsid w:val="1D64697C"/>
    <w:rsid w:val="1DD969AB"/>
    <w:rsid w:val="1ED14404"/>
    <w:rsid w:val="1EF74148"/>
    <w:rsid w:val="1FA15E62"/>
    <w:rsid w:val="1FDB7383"/>
    <w:rsid w:val="20A629C0"/>
    <w:rsid w:val="21196F94"/>
    <w:rsid w:val="21263865"/>
    <w:rsid w:val="213571AA"/>
    <w:rsid w:val="217D645B"/>
    <w:rsid w:val="21843C8D"/>
    <w:rsid w:val="21F13065"/>
    <w:rsid w:val="22A07CA6"/>
    <w:rsid w:val="237F15B6"/>
    <w:rsid w:val="240E783E"/>
    <w:rsid w:val="246966F1"/>
    <w:rsid w:val="2470465E"/>
    <w:rsid w:val="24E62943"/>
    <w:rsid w:val="24F6510A"/>
    <w:rsid w:val="24FA55ED"/>
    <w:rsid w:val="25106F93"/>
    <w:rsid w:val="25CC5B88"/>
    <w:rsid w:val="25EA69AA"/>
    <w:rsid w:val="26933E36"/>
    <w:rsid w:val="26BC19A6"/>
    <w:rsid w:val="279E3E6D"/>
    <w:rsid w:val="27A73E71"/>
    <w:rsid w:val="27B8643F"/>
    <w:rsid w:val="28564D7B"/>
    <w:rsid w:val="289607B9"/>
    <w:rsid w:val="28F11C08"/>
    <w:rsid w:val="290166AE"/>
    <w:rsid w:val="2A494963"/>
    <w:rsid w:val="2A5A72A6"/>
    <w:rsid w:val="2A7A0382"/>
    <w:rsid w:val="2AAB5DE7"/>
    <w:rsid w:val="2AC075D6"/>
    <w:rsid w:val="2C0635BA"/>
    <w:rsid w:val="2C0F4BDB"/>
    <w:rsid w:val="2C3342E6"/>
    <w:rsid w:val="2C612895"/>
    <w:rsid w:val="2C672453"/>
    <w:rsid w:val="2D67104D"/>
    <w:rsid w:val="2E1323EF"/>
    <w:rsid w:val="2EC03E0B"/>
    <w:rsid w:val="2EE64169"/>
    <w:rsid w:val="300E355A"/>
    <w:rsid w:val="30337F16"/>
    <w:rsid w:val="30464A25"/>
    <w:rsid w:val="3082583C"/>
    <w:rsid w:val="30EA17A6"/>
    <w:rsid w:val="31A45B7D"/>
    <w:rsid w:val="31A5035D"/>
    <w:rsid w:val="33980AB1"/>
    <w:rsid w:val="344A7D4E"/>
    <w:rsid w:val="347D19AD"/>
    <w:rsid w:val="34C32719"/>
    <w:rsid w:val="34DF4182"/>
    <w:rsid w:val="34E44129"/>
    <w:rsid w:val="34E65643"/>
    <w:rsid w:val="3539753D"/>
    <w:rsid w:val="35771A99"/>
    <w:rsid w:val="361436EF"/>
    <w:rsid w:val="363D49D0"/>
    <w:rsid w:val="36481456"/>
    <w:rsid w:val="366D59FA"/>
    <w:rsid w:val="371A057C"/>
    <w:rsid w:val="37296A11"/>
    <w:rsid w:val="388861A3"/>
    <w:rsid w:val="38DC340E"/>
    <w:rsid w:val="3A52002D"/>
    <w:rsid w:val="3A801D52"/>
    <w:rsid w:val="3A887EF3"/>
    <w:rsid w:val="3ABF1B60"/>
    <w:rsid w:val="3B10121D"/>
    <w:rsid w:val="3BA23F27"/>
    <w:rsid w:val="3BB75F0B"/>
    <w:rsid w:val="3BF62074"/>
    <w:rsid w:val="3D2D4ECB"/>
    <w:rsid w:val="3D8E7046"/>
    <w:rsid w:val="3DB1150E"/>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7345D5"/>
    <w:rsid w:val="45877724"/>
    <w:rsid w:val="467A2DE5"/>
    <w:rsid w:val="470A03A4"/>
    <w:rsid w:val="47F46EAE"/>
    <w:rsid w:val="48724017"/>
    <w:rsid w:val="48750F6C"/>
    <w:rsid w:val="492B4B3C"/>
    <w:rsid w:val="4A185620"/>
    <w:rsid w:val="4A6F4C2B"/>
    <w:rsid w:val="4B964C95"/>
    <w:rsid w:val="4BDF7931"/>
    <w:rsid w:val="4D477799"/>
    <w:rsid w:val="4DCF4AEB"/>
    <w:rsid w:val="4E0D1159"/>
    <w:rsid w:val="4E5A52AA"/>
    <w:rsid w:val="4EE10E98"/>
    <w:rsid w:val="4EE97C85"/>
    <w:rsid w:val="4F203C16"/>
    <w:rsid w:val="4FE70DC0"/>
    <w:rsid w:val="502E581F"/>
    <w:rsid w:val="50CC06E1"/>
    <w:rsid w:val="50F46497"/>
    <w:rsid w:val="514328A4"/>
    <w:rsid w:val="51875472"/>
    <w:rsid w:val="51F577C4"/>
    <w:rsid w:val="52884ADC"/>
    <w:rsid w:val="52A80CDA"/>
    <w:rsid w:val="533212A1"/>
    <w:rsid w:val="53EE72C6"/>
    <w:rsid w:val="53F75F07"/>
    <w:rsid w:val="54887ACF"/>
    <w:rsid w:val="548B2661"/>
    <w:rsid w:val="54AA722A"/>
    <w:rsid w:val="55BE4F5F"/>
    <w:rsid w:val="55E22755"/>
    <w:rsid w:val="57193C9E"/>
    <w:rsid w:val="57541431"/>
    <w:rsid w:val="576C2775"/>
    <w:rsid w:val="581A4876"/>
    <w:rsid w:val="586048F0"/>
    <w:rsid w:val="588549CE"/>
    <w:rsid w:val="58AE7DA1"/>
    <w:rsid w:val="58DD7D9A"/>
    <w:rsid w:val="59AD4E28"/>
    <w:rsid w:val="5A2366E3"/>
    <w:rsid w:val="5AB80078"/>
    <w:rsid w:val="5B1D65E8"/>
    <w:rsid w:val="5C8C341B"/>
    <w:rsid w:val="5D152C97"/>
    <w:rsid w:val="5D2F2B1E"/>
    <w:rsid w:val="5DEF5A0F"/>
    <w:rsid w:val="5DF72B16"/>
    <w:rsid w:val="5E3D6E80"/>
    <w:rsid w:val="5EB75F23"/>
    <w:rsid w:val="5ECA3D86"/>
    <w:rsid w:val="5F4D50E3"/>
    <w:rsid w:val="60303C60"/>
    <w:rsid w:val="61E15FB7"/>
    <w:rsid w:val="61ED37A2"/>
    <w:rsid w:val="626B0ACC"/>
    <w:rsid w:val="626F728B"/>
    <w:rsid w:val="62A42563"/>
    <w:rsid w:val="631B496A"/>
    <w:rsid w:val="63210307"/>
    <w:rsid w:val="633B16F7"/>
    <w:rsid w:val="63613BBD"/>
    <w:rsid w:val="64132ACB"/>
    <w:rsid w:val="644F1AB3"/>
    <w:rsid w:val="65CA7906"/>
    <w:rsid w:val="65F92B36"/>
    <w:rsid w:val="661512EF"/>
    <w:rsid w:val="66A77D57"/>
    <w:rsid w:val="66C75014"/>
    <w:rsid w:val="672B6AD9"/>
    <w:rsid w:val="67CD5013"/>
    <w:rsid w:val="68E42148"/>
    <w:rsid w:val="68F9171A"/>
    <w:rsid w:val="693A47A3"/>
    <w:rsid w:val="69B61D6F"/>
    <w:rsid w:val="69C1618A"/>
    <w:rsid w:val="6AB2229E"/>
    <w:rsid w:val="6AFB2A69"/>
    <w:rsid w:val="6B3E4F40"/>
    <w:rsid w:val="6B4C26F3"/>
    <w:rsid w:val="6B73407C"/>
    <w:rsid w:val="6C465631"/>
    <w:rsid w:val="6C6400AB"/>
    <w:rsid w:val="6C8B590C"/>
    <w:rsid w:val="6D343A27"/>
    <w:rsid w:val="6DCF182B"/>
    <w:rsid w:val="6E41100E"/>
    <w:rsid w:val="6F712728"/>
    <w:rsid w:val="6FF06CE8"/>
    <w:rsid w:val="71710FBA"/>
    <w:rsid w:val="72F9402A"/>
    <w:rsid w:val="733A4279"/>
    <w:rsid w:val="74125240"/>
    <w:rsid w:val="74D06143"/>
    <w:rsid w:val="75284014"/>
    <w:rsid w:val="75942B42"/>
    <w:rsid w:val="75D4756D"/>
    <w:rsid w:val="75E36E5B"/>
    <w:rsid w:val="775744D2"/>
    <w:rsid w:val="77E24ED1"/>
    <w:rsid w:val="78117E1A"/>
    <w:rsid w:val="789E730E"/>
    <w:rsid w:val="79042BD4"/>
    <w:rsid w:val="7A450456"/>
    <w:rsid w:val="7AC516D6"/>
    <w:rsid w:val="7BBE5F26"/>
    <w:rsid w:val="7C9D75AD"/>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0"/>
    <w:semiHidden/>
    <w:unhideWhenUsed/>
    <w:qFormat/>
    <w:uiPriority w:val="99"/>
    <w:rPr>
      <w:sz w:val="18"/>
      <w:szCs w:val="18"/>
    </w:rPr>
  </w:style>
  <w:style w:type="paragraph" w:styleId="9">
    <w:name w:val="footer"/>
    <w:basedOn w:val="1"/>
    <w:link w:val="39"/>
    <w:unhideWhenUsed/>
    <w:qFormat/>
    <w:uiPriority w:val="99"/>
    <w:pPr>
      <w:tabs>
        <w:tab w:val="center" w:pos="4153"/>
        <w:tab w:val="right" w:pos="8306"/>
      </w:tabs>
      <w:snapToGrid w:val="0"/>
      <w:jc w:val="left"/>
    </w:pPr>
    <w:rPr>
      <w:sz w:val="18"/>
      <w:szCs w:val="18"/>
    </w:rPr>
  </w:style>
  <w:style w:type="paragraph" w:styleId="10">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3">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4">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5">
    <w:name w:val="Body Text First Indent 2"/>
    <w:basedOn w:val="6"/>
    <w:next w:val="14"/>
    <w:qFormat/>
    <w:uiPriority w:val="0"/>
    <w:pPr>
      <w:spacing w:line="360" w:lineRule="auto"/>
      <w:ind w:firstLine="420" w:firstLineChars="200"/>
    </w:pPr>
    <w:rPr>
      <w:sz w:val="24"/>
    </w:rPr>
  </w:style>
  <w:style w:type="table" w:styleId="17">
    <w:name w:val="Table Grid"/>
    <w:basedOn w:val="1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9">
    <w:name w:val="Strong"/>
    <w:basedOn w:val="18"/>
    <w:qFormat/>
    <w:uiPriority w:val="22"/>
    <w:rPr>
      <w:b/>
      <w:bCs/>
    </w:rPr>
  </w:style>
  <w:style w:type="character" w:styleId="20">
    <w:name w:val="page number"/>
    <w:basedOn w:val="18"/>
    <w:qFormat/>
    <w:uiPriority w:val="0"/>
  </w:style>
  <w:style w:type="character" w:styleId="21">
    <w:name w:val="FollowedHyperlink"/>
    <w:basedOn w:val="18"/>
    <w:semiHidden/>
    <w:unhideWhenUsed/>
    <w:qFormat/>
    <w:uiPriority w:val="99"/>
    <w:rPr>
      <w:color w:val="5C5C5C"/>
      <w:u w:val="none"/>
    </w:rPr>
  </w:style>
  <w:style w:type="character" w:styleId="22">
    <w:name w:val="Emphasis"/>
    <w:basedOn w:val="18"/>
    <w:qFormat/>
    <w:uiPriority w:val="20"/>
    <w:rPr>
      <w:b/>
      <w:bCs/>
    </w:rPr>
  </w:style>
  <w:style w:type="character" w:styleId="23">
    <w:name w:val="HTML Definition"/>
    <w:basedOn w:val="18"/>
    <w:semiHidden/>
    <w:unhideWhenUsed/>
    <w:qFormat/>
    <w:uiPriority w:val="99"/>
  </w:style>
  <w:style w:type="character" w:styleId="24">
    <w:name w:val="HTML Typewriter"/>
    <w:basedOn w:val="18"/>
    <w:semiHidden/>
    <w:unhideWhenUsed/>
    <w:qFormat/>
    <w:uiPriority w:val="99"/>
    <w:rPr>
      <w:rFonts w:hint="default" w:ascii="monospace" w:hAnsi="monospace" w:eastAsia="monospace" w:cs="monospace"/>
      <w:sz w:val="20"/>
    </w:rPr>
  </w:style>
  <w:style w:type="character" w:styleId="25">
    <w:name w:val="HTML Acronym"/>
    <w:basedOn w:val="18"/>
    <w:semiHidden/>
    <w:unhideWhenUsed/>
    <w:qFormat/>
    <w:uiPriority w:val="99"/>
  </w:style>
  <w:style w:type="character" w:styleId="26">
    <w:name w:val="HTML Variable"/>
    <w:basedOn w:val="18"/>
    <w:semiHidden/>
    <w:unhideWhenUsed/>
    <w:qFormat/>
    <w:uiPriority w:val="99"/>
  </w:style>
  <w:style w:type="character" w:styleId="27">
    <w:name w:val="Hyperlink"/>
    <w:basedOn w:val="18"/>
    <w:semiHidden/>
    <w:unhideWhenUsed/>
    <w:qFormat/>
    <w:uiPriority w:val="99"/>
    <w:rPr>
      <w:color w:val="0000FF"/>
      <w:u w:val="single"/>
    </w:rPr>
  </w:style>
  <w:style w:type="character" w:styleId="28">
    <w:name w:val="HTML Code"/>
    <w:basedOn w:val="18"/>
    <w:semiHidden/>
    <w:unhideWhenUsed/>
    <w:qFormat/>
    <w:uiPriority w:val="99"/>
    <w:rPr>
      <w:rFonts w:hint="default" w:ascii="monospace" w:hAnsi="monospace" w:eastAsia="monospace" w:cs="monospace"/>
      <w:sz w:val="20"/>
    </w:rPr>
  </w:style>
  <w:style w:type="character" w:styleId="29">
    <w:name w:val="annotation reference"/>
    <w:basedOn w:val="18"/>
    <w:semiHidden/>
    <w:unhideWhenUsed/>
    <w:qFormat/>
    <w:uiPriority w:val="99"/>
    <w:rPr>
      <w:sz w:val="21"/>
      <w:szCs w:val="21"/>
    </w:rPr>
  </w:style>
  <w:style w:type="character" w:styleId="30">
    <w:name w:val="HTML Cite"/>
    <w:basedOn w:val="18"/>
    <w:semiHidden/>
    <w:unhideWhenUsed/>
    <w:qFormat/>
    <w:uiPriority w:val="99"/>
    <w:rPr>
      <w:vanish/>
      <w:color w:val="FFFFFF"/>
      <w:sz w:val="18"/>
      <w:szCs w:val="18"/>
      <w:shd w:val="clear" w:color="auto" w:fill="7CBCF3"/>
    </w:rPr>
  </w:style>
  <w:style w:type="character" w:styleId="31">
    <w:name w:val="HTML Keyboard"/>
    <w:basedOn w:val="18"/>
    <w:semiHidden/>
    <w:unhideWhenUsed/>
    <w:qFormat/>
    <w:uiPriority w:val="99"/>
    <w:rPr>
      <w:rFonts w:ascii="monospace" w:hAnsi="monospace" w:eastAsia="monospace" w:cs="monospace"/>
      <w:sz w:val="16"/>
      <w:szCs w:val="16"/>
    </w:rPr>
  </w:style>
  <w:style w:type="character" w:styleId="32">
    <w:name w:val="HTML Sample"/>
    <w:basedOn w:val="18"/>
    <w:semiHidden/>
    <w:unhideWhenUsed/>
    <w:qFormat/>
    <w:uiPriority w:val="99"/>
    <w:rPr>
      <w:rFonts w:hint="default" w:ascii="monospace" w:hAnsi="monospace" w:eastAsia="monospace" w:cs="monospace"/>
    </w:rPr>
  </w:style>
  <w:style w:type="paragraph" w:customStyle="1" w:styleId="33">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4">
    <w:name w:val="样式 小四 行距: 1.5 倍行距"/>
    <w:basedOn w:val="1"/>
    <w:qFormat/>
    <w:uiPriority w:val="0"/>
    <w:pPr>
      <w:ind w:firstLine="480" w:firstLineChars="200"/>
    </w:pPr>
    <w:rPr>
      <w:rFonts w:cs="宋体"/>
    </w:rPr>
  </w:style>
  <w:style w:type="paragraph" w:customStyle="1" w:styleId="35">
    <w:name w:val="p0"/>
    <w:basedOn w:val="1"/>
    <w:qFormat/>
    <w:uiPriority w:val="0"/>
    <w:pPr>
      <w:widowControl/>
      <w:snapToGrid w:val="0"/>
      <w:jc w:val="left"/>
    </w:pPr>
    <w:rPr>
      <w:rFonts w:ascii="宋体" w:hAnsi="宋体" w:eastAsia="宋体" w:cs="宋体"/>
      <w:kern w:val="0"/>
      <w:sz w:val="24"/>
      <w:szCs w:val="24"/>
    </w:rPr>
  </w:style>
  <w:style w:type="table" w:customStyle="1" w:styleId="36">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7">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8">
    <w:name w:val="页眉 Char"/>
    <w:basedOn w:val="18"/>
    <w:link w:val="10"/>
    <w:qFormat/>
    <w:uiPriority w:val="99"/>
    <w:rPr>
      <w:rFonts w:asciiTheme="minorHAnsi" w:hAnsiTheme="minorHAnsi" w:eastAsiaTheme="minorEastAsia" w:cstheme="minorBidi"/>
      <w:kern w:val="2"/>
      <w:sz w:val="18"/>
      <w:szCs w:val="18"/>
    </w:rPr>
  </w:style>
  <w:style w:type="character" w:customStyle="1" w:styleId="39">
    <w:name w:val="页脚 Char"/>
    <w:basedOn w:val="18"/>
    <w:link w:val="9"/>
    <w:qFormat/>
    <w:uiPriority w:val="99"/>
    <w:rPr>
      <w:rFonts w:asciiTheme="minorHAnsi" w:hAnsiTheme="minorHAnsi" w:eastAsiaTheme="minorEastAsia" w:cstheme="minorBidi"/>
      <w:kern w:val="2"/>
      <w:sz w:val="18"/>
      <w:szCs w:val="18"/>
    </w:rPr>
  </w:style>
  <w:style w:type="character" w:customStyle="1" w:styleId="40">
    <w:name w:val="批注框文本 Char"/>
    <w:basedOn w:val="18"/>
    <w:link w:val="8"/>
    <w:semiHidden/>
    <w:qFormat/>
    <w:uiPriority w:val="99"/>
    <w:rPr>
      <w:rFonts w:asciiTheme="minorHAnsi" w:hAnsiTheme="minorHAnsi" w:eastAsiaTheme="minorEastAsia" w:cstheme="minorBidi"/>
      <w:kern w:val="2"/>
      <w:sz w:val="18"/>
      <w:szCs w:val="18"/>
    </w:rPr>
  </w:style>
  <w:style w:type="character" w:customStyle="1" w:styleId="41">
    <w:name w:val="hover"/>
    <w:basedOn w:val="18"/>
    <w:qFormat/>
    <w:uiPriority w:val="0"/>
    <w:rPr>
      <w:shd w:val="clear" w:color="auto" w:fill="E9F4FD"/>
    </w:rPr>
  </w:style>
  <w:style w:type="character" w:customStyle="1" w:styleId="42">
    <w:name w:val="hover1"/>
    <w:basedOn w:val="18"/>
    <w:qFormat/>
    <w:uiPriority w:val="0"/>
    <w:rPr>
      <w:color w:val="2590EB"/>
    </w:rPr>
  </w:style>
  <w:style w:type="character" w:customStyle="1" w:styleId="43">
    <w:name w:val="hover2"/>
    <w:basedOn w:val="18"/>
    <w:qFormat/>
    <w:uiPriority w:val="0"/>
    <w:rPr>
      <w:color w:val="2590EB"/>
      <w:shd w:val="clear" w:color="auto" w:fill="E9F4FD"/>
    </w:rPr>
  </w:style>
  <w:style w:type="character" w:customStyle="1" w:styleId="44">
    <w:name w:val="hover3"/>
    <w:basedOn w:val="18"/>
    <w:qFormat/>
    <w:uiPriority w:val="0"/>
    <w:rPr>
      <w:color w:val="2590EB"/>
    </w:rPr>
  </w:style>
  <w:style w:type="character" w:customStyle="1" w:styleId="45">
    <w:name w:val="laydate-disabled"/>
    <w:basedOn w:val="18"/>
    <w:qFormat/>
    <w:uiPriority w:val="0"/>
    <w:rPr>
      <w:color w:val="2590EB"/>
    </w:rPr>
  </w:style>
  <w:style w:type="character" w:customStyle="1" w:styleId="46">
    <w:name w:val="status"/>
    <w:basedOn w:val="18"/>
    <w:qFormat/>
    <w:uiPriority w:val="0"/>
    <w:rPr>
      <w:color w:val="0776DD"/>
    </w:rPr>
  </w:style>
  <w:style w:type="character" w:customStyle="1" w:styleId="47">
    <w:name w:val="time"/>
    <w:basedOn w:val="18"/>
    <w:qFormat/>
    <w:uiPriority w:val="0"/>
  </w:style>
  <w:style w:type="paragraph" w:styleId="48">
    <w:name w:val="List Paragraph"/>
    <w:basedOn w:val="1"/>
    <w:qFormat/>
    <w:uiPriority w:val="34"/>
    <w:pPr>
      <w:ind w:firstLine="420" w:firstLineChars="200"/>
    </w:pPr>
    <w:rPr>
      <w:rFonts w:cs="Times New Roman"/>
    </w:rPr>
  </w:style>
  <w:style w:type="paragraph" w:customStyle="1" w:styleId="49">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0">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1">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2">
    <w:name w:val="font21"/>
    <w:basedOn w:val="18"/>
    <w:qFormat/>
    <w:uiPriority w:val="0"/>
    <w:rPr>
      <w:rFonts w:hint="eastAsia" w:ascii="宋体" w:hAnsi="宋体" w:eastAsia="宋体" w:cs="宋体"/>
      <w:color w:val="FF0000"/>
      <w:sz w:val="18"/>
      <w:szCs w:val="18"/>
      <w:u w:val="none"/>
    </w:rPr>
  </w:style>
  <w:style w:type="character" w:customStyle="1" w:styleId="53">
    <w:name w:val="font31"/>
    <w:basedOn w:val="18"/>
    <w:qFormat/>
    <w:uiPriority w:val="0"/>
    <w:rPr>
      <w:rFonts w:hint="default" w:ascii="Times New Roman" w:hAnsi="Times New Roman" w:cs="Times New Roman"/>
      <w:color w:val="FF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5140</Words>
  <Characters>5658</Characters>
  <Lines>16</Lines>
  <Paragraphs>4</Paragraphs>
  <TotalTime>14</TotalTime>
  <ScaleCrop>false</ScaleCrop>
  <LinksUpToDate>false</LinksUpToDate>
  <CharactersWithSpaces>6539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2026-09-01T08:03:17Z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2052-12.1.0.28043</vt:lpwstr>
  </property>
  <property fmtid="{D5CDD505-2E9C-101B-9397-08002B2CF9AE}" pid="4" name="ICV">
    <vt:lpwstr>E1F20E4938AC456DA1F6E846D8753774_13</vt:lpwstr>
  </property>
</Properties>
</file>