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2DB6A">
      <w:pPr>
        <w:autoSpaceDE w:val="0"/>
        <w:autoSpaceDN w:val="0"/>
        <w:adjustRightInd w:val="0"/>
        <w:spacing w:before="100" w:after="100"/>
        <w:jc w:val="center"/>
        <w:rPr>
          <w:rFonts w:ascii="宋体" w:hAnsi="宋体" w:cs="宋体"/>
          <w:b/>
          <w:bCs/>
          <w:sz w:val="30"/>
          <w:szCs w:val="30"/>
        </w:rPr>
      </w:pPr>
      <w:r>
        <w:rPr>
          <w:rFonts w:hint="eastAsia" w:ascii="宋体" w:hAnsi="宋体" w:cs="宋体"/>
          <w:b/>
          <w:bCs/>
          <w:sz w:val="30"/>
          <w:szCs w:val="30"/>
        </w:rPr>
        <w:t xml:space="preserve"> </w:t>
      </w:r>
    </w:p>
    <w:p w14:paraId="512BDAFE">
      <w:pPr>
        <w:autoSpaceDE w:val="0"/>
        <w:autoSpaceDN w:val="0"/>
        <w:adjustRightInd w:val="0"/>
        <w:spacing w:before="100" w:after="100"/>
        <w:rPr>
          <w:rFonts w:ascii="宋体" w:hAnsi="宋体" w:cs="宋体"/>
          <w:b/>
          <w:bCs/>
          <w:sz w:val="30"/>
          <w:szCs w:val="30"/>
        </w:rPr>
      </w:pPr>
    </w:p>
    <w:p w14:paraId="6213D976">
      <w:pPr>
        <w:autoSpaceDE w:val="0"/>
        <w:autoSpaceDN w:val="0"/>
        <w:adjustRightInd w:val="0"/>
        <w:spacing w:before="100" w:after="100"/>
        <w:jc w:val="center"/>
        <w:rPr>
          <w:rFonts w:ascii="宋体" w:hAnsi="宋体" w:cs="宋体"/>
          <w:b/>
          <w:bCs/>
          <w:sz w:val="32"/>
          <w:szCs w:val="32"/>
        </w:rPr>
      </w:pPr>
      <w:r>
        <w:rPr>
          <w:rFonts w:hint="eastAsia" w:ascii="宋体" w:hAnsi="宋体" w:cs="宋体"/>
          <w:b/>
          <w:bCs/>
          <w:sz w:val="32"/>
          <w:szCs w:val="32"/>
        </w:rPr>
        <w:t>四川宏达股份有限公司</w:t>
      </w:r>
    </w:p>
    <w:p w14:paraId="0093D7FC">
      <w:pPr>
        <w:widowControl/>
        <w:jc w:val="center"/>
        <w:rPr>
          <w:rFonts w:ascii="宋体" w:hAnsi="宋体" w:eastAsia="宋体" w:cs="宋体"/>
          <w:b/>
          <w:bCs/>
          <w:sz w:val="30"/>
          <w:szCs w:val="30"/>
        </w:rPr>
      </w:pPr>
      <w:r>
        <w:rPr>
          <w:rFonts w:hint="eastAsia" w:ascii="宋体" w:hAnsi="宋体" w:eastAsia="宋体" w:cs="宋体"/>
          <w:b/>
          <w:bCs/>
          <w:sz w:val="32"/>
          <w:szCs w:val="32"/>
        </w:rPr>
        <w:t>川润公司国家重点县检查隐患问题整改设计邀标采购</w:t>
      </w:r>
    </w:p>
    <w:p w14:paraId="4B4A13E6">
      <w:pPr>
        <w:pStyle w:val="5"/>
        <w:ind w:firstLine="602"/>
        <w:jc w:val="left"/>
        <w:rPr>
          <w:rFonts w:asciiTheme="minorEastAsia" w:hAnsiTheme="minorEastAsia"/>
          <w:b/>
          <w:kern w:val="0"/>
          <w:sz w:val="30"/>
          <w:szCs w:val="30"/>
        </w:rPr>
      </w:pPr>
    </w:p>
    <w:p w14:paraId="69EA8129">
      <w:pPr>
        <w:pStyle w:val="12"/>
        <w:rPr>
          <w:rFonts w:asciiTheme="minorEastAsia" w:hAnsiTheme="minorEastAsia"/>
          <w:b/>
          <w:kern w:val="0"/>
          <w:sz w:val="72"/>
          <w:szCs w:val="72"/>
        </w:rPr>
      </w:pPr>
    </w:p>
    <w:p w14:paraId="4C54D546"/>
    <w:p w14:paraId="6D86C30E"/>
    <w:p w14:paraId="38C20926"/>
    <w:p w14:paraId="1D0DA72B"/>
    <w:p w14:paraId="4A986D31">
      <w:pPr>
        <w:widowControl/>
        <w:jc w:val="center"/>
        <w:rPr>
          <w:rFonts w:asciiTheme="minorEastAsia" w:hAnsiTheme="minorEastAsia"/>
          <w:b/>
          <w:kern w:val="0"/>
          <w:sz w:val="72"/>
          <w:szCs w:val="72"/>
        </w:rPr>
      </w:pPr>
      <w:r>
        <w:rPr>
          <w:rFonts w:hint="eastAsia" w:asciiTheme="minorEastAsia" w:hAnsiTheme="minorEastAsia"/>
          <w:b/>
          <w:kern w:val="0"/>
          <w:sz w:val="72"/>
          <w:szCs w:val="72"/>
        </w:rPr>
        <w:t xml:space="preserve"> 比选文件</w:t>
      </w:r>
    </w:p>
    <w:p w14:paraId="39730B5E">
      <w:pPr>
        <w:pStyle w:val="5"/>
        <w:ind w:firstLine="643"/>
        <w:jc w:val="center"/>
        <w:rPr>
          <w:rFonts w:eastAsia="黑体" w:cs="黑体" w:asciiTheme="minorEastAsia" w:hAnsiTheme="minorEastAsia"/>
        </w:rPr>
      </w:pPr>
      <w:r>
        <w:rPr>
          <w:rFonts w:hint="eastAsia" w:ascii="黑体" w:hAnsi="黑体" w:eastAsia="黑体" w:cs="宋体"/>
          <w:b/>
          <w:kern w:val="0"/>
          <w:sz w:val="32"/>
          <w:szCs w:val="32"/>
        </w:rPr>
        <w:t>编号：</w:t>
      </w:r>
      <w:r>
        <w:rPr>
          <w:rFonts w:ascii="黑体" w:hAnsi="黑体" w:eastAsia="黑体" w:cs="宋体"/>
          <w:b/>
          <w:kern w:val="0"/>
          <w:sz w:val="32"/>
          <w:szCs w:val="32"/>
        </w:rPr>
        <w:t>CR-YQBX-2026-FW01</w:t>
      </w:r>
    </w:p>
    <w:p w14:paraId="7628825F">
      <w:pPr>
        <w:jc w:val="center"/>
        <w:rPr>
          <w:rFonts w:cs="黑体" w:asciiTheme="minorEastAsia" w:hAnsiTheme="minorEastAsia"/>
          <w:lang w:val="zh-CN"/>
        </w:rPr>
      </w:pPr>
    </w:p>
    <w:p w14:paraId="36F00592">
      <w:pPr>
        <w:jc w:val="center"/>
        <w:rPr>
          <w:rFonts w:cs="黑体" w:asciiTheme="minorEastAsia" w:hAnsiTheme="minorEastAsia"/>
          <w:lang w:val="zh-CN"/>
        </w:rPr>
      </w:pPr>
    </w:p>
    <w:p w14:paraId="3CEDA20A">
      <w:pPr>
        <w:jc w:val="center"/>
        <w:rPr>
          <w:rFonts w:cs="黑体" w:asciiTheme="minorEastAsia" w:hAnsiTheme="minorEastAsia"/>
          <w:lang w:val="zh-CN"/>
        </w:rPr>
      </w:pPr>
    </w:p>
    <w:p w14:paraId="1055B68C">
      <w:pPr>
        <w:jc w:val="center"/>
        <w:rPr>
          <w:rFonts w:cs="黑体" w:asciiTheme="minorEastAsia" w:hAnsiTheme="minorEastAsia"/>
          <w:lang w:val="zh-CN"/>
        </w:rPr>
      </w:pPr>
    </w:p>
    <w:p w14:paraId="0CAE3763">
      <w:pPr>
        <w:jc w:val="center"/>
        <w:rPr>
          <w:rFonts w:cs="黑体" w:asciiTheme="minorEastAsia" w:hAnsiTheme="minorEastAsia"/>
          <w:lang w:val="zh-CN"/>
        </w:rPr>
      </w:pPr>
    </w:p>
    <w:p w14:paraId="22283A8E">
      <w:pPr>
        <w:spacing w:line="600" w:lineRule="auto"/>
        <w:ind w:firstLine="2127" w:firstLineChars="709"/>
        <w:rPr>
          <w:rFonts w:asciiTheme="minorEastAsia" w:hAnsiTheme="minorEastAsia"/>
          <w:sz w:val="30"/>
          <w:szCs w:val="30"/>
        </w:rPr>
      </w:pPr>
    </w:p>
    <w:p w14:paraId="26BCBC4F">
      <w:pPr>
        <w:spacing w:line="600" w:lineRule="auto"/>
        <w:ind w:firstLine="2127" w:firstLineChars="709"/>
        <w:rPr>
          <w:rFonts w:asciiTheme="minorEastAsia" w:hAnsiTheme="minorEastAsia"/>
          <w:sz w:val="30"/>
          <w:szCs w:val="30"/>
        </w:rPr>
      </w:pPr>
    </w:p>
    <w:p w14:paraId="623FA7CD">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40DE81F1">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cs="黑体" w:asciiTheme="minorEastAsia" w:hAnsiTheme="minorEastAsia"/>
          <w:b/>
          <w:bCs/>
          <w:sz w:val="30"/>
          <w:szCs w:val="30"/>
        </w:rPr>
        <w:t>8</w:t>
      </w:r>
      <w:r>
        <w:rPr>
          <w:rFonts w:hint="eastAsia" w:cs="黑体" w:asciiTheme="minorEastAsia" w:hAnsiTheme="minorEastAsia"/>
          <w:b/>
          <w:bCs/>
          <w:sz w:val="30"/>
          <w:szCs w:val="30"/>
        </w:rPr>
        <w:t>月</w:t>
      </w:r>
      <w:r>
        <w:rPr>
          <w:rFonts w:cs="黑体" w:asciiTheme="minorEastAsia" w:hAnsiTheme="minorEastAsia"/>
          <w:b/>
          <w:bCs/>
          <w:sz w:val="30"/>
          <w:szCs w:val="30"/>
        </w:rPr>
        <w:t>25</w:t>
      </w:r>
      <w:r>
        <w:rPr>
          <w:rFonts w:hint="eastAsia" w:cs="黑体" w:asciiTheme="minorEastAsia" w:hAnsiTheme="minorEastAsia"/>
          <w:b/>
          <w:bCs/>
          <w:sz w:val="30"/>
          <w:szCs w:val="30"/>
        </w:rPr>
        <w:t>日</w:t>
      </w:r>
    </w:p>
    <w:p w14:paraId="458492B3">
      <w:pPr>
        <w:widowControl/>
        <w:jc w:val="center"/>
        <w:rPr>
          <w:rFonts w:ascii="宋体" w:hAnsi="宋体" w:eastAsia="宋体" w:cs="宋体"/>
          <w:b/>
          <w:bCs/>
          <w:sz w:val="30"/>
          <w:szCs w:val="30"/>
        </w:rPr>
      </w:pPr>
      <w:r>
        <w:rPr>
          <w:rFonts w:hint="eastAsia" w:ascii="宋体" w:hAnsi="宋体" w:eastAsia="宋体" w:cs="宋体"/>
          <w:b/>
          <w:bCs/>
          <w:sz w:val="32"/>
          <w:szCs w:val="32"/>
        </w:rPr>
        <w:t>川润公司国家重点县检查隐患问题整改设计邀标采购</w:t>
      </w:r>
    </w:p>
    <w:p w14:paraId="7A554791">
      <w:pPr>
        <w:jc w:val="center"/>
        <w:rPr>
          <w:rFonts w:ascii="黑体" w:hAnsi="黑体" w:eastAsia="黑体" w:cs="宋体"/>
          <w:b/>
          <w:kern w:val="0"/>
          <w:sz w:val="32"/>
          <w:szCs w:val="32"/>
        </w:rPr>
      </w:pPr>
      <w:r>
        <w:rPr>
          <w:rFonts w:hint="eastAsia" w:ascii="黑体" w:hAnsi="黑体" w:eastAsia="黑体" w:cs="宋体"/>
          <w:b/>
          <w:kern w:val="0"/>
          <w:sz w:val="32"/>
          <w:szCs w:val="32"/>
        </w:rPr>
        <w:t xml:space="preserve">                     </w:t>
      </w:r>
      <w:r>
        <w:rPr>
          <w:rFonts w:ascii="黑体" w:hAnsi="黑体" w:eastAsia="黑体" w:cs="宋体"/>
          <w:b/>
          <w:kern w:val="0"/>
          <w:sz w:val="32"/>
          <w:szCs w:val="32"/>
        </w:rPr>
        <w:t xml:space="preserve">     </w:t>
      </w:r>
    </w:p>
    <w:p w14:paraId="5E4AB89E">
      <w:pPr>
        <w:jc w:val="center"/>
        <w:rPr>
          <w:rFonts w:ascii="黑体" w:hAnsi="黑体" w:eastAsia="黑体" w:cs="宋体"/>
          <w:kern w:val="0"/>
          <w:sz w:val="32"/>
          <w:szCs w:val="32"/>
        </w:rPr>
      </w:pPr>
      <w:r>
        <w:rPr>
          <w:rFonts w:ascii="黑体" w:hAnsi="黑体" w:eastAsia="黑体" w:cs="宋体"/>
          <w:b/>
          <w:kern w:val="0"/>
          <w:sz w:val="32"/>
          <w:szCs w:val="32"/>
        </w:rPr>
        <w:t xml:space="preserve">                                   </w:t>
      </w:r>
      <w:r>
        <w:rPr>
          <w:rFonts w:hint="eastAsia" w:ascii="黑体" w:hAnsi="黑体" w:eastAsia="黑体" w:cs="宋体"/>
          <w:kern w:val="0"/>
          <w:sz w:val="32"/>
          <w:szCs w:val="32"/>
        </w:rPr>
        <w:t>编号：</w:t>
      </w:r>
      <w:r>
        <w:rPr>
          <w:rFonts w:ascii="黑体" w:hAnsi="黑体" w:eastAsia="黑体" w:cs="宋体"/>
          <w:kern w:val="0"/>
          <w:sz w:val="32"/>
          <w:szCs w:val="32"/>
        </w:rPr>
        <w:t>CR-YQBX-2026-FW01</w:t>
      </w:r>
    </w:p>
    <w:p w14:paraId="045BDAF1">
      <w:pPr>
        <w:spacing w:line="480" w:lineRule="auto"/>
        <w:rPr>
          <w:rFonts w:ascii="宋体" w:hAnsi="宋体" w:eastAsia="宋体" w:cs="Times New Roman"/>
          <w:b/>
          <w:sz w:val="24"/>
          <w:szCs w:val="24"/>
        </w:rPr>
      </w:pPr>
      <w:r>
        <w:rPr>
          <w:rFonts w:hint="eastAsia" w:ascii="宋体" w:hAnsi="宋体" w:eastAsia="宋体" w:cs="Times New Roman"/>
          <w:b/>
          <w:sz w:val="24"/>
          <w:szCs w:val="24"/>
        </w:rPr>
        <w:t>各投标单位：</w:t>
      </w:r>
    </w:p>
    <w:p w14:paraId="69E04206">
      <w:pPr>
        <w:spacing w:line="480" w:lineRule="auto"/>
        <w:ind w:firstLine="480" w:firstLineChars="200"/>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kern w:val="0"/>
          <w:sz w:val="24"/>
          <w:szCs w:val="24"/>
        </w:rPr>
        <w:t>四川宏达股份有限公司川润公司国家重点县检查隐患问题整改设计邀标采购，本着“公开、公</w:t>
      </w:r>
      <w:r>
        <w:rPr>
          <w:rFonts w:hint="eastAsia" w:ascii="宋体" w:hAnsi="宋体" w:eastAsia="宋体" w:cs="Segoe UI"/>
          <w:color w:val="000000" w:themeColor="text1"/>
          <w:kern w:val="0"/>
          <w:sz w:val="24"/>
          <w:szCs w:val="24"/>
          <w14:textFill>
            <w14:solidFill>
              <w14:schemeClr w14:val="tx1"/>
            </w14:solidFill>
          </w14:textFill>
        </w:rPr>
        <w:t>平、公正”的原则，欢迎贵公司前来报价，现将相关事项公告如下：</w:t>
      </w:r>
    </w:p>
    <w:p w14:paraId="1AC351A5">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一、标的物：川润公司国家重点县检查隐患问题整改设计邀标采购  壹项</w:t>
      </w:r>
    </w:p>
    <w:p w14:paraId="002510F2">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 xml:space="preserve">二、比选人：四川宏达股份有限公司  </w:t>
      </w:r>
    </w:p>
    <w:p w14:paraId="19E62831">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三、具体要求：</w:t>
      </w:r>
    </w:p>
    <w:p w14:paraId="75CB2228">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w:t>
      </w:r>
      <w:r>
        <w:rPr>
          <w:rFonts w:ascii="宋体" w:hAnsi="宋体" w:eastAsia="宋体" w:cs="宋体"/>
          <w:color w:val="000000" w:themeColor="text1"/>
          <w:kern w:val="0"/>
          <w:sz w:val="24"/>
          <w:szCs w:val="24"/>
          <w14:textFill>
            <w14:solidFill>
              <w14:schemeClr w14:val="tx1"/>
            </w14:solidFill>
          </w14:textFill>
        </w:rPr>
        <w:t>.1</w:t>
      </w:r>
      <w:r>
        <w:rPr>
          <w:rFonts w:hint="eastAsia" w:ascii="宋体" w:hAnsi="宋体" w:eastAsia="宋体" w:cs="宋体"/>
          <w:color w:val="000000" w:themeColor="text1"/>
          <w:kern w:val="0"/>
          <w:sz w:val="24"/>
          <w:szCs w:val="24"/>
          <w14:textFill>
            <w14:solidFill>
              <w14:schemeClr w14:val="tx1"/>
            </w14:solidFill>
          </w14:textFill>
        </w:rPr>
        <w:t>、</w:t>
      </w:r>
      <w:r>
        <w:rPr>
          <w:rFonts w:hint="eastAsia" w:ascii="宋体" w:hAnsi="宋体" w:eastAsia="宋体" w:cs="Segoe UI"/>
          <w:color w:val="000000" w:themeColor="text1"/>
          <w:kern w:val="0"/>
          <w:sz w:val="24"/>
          <w:szCs w:val="24"/>
          <w14:textFill>
            <w14:solidFill>
              <w14:schemeClr w14:val="tx1"/>
            </w14:solidFill>
          </w14:textFill>
        </w:rPr>
        <w:t>具有相应资质单位，</w:t>
      </w:r>
      <w:r>
        <w:rPr>
          <w:rFonts w:hint="eastAsia" w:ascii="宋体" w:hAnsi="宋体" w:eastAsia="宋体" w:cs="Segoe UI"/>
          <w:b/>
          <w:color w:val="000000" w:themeColor="text1"/>
          <w:kern w:val="0"/>
          <w:sz w:val="24"/>
          <w:szCs w:val="24"/>
          <w14:textFill>
            <w14:solidFill>
              <w14:schemeClr w14:val="tx1"/>
            </w14:solidFill>
          </w14:textFill>
        </w:rPr>
        <w:t>川润公司国家重点县检查隐患问题整改设计邀标采购</w:t>
      </w:r>
      <w:r>
        <w:rPr>
          <w:rFonts w:hint="eastAsia" w:ascii="宋体" w:hAnsi="宋体" w:eastAsia="宋体" w:cs="Segoe UI"/>
          <w:color w:val="000000" w:themeColor="text1"/>
          <w:kern w:val="0"/>
          <w:sz w:val="24"/>
          <w:szCs w:val="24"/>
          <w14:textFill>
            <w14:solidFill>
              <w14:schemeClr w14:val="tx1"/>
            </w14:solidFill>
          </w14:textFill>
        </w:rPr>
        <w:t>费用包括采样分析化验费、报告编写费、现场勘测费、交通费、差旅费、资料费、税等为完成服务需要发生的全部费用。</w:t>
      </w:r>
    </w:p>
    <w:p w14:paraId="0BB9E3FD">
      <w:pPr>
        <w:spacing w:line="480" w:lineRule="auto"/>
        <w:rPr>
          <w:rFonts w:ascii="宋体" w:hAnsi="宋体" w:eastAsia="宋体" w:cs="Segoe UI"/>
          <w:color w:val="000000" w:themeColor="text1"/>
          <w:kern w:val="0"/>
          <w:sz w:val="24"/>
          <w:szCs w:val="24"/>
          <w14:textFill>
            <w14:solidFill>
              <w14:schemeClr w14:val="tx1"/>
            </w14:solidFill>
          </w14:textFill>
        </w:rPr>
      </w:pPr>
      <w:r>
        <w:rPr>
          <w:rFonts w:ascii="宋体" w:hAnsi="宋体" w:eastAsia="宋体" w:cs="Segoe UI"/>
          <w:color w:val="000000" w:themeColor="text1"/>
          <w:kern w:val="0"/>
          <w:sz w:val="24"/>
          <w:szCs w:val="24"/>
          <w14:textFill>
            <w14:solidFill>
              <w14:schemeClr w14:val="tx1"/>
            </w14:solidFill>
          </w14:textFill>
        </w:rPr>
        <w:t>1.2</w:t>
      </w:r>
      <w:r>
        <w:rPr>
          <w:rFonts w:hint="eastAsia" w:ascii="宋体" w:hAnsi="宋体" w:eastAsia="宋体" w:cs="Segoe UI"/>
          <w:color w:val="000000" w:themeColor="text1"/>
          <w:kern w:val="0"/>
          <w:sz w:val="24"/>
          <w:szCs w:val="24"/>
          <w14:textFill>
            <w14:solidFill>
              <w14:schemeClr w14:val="tx1"/>
            </w14:solidFill>
          </w14:textFill>
        </w:rPr>
        <w:t>检测标准、检测数量、技术要求，详见附件一（国家重点县检查隐患问题整改设计清单）、附件二</w:t>
      </w:r>
      <w:r>
        <w:rPr>
          <w:rFonts w:ascii="宋体" w:hAnsi="宋体" w:eastAsia="宋体" w:cs="Segoe UI"/>
          <w:color w:val="000000" w:themeColor="text1"/>
          <w:kern w:val="0"/>
          <w:sz w:val="24"/>
          <w:szCs w:val="24"/>
          <w14:textFill>
            <w14:solidFill>
              <w14:schemeClr w14:val="tx1"/>
            </w14:solidFill>
          </w14:textFill>
        </w:rPr>
        <w:t>(</w:t>
      </w:r>
      <w:r>
        <w:rPr>
          <w:rFonts w:hint="eastAsia" w:ascii="宋体" w:hAnsi="宋体" w:eastAsia="宋体" w:cs="Segoe UI"/>
          <w:color w:val="000000" w:themeColor="text1"/>
          <w:kern w:val="0"/>
          <w:sz w:val="24"/>
          <w:szCs w:val="24"/>
          <w14:textFill>
            <w14:solidFill>
              <w14:schemeClr w14:val="tx1"/>
            </w14:solidFill>
          </w14:textFill>
        </w:rPr>
        <w:t>五项整改设计所需资料)</w:t>
      </w:r>
    </w:p>
    <w:p w14:paraId="3F92019D">
      <w:pPr>
        <w:spacing w:line="480" w:lineRule="auto"/>
        <w:rPr>
          <w:rFonts w:ascii="宋体" w:hAnsi="宋体" w:eastAsia="宋体" w:cs="Segoe UI"/>
          <w:color w:val="000000" w:themeColor="text1"/>
          <w:kern w:val="0"/>
          <w:sz w:val="24"/>
          <w:szCs w:val="24"/>
          <w14:textFill>
            <w14:solidFill>
              <w14:schemeClr w14:val="tx1"/>
            </w14:solidFill>
          </w14:textFill>
        </w:rPr>
      </w:pPr>
      <w:r>
        <w:rPr>
          <w:rFonts w:hint="eastAsia" w:ascii="宋体" w:hAnsi="宋体" w:eastAsia="宋体" w:cs="Segoe UI"/>
          <w:color w:val="000000" w:themeColor="text1"/>
          <w:kern w:val="0"/>
          <w:sz w:val="24"/>
          <w:szCs w:val="24"/>
          <w14:textFill>
            <w14:solidFill>
              <w14:schemeClr w14:val="tx1"/>
            </w14:solidFill>
          </w14:textFill>
        </w:rPr>
        <w:t>2.比选人资格要求：库内合格供应商邀标比选</w:t>
      </w:r>
    </w:p>
    <w:p w14:paraId="3D7FB022">
      <w:pPr>
        <w:spacing w:line="480" w:lineRule="auto"/>
        <w:rPr>
          <w:rFonts w:ascii="宋体" w:hAnsi="宋体" w:eastAsia="宋体" w:cs="Segoe UI"/>
          <w:color w:val="000000" w:themeColor="text1"/>
          <w:kern w:val="0"/>
          <w:sz w:val="24"/>
          <w:szCs w:val="24"/>
          <w14:textFill>
            <w14:solidFill>
              <w14:schemeClr w14:val="tx1"/>
            </w14:solidFill>
          </w14:textFill>
        </w:rPr>
      </w:pPr>
      <w:bookmarkStart w:id="0" w:name="_bookmark3"/>
      <w:bookmarkEnd w:id="0"/>
      <w:r>
        <w:rPr>
          <w:rFonts w:hint="eastAsia" w:ascii="宋体" w:hAnsi="宋体" w:eastAsia="宋体" w:cs="Segoe UI"/>
          <w:color w:val="000000" w:themeColor="text1"/>
          <w:kern w:val="0"/>
          <w:sz w:val="24"/>
          <w:szCs w:val="24"/>
          <w14:textFill>
            <w14:solidFill>
              <w14:schemeClr w14:val="tx1"/>
            </w14:solidFill>
          </w14:textFill>
        </w:rPr>
        <w:t>3.服务地点：四川宏达股份有限公司川润公司（四川省绵竹市孝德镇茶店子村九组）</w:t>
      </w:r>
    </w:p>
    <w:p w14:paraId="0B3ABD86">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4.完成时间：按框架合同约定</w:t>
      </w:r>
      <w:r>
        <w:rPr>
          <w:rFonts w:hint="eastAsia" w:ascii="宋体" w:hAnsi="宋体" w:eastAsia="宋体" w:cs="宋体"/>
          <w:color w:val="000000" w:themeColor="text1"/>
          <w:kern w:val="1"/>
          <w:sz w:val="24"/>
          <w:szCs w:val="24"/>
          <w14:textFill>
            <w14:solidFill>
              <w14:schemeClr w14:val="tx1"/>
            </w14:solidFill>
          </w14:textFill>
        </w:rPr>
        <w:t>。</w:t>
      </w:r>
    </w:p>
    <w:p w14:paraId="6A8F128B">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5.付款方式及发票： </w:t>
      </w:r>
    </w:p>
    <w:p w14:paraId="76C2F26F">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①</w:t>
      </w:r>
      <w:r>
        <w:rPr>
          <w:rFonts w:hint="eastAsia" w:ascii="宋体" w:hAnsi="宋体" w:eastAsia="宋体" w:cs="Segoe UI"/>
          <w:color w:val="000000" w:themeColor="text1"/>
          <w:kern w:val="0"/>
          <w:sz w:val="24"/>
          <w:szCs w:val="24"/>
          <w14:textFill>
            <w14:solidFill>
              <w14:schemeClr w14:val="tx1"/>
            </w14:solidFill>
          </w14:textFill>
        </w:rPr>
        <w:t>付款方式：</w:t>
      </w:r>
      <w:r>
        <w:rPr>
          <w:rFonts w:hint="eastAsia" w:ascii="宋体" w:hAnsi="宋体" w:eastAsia="宋体" w:cs="黑体"/>
          <w:color w:val="000000" w:themeColor="text1"/>
          <w:kern w:val="0"/>
          <w:sz w:val="24"/>
          <w:szCs w:val="24"/>
          <w14:textFill>
            <w14:solidFill>
              <w14:schemeClr w14:val="tx1"/>
            </w14:solidFill>
          </w14:textFill>
        </w:rPr>
        <w:t>以现汇或银行电子承兑汇票支付，</w:t>
      </w:r>
      <w:r>
        <w:rPr>
          <w:rFonts w:hint="eastAsia" w:ascii="宋体" w:hAnsi="宋体" w:eastAsia="宋体" w:cs="宋体"/>
          <w:color w:val="000000" w:themeColor="text1"/>
          <w:kern w:val="0"/>
          <w:sz w:val="24"/>
          <w:szCs w:val="24"/>
          <w14:textFill>
            <w14:solidFill>
              <w14:schemeClr w14:val="tx1"/>
            </w14:solidFill>
          </w14:textFill>
        </w:rPr>
        <w:t>出具合格</w:t>
      </w:r>
      <w:r>
        <w:rPr>
          <w:rFonts w:hint="eastAsia" w:ascii="宋体" w:hAnsi="宋体" w:eastAsia="宋体" w:cs="Segoe UI"/>
          <w:color w:val="000000" w:themeColor="text1"/>
          <w:kern w:val="0"/>
          <w:sz w:val="24"/>
          <w:szCs w:val="24"/>
          <w14:textFill>
            <w14:solidFill>
              <w14:schemeClr w14:val="tx1"/>
            </w14:solidFill>
          </w14:textFill>
        </w:rPr>
        <w:t>设计</w:t>
      </w:r>
      <w:r>
        <w:rPr>
          <w:rFonts w:hint="eastAsia" w:ascii="宋体" w:hAnsi="宋体" w:eastAsia="宋体" w:cs="宋体"/>
          <w:color w:val="000000" w:themeColor="text1"/>
          <w:kern w:val="0"/>
          <w:sz w:val="24"/>
          <w:szCs w:val="24"/>
          <w14:textFill>
            <w14:solidFill>
              <w14:schemeClr w14:val="tx1"/>
            </w14:solidFill>
          </w14:textFill>
        </w:rPr>
        <w:t>后全额付款。</w:t>
      </w:r>
    </w:p>
    <w:p w14:paraId="163020D5">
      <w:pPr>
        <w:spacing w:line="480" w:lineRule="auto"/>
        <w:rPr>
          <w:rFonts w:ascii="宋体" w:hAnsi="宋体" w:eastAsia="宋体" w:cs="黑体"/>
          <w:color w:val="000000" w:themeColor="text1"/>
          <w:kern w:val="0"/>
          <w:sz w:val="24"/>
          <w:szCs w:val="24"/>
          <w14:textFill>
            <w14:solidFill>
              <w14:schemeClr w14:val="tx1"/>
            </w14:solidFill>
          </w14:textFill>
        </w:rPr>
      </w:pPr>
      <w:r>
        <w:rPr>
          <w:rFonts w:hint="eastAsia" w:ascii="宋体" w:hAnsi="宋体" w:eastAsia="宋体" w:cs="黑体"/>
          <w:color w:val="000000" w:themeColor="text1"/>
          <w:kern w:val="0"/>
          <w:sz w:val="24"/>
          <w:szCs w:val="24"/>
          <w14:textFill>
            <w14:solidFill>
              <w14:schemeClr w14:val="tx1"/>
            </w14:solidFill>
          </w14:textFill>
        </w:rPr>
        <w:t>②</w:t>
      </w:r>
      <w:r>
        <w:rPr>
          <w:rFonts w:hint="eastAsia" w:ascii="宋体" w:hAnsi="宋体" w:eastAsia="宋体" w:cs="宋体"/>
          <w:color w:val="000000" w:themeColor="text1"/>
          <w:kern w:val="0"/>
          <w:sz w:val="24"/>
          <w:szCs w:val="24"/>
          <w14:textFill>
            <w14:solidFill>
              <w14:schemeClr w14:val="tx1"/>
            </w14:solidFill>
          </w14:textFill>
        </w:rPr>
        <w:t>一票制，</w:t>
      </w:r>
      <w:r>
        <w:rPr>
          <w:rFonts w:hint="eastAsia" w:ascii="宋体" w:hAnsi="宋体" w:eastAsia="宋体" w:cs="黑体"/>
          <w:color w:val="000000" w:themeColor="text1"/>
          <w:kern w:val="0"/>
          <w:sz w:val="24"/>
          <w:szCs w:val="24"/>
          <w14:textFill>
            <w14:solidFill>
              <w14:schemeClr w14:val="tx1"/>
            </w14:solidFill>
          </w14:textFill>
        </w:rPr>
        <w:t>开具全额增值税专用发票(税率 %)。</w:t>
      </w:r>
    </w:p>
    <w:p w14:paraId="06BFB64A">
      <w:pPr>
        <w:spacing w:line="480" w:lineRule="auto"/>
        <w:outlineLvl w:val="0"/>
        <w:rPr>
          <w:rFonts w:ascii="宋体" w:hAnsi="宋体" w:eastAsia="宋体" w:cs="黑体"/>
          <w:color w:val="000000" w:themeColor="text1"/>
          <w:sz w:val="24"/>
          <w:szCs w:val="24"/>
          <w14:textFill>
            <w14:solidFill>
              <w14:schemeClr w14:val="tx1"/>
            </w14:solidFill>
          </w14:textFill>
        </w:rPr>
      </w:pPr>
      <w:r>
        <w:rPr>
          <w:rFonts w:hint="eastAsia" w:ascii="宋体" w:hAnsi="宋体" w:eastAsia="宋体" w:cs="黑体"/>
          <w:color w:val="000000" w:themeColor="text1"/>
          <w:sz w:val="24"/>
          <w:szCs w:val="24"/>
          <w14:textFill>
            <w14:solidFill>
              <w14:schemeClr w14:val="tx1"/>
            </w14:solidFill>
          </w14:textFill>
        </w:rPr>
        <w:t>6.比选文件的获取</w:t>
      </w:r>
    </w:p>
    <w:p w14:paraId="184D71F7">
      <w:pPr>
        <w:spacing w:line="480" w:lineRule="auto"/>
        <w:outlineLvl w:val="0"/>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获取方式为： 2026年</w:t>
      </w:r>
      <w:r>
        <w:rPr>
          <w:rFonts w:ascii="宋体" w:hAnsi="宋体" w:eastAsia="宋体" w:cs="宋体"/>
          <w:color w:val="000000" w:themeColor="text1"/>
          <w:sz w:val="24"/>
          <w:szCs w:val="24"/>
          <w14:textFill>
            <w14:solidFill>
              <w14:schemeClr w14:val="tx1"/>
            </w14:solidFill>
          </w14:textFill>
        </w:rPr>
        <w:t>8</w:t>
      </w:r>
      <w:r>
        <w:rPr>
          <w:rFonts w:hint="eastAsia" w:ascii="宋体" w:hAnsi="宋体" w:eastAsia="宋体" w:cs="宋体"/>
          <w:color w:val="000000" w:themeColor="text1"/>
          <w:sz w:val="24"/>
          <w:szCs w:val="24"/>
          <w14:textFill>
            <w14:solidFill>
              <w14:schemeClr w14:val="tx1"/>
            </w14:solidFill>
          </w14:textFill>
        </w:rPr>
        <w:t>月</w:t>
      </w:r>
      <w:r>
        <w:rPr>
          <w:rFonts w:ascii="宋体" w:hAnsi="宋体" w:eastAsia="宋体" w:cs="宋体"/>
          <w:color w:val="000000" w:themeColor="text1"/>
          <w:sz w:val="24"/>
          <w:szCs w:val="24"/>
          <w14:textFill>
            <w14:solidFill>
              <w14:schemeClr w14:val="tx1"/>
            </w14:solidFill>
          </w14:textFill>
        </w:rPr>
        <w:t>27</w:t>
      </w:r>
      <w:r>
        <w:rPr>
          <w:rFonts w:hint="eastAsia" w:ascii="宋体" w:hAnsi="宋体" w:eastAsia="宋体" w:cs="宋体"/>
          <w:color w:val="000000" w:themeColor="text1"/>
          <w:sz w:val="24"/>
          <w:szCs w:val="24"/>
          <w14:textFill>
            <w14:solidFill>
              <w14:schemeClr w14:val="tx1"/>
            </w14:solidFill>
          </w14:textFill>
        </w:rPr>
        <w:t xml:space="preserve">日 </w:t>
      </w:r>
      <w:r>
        <w:rPr>
          <w:rFonts w:ascii="宋体" w:hAnsi="宋体" w:eastAsia="宋体" w:cs="宋体"/>
          <w:color w:val="000000" w:themeColor="text1"/>
          <w:sz w:val="24"/>
          <w:szCs w:val="24"/>
          <w14:textFill>
            <w14:solidFill>
              <w14:schemeClr w14:val="tx1"/>
            </w14:solidFill>
          </w14:textFill>
        </w:rPr>
        <w:t>00</w:t>
      </w:r>
      <w:r>
        <w:rPr>
          <w:rFonts w:hint="eastAsia" w:ascii="宋体" w:hAnsi="宋体" w:eastAsia="宋体" w:cs="宋体"/>
          <w:color w:val="000000" w:themeColor="text1"/>
          <w:sz w:val="24"/>
          <w:szCs w:val="24"/>
          <w14:textFill>
            <w14:solidFill>
              <w14:schemeClr w14:val="tx1"/>
            </w14:solidFill>
          </w14:textFill>
        </w:rPr>
        <w:t xml:space="preserve"> 时 </w:t>
      </w:r>
      <w:r>
        <w:rPr>
          <w:rFonts w:ascii="宋体" w:hAnsi="宋体" w:eastAsia="宋体" w:cs="宋体"/>
          <w:color w:val="000000" w:themeColor="text1"/>
          <w:sz w:val="24"/>
          <w:szCs w:val="24"/>
          <w14:textFill>
            <w14:solidFill>
              <w14:schemeClr w14:val="tx1"/>
            </w14:solidFill>
          </w14:textFill>
        </w:rPr>
        <w:t>00</w:t>
      </w:r>
      <w:r>
        <w:rPr>
          <w:rFonts w:hint="eastAsia" w:ascii="宋体" w:hAnsi="宋体" w:eastAsia="宋体" w:cs="宋体"/>
          <w:color w:val="000000" w:themeColor="text1"/>
          <w:sz w:val="24"/>
          <w:szCs w:val="24"/>
          <w14:textFill>
            <w14:solidFill>
              <w14:schemeClr w14:val="tx1"/>
            </w14:solidFill>
          </w14:textFill>
        </w:rPr>
        <w:t xml:space="preserve">分通过四川宏达股份有限公司集采中心招投标平台(以下简称“ 宏达股份集采平台”）（http://jc.sichuanhongda.com/）进行注册并登录后参与投标并下载比选文件。 </w:t>
      </w:r>
    </w:p>
    <w:p w14:paraId="1FFF1DDB">
      <w:pPr>
        <w:tabs>
          <w:tab w:val="left" w:pos="312"/>
        </w:tabs>
        <w:spacing w:line="480" w:lineRule="auto"/>
        <w:rPr>
          <w:rFonts w:ascii="宋体" w:hAnsi="宋体" w:eastAsia="宋体" w:cs="仿宋_GB2312"/>
          <w:color w:val="000000" w:themeColor="text1"/>
          <w:sz w:val="24"/>
          <w:szCs w:val="24"/>
          <w14:textFill>
            <w14:solidFill>
              <w14:schemeClr w14:val="tx1"/>
            </w14:solidFill>
          </w14:textFill>
        </w:rPr>
      </w:pPr>
      <w:r>
        <w:rPr>
          <w:rFonts w:hint="eastAsia" w:ascii="宋体" w:hAnsi="宋体" w:eastAsia="宋体" w:cs="仿宋_GB2312"/>
          <w:color w:val="000000" w:themeColor="text1"/>
          <w:sz w:val="24"/>
          <w:szCs w:val="24"/>
          <w14:textFill>
            <w14:solidFill>
              <w14:schemeClr w14:val="tx1"/>
            </w14:solidFill>
          </w14:textFill>
        </w:rPr>
        <w:t>8.响应性文件的递交</w:t>
      </w:r>
    </w:p>
    <w:p w14:paraId="7995D338">
      <w:pPr>
        <w:spacing w:line="480" w:lineRule="auto"/>
        <w:rPr>
          <w:rFonts w:ascii="宋体" w:hAnsi="宋体" w:eastAsia="宋体" w:cs="仿宋_GB2312"/>
          <w:color w:val="000000" w:themeColor="text1"/>
          <w:sz w:val="24"/>
          <w:szCs w:val="24"/>
          <w14:textFill>
            <w14:solidFill>
              <w14:schemeClr w14:val="tx1"/>
            </w14:solidFill>
          </w14:textFill>
        </w:rPr>
      </w:pPr>
      <w:r>
        <w:rPr>
          <w:rFonts w:hint="eastAsia" w:ascii="宋体" w:hAnsi="宋体" w:eastAsia="宋体" w:cs="仿宋_GB2312"/>
          <w:color w:val="000000" w:themeColor="text1"/>
          <w:sz w:val="24"/>
          <w:szCs w:val="24"/>
          <w14:textFill>
            <w14:solidFill>
              <w14:schemeClr w14:val="tx1"/>
            </w14:solidFill>
          </w14:textFill>
        </w:rPr>
        <w:t>递交截止时间：</w:t>
      </w:r>
      <w:r>
        <w:rPr>
          <w:rFonts w:hint="eastAsia" w:ascii="宋体" w:hAnsi="宋体" w:eastAsia="宋体" w:cs="宋体"/>
          <w:color w:val="000000" w:themeColor="text1"/>
          <w:sz w:val="24"/>
          <w:szCs w:val="24"/>
          <w14:textFill>
            <w14:solidFill>
              <w14:schemeClr w14:val="tx1"/>
            </w14:solidFill>
          </w14:textFill>
        </w:rPr>
        <w:t>2026年</w:t>
      </w:r>
      <w:r>
        <w:rPr>
          <w:rFonts w:ascii="宋体" w:hAnsi="宋体" w:eastAsia="宋体" w:cs="宋体"/>
          <w:color w:val="000000" w:themeColor="text1"/>
          <w:sz w:val="24"/>
          <w:szCs w:val="24"/>
          <w14:textFill>
            <w14:solidFill>
              <w14:schemeClr w14:val="tx1"/>
            </w14:solidFill>
          </w14:textFill>
        </w:rPr>
        <w:t>9</w:t>
      </w:r>
      <w:r>
        <w:rPr>
          <w:rFonts w:hint="eastAsia" w:ascii="宋体" w:hAnsi="宋体" w:eastAsia="宋体" w:cs="宋体"/>
          <w:color w:val="000000" w:themeColor="text1"/>
          <w:sz w:val="24"/>
          <w:szCs w:val="24"/>
          <w14:textFill>
            <w14:solidFill>
              <w14:schemeClr w14:val="tx1"/>
            </w14:solidFill>
          </w14:textFill>
        </w:rPr>
        <w:t>月</w:t>
      </w:r>
      <w:r>
        <w:rPr>
          <w:rFonts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 xml:space="preserve">日 </w:t>
      </w:r>
      <w:r>
        <w:rPr>
          <w:rFonts w:ascii="宋体" w:hAnsi="宋体" w:eastAsia="宋体" w:cs="宋体"/>
          <w:color w:val="000000" w:themeColor="text1"/>
          <w:sz w:val="24"/>
          <w:szCs w:val="24"/>
          <w14:textFill>
            <w14:solidFill>
              <w14:schemeClr w14:val="tx1"/>
            </w14:solidFill>
          </w14:textFill>
        </w:rPr>
        <w:t>10</w:t>
      </w:r>
      <w:r>
        <w:rPr>
          <w:rFonts w:hint="eastAsia" w:ascii="宋体" w:hAnsi="宋体" w:eastAsia="宋体" w:cs="宋体"/>
          <w:color w:val="000000" w:themeColor="text1"/>
          <w:sz w:val="24"/>
          <w:szCs w:val="24"/>
          <w14:textFill>
            <w14:solidFill>
              <w14:schemeClr w14:val="tx1"/>
            </w14:solidFill>
          </w14:textFill>
        </w:rPr>
        <w:t>时</w:t>
      </w:r>
      <w:r>
        <w:rPr>
          <w:rFonts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14:textFill>
            <w14:solidFill>
              <w14:schemeClr w14:val="tx1"/>
            </w14:solidFill>
          </w14:textFill>
        </w:rPr>
        <w:t>0 分。</w:t>
      </w:r>
    </w:p>
    <w:p w14:paraId="78CB7961">
      <w:pPr>
        <w:spacing w:line="480" w:lineRule="auto"/>
        <w:rPr>
          <w:rFonts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邀标比选申请人按报价单响应性文件格式制作报价文件，</w:t>
      </w:r>
      <w:r>
        <w:rPr>
          <w:rFonts w:hint="eastAsia" w:ascii="宋体" w:hAnsi="宋体" w:eastAsia="宋体" w:cs="宋体"/>
          <w:color w:val="000000" w:themeColor="text1"/>
          <w:sz w:val="24"/>
          <w:szCs w:val="24"/>
          <w14:textFill>
            <w14:solidFill>
              <w14:schemeClr w14:val="tx1"/>
            </w14:solidFill>
          </w14:textFill>
        </w:rPr>
        <w:t>注明</w:t>
      </w:r>
      <w:r>
        <w:rPr>
          <w:rFonts w:hint="eastAsia" w:ascii="宋体" w:hAnsi="宋体" w:eastAsia="宋体" w:cs="宋体"/>
          <w:color w:val="000000" w:themeColor="text1"/>
          <w:kern w:val="0"/>
          <w:sz w:val="24"/>
          <w:szCs w:val="24"/>
          <w14:textFill>
            <w14:solidFill>
              <w14:schemeClr w14:val="tx1"/>
            </w14:solidFill>
          </w14:textFill>
        </w:rPr>
        <w:t>标的物名称、</w:t>
      </w:r>
      <w:r>
        <w:rPr>
          <w:rFonts w:hint="eastAsia" w:ascii="宋体" w:hAnsi="宋体" w:eastAsia="宋体" w:cs="宋体"/>
          <w:color w:val="000000" w:themeColor="text1"/>
          <w:sz w:val="24"/>
          <w:szCs w:val="24"/>
          <w14:textFill>
            <w14:solidFill>
              <w14:schemeClr w14:val="tx1"/>
            </w14:solidFill>
          </w14:textFill>
        </w:rPr>
        <w:t>规格型号、数量、单价（到厂含税价）、合计金额、交货期、付款方式等（若询价约定的标的物交货期、付款方式等有异议，请在报价文件中另作说明）。所有上述资料组成响应性文件，比选申请人需将响应性文件打印盖章后，以电子文件方式（PDF、扫描文件等）上传至宏达股份集采平台。</w:t>
      </w:r>
    </w:p>
    <w:p w14:paraId="5D9C1FC9">
      <w:pPr>
        <w:spacing w:line="480" w:lineRule="auto"/>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9.响应性文件的要求：</w:t>
      </w:r>
      <w:r>
        <w:rPr>
          <w:rFonts w:hint="eastAsia" w:ascii="宋体" w:hAnsi="宋体" w:eastAsia="宋体" w:cs="Times New Roman"/>
          <w:color w:val="000000" w:themeColor="text1"/>
          <w:sz w:val="24"/>
          <w:szCs w:val="24"/>
          <w14:textFill>
            <w14:solidFill>
              <w14:schemeClr w14:val="tx1"/>
            </w14:solidFill>
          </w14:textFill>
        </w:rPr>
        <w:t>按要求填写报价单。</w:t>
      </w:r>
    </w:p>
    <w:p w14:paraId="03B07BA3">
      <w:pPr>
        <w:spacing w:line="480" w:lineRule="auto"/>
        <w:rPr>
          <w:rFonts w:ascii="宋体" w:hAnsi="宋体" w:eastAsia="宋体" w:cs="Times New Roman"/>
          <w:color w:val="000000" w:themeColor="text1"/>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10.</w:t>
      </w:r>
      <w:r>
        <w:rPr>
          <w:rFonts w:hint="eastAsia" w:ascii="宋体" w:hAnsi="宋体" w:eastAsia="宋体" w:cs="Times New Roman"/>
          <w:color w:val="000000" w:themeColor="text1"/>
          <w:sz w:val="24"/>
          <w:szCs w:val="24"/>
          <w14:textFill>
            <w14:solidFill>
              <w14:schemeClr w14:val="tx1"/>
            </w14:solidFill>
          </w14:textFill>
        </w:rPr>
        <w:t>比选办法：经评审后的总价最低价法。</w:t>
      </w:r>
    </w:p>
    <w:p w14:paraId="2A1A9F10">
      <w:pPr>
        <w:spacing w:line="480" w:lineRule="auto"/>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11.交送报价文件前，投标方可自愿来我公司进行实地考查、技术交流或咨询。</w:t>
      </w:r>
    </w:p>
    <w:p w14:paraId="7C9E37B2">
      <w:pPr>
        <w:spacing w:line="480" w:lineRule="auto"/>
        <w:rPr>
          <w:rFonts w:ascii="宋体" w:hAnsi="宋体" w:eastAsia="宋体" w:cs="宋体"/>
          <w:color w:val="000000" w:themeColor="text1"/>
          <w:kern w:val="0"/>
          <w:sz w:val="30"/>
          <w:szCs w:val="30"/>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 xml:space="preserve">技术联系人：毛爽 </w:t>
      </w:r>
      <w:r>
        <w:rPr>
          <w:rFonts w:ascii="宋体" w:hAnsi="宋体" w:eastAsia="宋体" w:cs="宋体"/>
          <w:color w:val="000000" w:themeColor="text1"/>
          <w:kern w:val="0"/>
          <w:sz w:val="24"/>
          <w:szCs w:val="24"/>
          <w14:textFill>
            <w14:solidFill>
              <w14:schemeClr w14:val="tx1"/>
            </w14:solidFill>
          </w14:textFill>
        </w:rPr>
        <w:t xml:space="preserve">   </w:t>
      </w:r>
      <w:r>
        <w:rPr>
          <w:rFonts w:hint="eastAsia" w:ascii="宋体" w:hAnsi="宋体" w:eastAsia="宋体" w:cs="宋体"/>
          <w:color w:val="000000" w:themeColor="text1"/>
          <w:kern w:val="0"/>
          <w:sz w:val="24"/>
          <w:szCs w:val="24"/>
          <w14:textFill>
            <w14:solidFill>
              <w14:schemeClr w14:val="tx1"/>
            </w14:solidFill>
          </w14:textFill>
        </w:rPr>
        <w:t>13547087623</w:t>
      </w:r>
    </w:p>
    <w:p w14:paraId="6780F317">
      <w:pPr>
        <w:spacing w:line="480" w:lineRule="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商务联系人：</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宋京玺  18623008593</w:t>
      </w:r>
    </w:p>
    <w:p w14:paraId="1F10E468">
      <w:pPr>
        <w:adjustRightInd w:val="0"/>
        <w:spacing w:line="480" w:lineRule="auto"/>
        <w:jc w:val="left"/>
        <w:rPr>
          <w:rFonts w:ascii="宋体" w:hAnsi="宋体" w:eastAsia="宋体" w:cs="宋体"/>
          <w:kern w:val="0"/>
          <w:sz w:val="24"/>
          <w:szCs w:val="24"/>
        </w:rPr>
      </w:pPr>
      <w:r>
        <w:rPr>
          <w:rFonts w:hint="eastAsia" w:ascii="宋体" w:hAnsi="宋体" w:eastAsia="宋体" w:cs="宋体"/>
          <w:color w:val="000000" w:themeColor="text1"/>
          <w:kern w:val="0"/>
          <w:sz w:val="24"/>
          <w:szCs w:val="24"/>
          <w14:textFill>
            <w14:solidFill>
              <w14:schemeClr w14:val="tx1"/>
            </w14:solidFill>
          </w14:textFill>
        </w:rPr>
        <w:t>地 址：</w:t>
      </w:r>
      <w:r>
        <w:rPr>
          <w:rFonts w:hint="eastAsia" w:ascii="宋体" w:hAnsi="宋体" w:eastAsia="宋体" w:cs="Segoe UI"/>
          <w:color w:val="000000" w:themeColor="text1"/>
          <w:kern w:val="0"/>
          <w:sz w:val="24"/>
          <w:szCs w:val="24"/>
          <w14:textFill>
            <w14:solidFill>
              <w14:schemeClr w14:val="tx1"/>
            </w14:solidFill>
          </w14:textFill>
        </w:rPr>
        <w:t>四川省绵竹市孝德镇茶店子村九组</w:t>
      </w:r>
      <w:r>
        <w:rPr>
          <w:rFonts w:hint="eastAsia" w:ascii="宋体" w:hAnsi="宋体" w:eastAsia="宋体" w:cs="宋体"/>
          <w:color w:val="000000" w:themeColor="text1"/>
          <w:kern w:val="0"/>
          <w:sz w:val="24"/>
          <w:szCs w:val="24"/>
          <w14:textFill>
            <w14:solidFill>
              <w14:schemeClr w14:val="tx1"/>
            </w14:solidFill>
          </w14:textFill>
        </w:rPr>
        <w:t xml:space="preserve">          邮 编：618401 </w:t>
      </w:r>
      <w:r>
        <w:rPr>
          <w:rFonts w:hint="eastAsia" w:ascii="宋体" w:hAnsi="宋体" w:eastAsia="宋体" w:cs="宋体"/>
          <w:kern w:val="0"/>
          <w:sz w:val="24"/>
          <w:szCs w:val="24"/>
        </w:rPr>
        <w:t xml:space="preserve">          </w:t>
      </w:r>
    </w:p>
    <w:p w14:paraId="1AA20AC0">
      <w:pPr>
        <w:adjustRightInd w:val="0"/>
        <w:spacing w:line="480" w:lineRule="auto"/>
        <w:ind w:firstLine="6720" w:firstLineChars="2800"/>
        <w:jc w:val="left"/>
        <w:rPr>
          <w:rFonts w:ascii="宋体" w:hAnsi="宋体" w:eastAsia="宋体" w:cs="宋体"/>
          <w:kern w:val="0"/>
          <w:sz w:val="24"/>
          <w:szCs w:val="24"/>
        </w:rPr>
      </w:pPr>
      <w:r>
        <w:rPr>
          <w:rFonts w:hint="eastAsia" w:ascii="宋体" w:hAnsi="宋体" w:eastAsia="宋体" w:cs="宋体"/>
          <w:kern w:val="0"/>
          <w:sz w:val="24"/>
          <w:szCs w:val="24"/>
        </w:rPr>
        <w:t>四川宏达股份有限公司</w:t>
      </w:r>
    </w:p>
    <w:p w14:paraId="53104ABA">
      <w:pPr>
        <w:spacing w:line="480" w:lineRule="auto"/>
        <w:ind w:firstLine="7200" w:firstLineChars="3000"/>
        <w:rPr>
          <w:rFonts w:ascii="宋体" w:hAnsi="宋体" w:eastAsia="宋体" w:cs="宋体"/>
          <w:kern w:val="0"/>
          <w:sz w:val="24"/>
          <w:szCs w:val="24"/>
        </w:rPr>
      </w:pPr>
      <w:r>
        <w:rPr>
          <w:rFonts w:hint="eastAsia" w:ascii="宋体" w:hAnsi="宋体" w:eastAsia="宋体" w:cs="宋体"/>
          <w:kern w:val="0"/>
          <w:sz w:val="24"/>
          <w:szCs w:val="24"/>
        </w:rPr>
        <w:t>2026年</w:t>
      </w:r>
      <w:r>
        <w:rPr>
          <w:rFonts w:ascii="宋体" w:hAnsi="宋体" w:eastAsia="宋体" w:cs="宋体"/>
          <w:kern w:val="0"/>
          <w:sz w:val="24"/>
          <w:szCs w:val="24"/>
        </w:rPr>
        <w:t>8</w:t>
      </w:r>
      <w:r>
        <w:rPr>
          <w:rFonts w:hint="eastAsia" w:ascii="宋体" w:hAnsi="宋体" w:eastAsia="宋体" w:cs="宋体"/>
          <w:kern w:val="0"/>
          <w:sz w:val="24"/>
          <w:szCs w:val="24"/>
        </w:rPr>
        <w:t>月</w:t>
      </w:r>
      <w:r>
        <w:rPr>
          <w:rFonts w:ascii="宋体" w:hAnsi="宋体" w:eastAsia="宋体" w:cs="宋体"/>
          <w:kern w:val="0"/>
          <w:sz w:val="24"/>
          <w:szCs w:val="24"/>
        </w:rPr>
        <w:t>27</w:t>
      </w:r>
      <w:r>
        <w:rPr>
          <w:rFonts w:hint="eastAsia" w:ascii="宋体" w:hAnsi="宋体" w:eastAsia="宋体" w:cs="宋体"/>
          <w:kern w:val="0"/>
          <w:sz w:val="24"/>
          <w:szCs w:val="24"/>
        </w:rPr>
        <w:t>日</w:t>
      </w:r>
      <w:bookmarkStart w:id="1" w:name="_Toc274596702"/>
      <w:bookmarkStart w:id="2" w:name="_Toc238552273"/>
      <w:bookmarkStart w:id="3" w:name="_Toc275019684"/>
      <w:bookmarkStart w:id="4" w:name="_Toc275019290"/>
      <w:bookmarkStart w:id="5" w:name="_Toc275014947"/>
      <w:bookmarkStart w:id="6" w:name="_Toc238797630"/>
      <w:bookmarkStart w:id="7" w:name="_Toc268793030"/>
      <w:bookmarkStart w:id="8" w:name="_Toc275019836"/>
      <w:bookmarkStart w:id="9" w:name="_Toc318986166"/>
      <w:bookmarkStart w:id="10" w:name="_Toc16684"/>
      <w:bookmarkStart w:id="11" w:name="_Toc269113527"/>
      <w:bookmarkStart w:id="12" w:name="_Toc303149804"/>
      <w:bookmarkStart w:id="13" w:name="_Toc274236999"/>
      <w:bookmarkStart w:id="14" w:name="_Hlk155791057"/>
    </w:p>
    <w:p w14:paraId="407D0A3E">
      <w:pPr>
        <w:rPr>
          <w:rFonts w:ascii="宋体" w:hAnsi="宋体"/>
          <w:b/>
          <w:bCs/>
          <w:szCs w:val="21"/>
        </w:rPr>
      </w:pPr>
    </w:p>
    <w:p w14:paraId="4447E904">
      <w:pPr>
        <w:rPr>
          <w:rFonts w:ascii="宋体" w:hAnsi="宋体"/>
          <w:b/>
          <w:bCs/>
          <w:szCs w:val="21"/>
        </w:rPr>
      </w:pPr>
    </w:p>
    <w:p w14:paraId="0C78E277">
      <w:pPr>
        <w:rPr>
          <w:rFonts w:ascii="宋体" w:hAnsi="宋体"/>
          <w:b/>
          <w:bCs/>
          <w:szCs w:val="21"/>
        </w:rPr>
      </w:pPr>
    </w:p>
    <w:p w14:paraId="42DD29E0">
      <w:pPr>
        <w:rPr>
          <w:rFonts w:ascii="宋体" w:hAnsi="宋体"/>
          <w:b/>
          <w:bCs/>
          <w:szCs w:val="21"/>
        </w:rPr>
      </w:pPr>
    </w:p>
    <w:p w14:paraId="33CD799F">
      <w:pPr>
        <w:rPr>
          <w:rFonts w:ascii="宋体" w:hAnsi="宋体"/>
          <w:b/>
          <w:bCs/>
          <w:szCs w:val="21"/>
        </w:rPr>
      </w:pPr>
    </w:p>
    <w:p w14:paraId="7A728D40">
      <w:pPr>
        <w:rPr>
          <w:rFonts w:ascii="宋体" w:hAnsi="宋体"/>
          <w:b/>
          <w:bCs/>
          <w:szCs w:val="21"/>
        </w:rPr>
      </w:pPr>
    </w:p>
    <w:p w14:paraId="70629519">
      <w:pPr>
        <w:rPr>
          <w:rFonts w:ascii="宋体" w:hAnsi="宋体"/>
          <w:b/>
          <w:bCs/>
          <w:szCs w:val="21"/>
        </w:rPr>
      </w:pPr>
    </w:p>
    <w:p w14:paraId="67B33BC6">
      <w:pPr>
        <w:rPr>
          <w:rFonts w:ascii="宋体" w:hAnsi="宋体"/>
          <w:b/>
          <w:bCs/>
          <w:szCs w:val="21"/>
        </w:rPr>
      </w:pPr>
    </w:p>
    <w:p w14:paraId="089C9814">
      <w:pPr>
        <w:rPr>
          <w:rFonts w:ascii="宋体" w:hAnsi="宋体"/>
          <w:b/>
          <w:bCs/>
          <w:szCs w:val="21"/>
        </w:rPr>
      </w:pPr>
    </w:p>
    <w:p w14:paraId="0A56CAF9">
      <w:pPr>
        <w:rPr>
          <w:rFonts w:ascii="宋体" w:hAnsi="宋体"/>
          <w:b/>
          <w:bCs/>
          <w:szCs w:val="21"/>
        </w:rPr>
      </w:pPr>
    </w:p>
    <w:p w14:paraId="291931FB">
      <w:pPr>
        <w:rPr>
          <w:rFonts w:ascii="宋体" w:hAnsi="宋体"/>
          <w:b/>
          <w:bCs/>
          <w:szCs w:val="21"/>
        </w:rPr>
      </w:pPr>
    </w:p>
    <w:p w14:paraId="47CE67DF">
      <w:pPr>
        <w:rPr>
          <w:rFonts w:ascii="宋体" w:hAnsi="宋体"/>
          <w:b/>
          <w:bCs/>
          <w:szCs w:val="21"/>
        </w:rPr>
      </w:pPr>
    </w:p>
    <w:p w14:paraId="707F4A0E">
      <w:pPr>
        <w:rPr>
          <w:rFonts w:ascii="宋体" w:hAnsi="宋体"/>
          <w:b/>
          <w:bCs/>
          <w:szCs w:val="21"/>
        </w:rPr>
      </w:pPr>
    </w:p>
    <w:bookmarkEnd w:id="1"/>
    <w:bookmarkEnd w:id="2"/>
    <w:bookmarkEnd w:id="3"/>
    <w:bookmarkEnd w:id="4"/>
    <w:bookmarkEnd w:id="5"/>
    <w:bookmarkEnd w:id="6"/>
    <w:bookmarkEnd w:id="7"/>
    <w:bookmarkEnd w:id="8"/>
    <w:bookmarkEnd w:id="9"/>
    <w:bookmarkEnd w:id="10"/>
    <w:bookmarkEnd w:id="11"/>
    <w:bookmarkEnd w:id="12"/>
    <w:bookmarkEnd w:id="13"/>
    <w:bookmarkEnd w:id="14"/>
    <w:p w14:paraId="210DC6A3">
      <w:pPr>
        <w:ind w:firstLine="4160" w:firstLineChars="1300"/>
        <w:rPr>
          <w:rFonts w:ascii="黑体" w:hAnsi="宋体" w:eastAsia="黑体"/>
          <w:sz w:val="32"/>
          <w:szCs w:val="32"/>
        </w:rPr>
      </w:pPr>
      <w:r>
        <w:rPr>
          <w:rFonts w:hint="eastAsia" w:ascii="黑体" w:hAnsi="宋体" w:eastAsia="黑体"/>
          <w:sz w:val="32"/>
          <w:szCs w:val="32"/>
        </w:rPr>
        <w:t xml:space="preserve">第二章 </w:t>
      </w:r>
    </w:p>
    <w:p w14:paraId="288A0FF7">
      <w:pPr>
        <w:ind w:firstLine="3683" w:firstLineChars="1151"/>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3934BC6">
      <w:pPr>
        <w:widowControl/>
        <w:tabs>
          <w:tab w:val="left" w:pos="2980"/>
          <w:tab w:val="left" w:pos="3828"/>
          <w:tab w:val="center" w:pos="4422"/>
        </w:tabs>
        <w:autoSpaceDE w:val="0"/>
        <w:autoSpaceDN w:val="0"/>
        <w:ind w:firstLine="600" w:firstLineChars="200"/>
        <w:jc w:val="left"/>
        <w:textAlignment w:val="bottom"/>
        <w:rPr>
          <w:rFonts w:ascii="黑体" w:hAnsi="黑体" w:eastAsia="黑体" w:cs="宋体"/>
          <w:sz w:val="30"/>
          <w:szCs w:val="30"/>
          <w:u w:val="single"/>
        </w:rPr>
      </w:pPr>
    </w:p>
    <w:p w14:paraId="54CECAFD">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1C4E2082">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7C41D179">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040DFC48">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27940A3C">
      <w:pPr>
        <w:autoSpaceDE w:val="0"/>
        <w:autoSpaceDN w:val="0"/>
        <w:adjustRightInd w:val="0"/>
        <w:spacing w:before="100" w:after="100"/>
        <w:ind w:firstLine="3262" w:firstLineChars="1083"/>
        <w:jc w:val="left"/>
        <w:rPr>
          <w:rFonts w:ascii="宋体" w:hAnsi="宋体" w:cs="宋体"/>
          <w:b/>
          <w:bCs/>
          <w:sz w:val="30"/>
          <w:szCs w:val="30"/>
        </w:rPr>
      </w:pPr>
      <w:r>
        <w:rPr>
          <w:rFonts w:hint="eastAsia" w:ascii="宋体" w:hAnsi="宋体" w:cs="宋体"/>
          <w:b/>
          <w:bCs/>
          <w:sz w:val="30"/>
          <w:szCs w:val="30"/>
        </w:rPr>
        <w:t>四川宏达股份有限公司</w:t>
      </w:r>
    </w:p>
    <w:p w14:paraId="75595C7C">
      <w:pPr>
        <w:widowControl/>
        <w:jc w:val="center"/>
        <w:rPr>
          <w:rFonts w:ascii="黑体" w:hAnsi="黑体" w:eastAsia="黑体" w:cs="宋体"/>
          <w:b/>
          <w:kern w:val="0"/>
          <w:sz w:val="32"/>
          <w:szCs w:val="32"/>
        </w:rPr>
      </w:pPr>
      <w:r>
        <w:rPr>
          <w:rFonts w:hint="eastAsia" w:ascii="宋体" w:hAnsi="宋体" w:eastAsia="宋体" w:cs="宋体"/>
          <w:b/>
          <w:bCs/>
          <w:sz w:val="30"/>
          <w:szCs w:val="30"/>
        </w:rPr>
        <w:t>川润公司国家重点县检查隐患问题整改设计邀标采购</w:t>
      </w:r>
    </w:p>
    <w:p w14:paraId="003E0633">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kern w:val="0"/>
          <w:sz w:val="30"/>
          <w:szCs w:val="30"/>
        </w:rPr>
      </w:pPr>
    </w:p>
    <w:p w14:paraId="66807D76">
      <w:pPr>
        <w:widowControl/>
        <w:tabs>
          <w:tab w:val="left" w:pos="2980"/>
          <w:tab w:val="left" w:pos="3828"/>
          <w:tab w:val="center" w:pos="4422"/>
        </w:tabs>
        <w:autoSpaceDE w:val="0"/>
        <w:autoSpaceDN w:val="0"/>
        <w:ind w:firstLine="600" w:firstLineChars="200"/>
        <w:jc w:val="center"/>
        <w:textAlignment w:val="bottom"/>
        <w:rPr>
          <w:rFonts w:ascii="黑体" w:hAnsi="黑体" w:eastAsia="黑体" w:cs="宋体"/>
          <w:sz w:val="30"/>
          <w:szCs w:val="30"/>
        </w:rPr>
      </w:pPr>
    </w:p>
    <w:p w14:paraId="6A59F4C7">
      <w:pPr>
        <w:ind w:firstLine="5400" w:firstLineChars="1800"/>
        <w:rPr>
          <w:rFonts w:ascii="黑体" w:hAnsi="黑体" w:eastAsia="黑体" w:cs="黑体"/>
          <w:sz w:val="30"/>
          <w:szCs w:val="30"/>
        </w:rPr>
      </w:pPr>
    </w:p>
    <w:p w14:paraId="18106783">
      <w:pPr>
        <w:ind w:firstLine="5400" w:firstLineChars="1800"/>
        <w:rPr>
          <w:rFonts w:ascii="黑体" w:hAnsi="黑体" w:eastAsia="黑体" w:cs="黑体"/>
          <w:sz w:val="30"/>
          <w:szCs w:val="30"/>
        </w:rPr>
      </w:pPr>
      <w:bookmarkStart w:id="18" w:name="_GoBack"/>
      <w:bookmarkEnd w:id="18"/>
    </w:p>
    <w:p w14:paraId="485FD1AC">
      <w:pPr>
        <w:rPr>
          <w:rFonts w:ascii="黑体" w:hAnsi="黑体" w:eastAsia="黑体" w:cs="黑体"/>
          <w:sz w:val="30"/>
          <w:szCs w:val="30"/>
        </w:rPr>
      </w:pPr>
    </w:p>
    <w:p w14:paraId="1EFB9F75">
      <w:pPr>
        <w:ind w:firstLine="3900" w:firstLineChars="1300"/>
        <w:rPr>
          <w:rFonts w:ascii="黑体" w:hAnsi="黑体" w:eastAsia="黑体" w:cs="黑体"/>
          <w:sz w:val="30"/>
          <w:szCs w:val="30"/>
        </w:rPr>
      </w:pPr>
      <w:r>
        <w:rPr>
          <w:rFonts w:hint="eastAsia" w:ascii="黑体" w:hAnsi="黑体" w:eastAsia="黑体" w:cs="黑体"/>
          <w:sz w:val="30"/>
          <w:szCs w:val="30"/>
        </w:rPr>
        <w:t>响应性文件</w:t>
      </w:r>
    </w:p>
    <w:p w14:paraId="36211B87">
      <w:pPr>
        <w:ind w:firstLine="3900" w:firstLineChars="1300"/>
        <w:rPr>
          <w:rFonts w:ascii="黑体" w:hAnsi="黑体" w:eastAsia="黑体" w:cs="黑体"/>
          <w:sz w:val="30"/>
          <w:szCs w:val="30"/>
        </w:rPr>
      </w:pPr>
    </w:p>
    <w:p w14:paraId="2F29E395">
      <w:pPr>
        <w:ind w:firstLine="3900" w:firstLineChars="1300"/>
        <w:rPr>
          <w:rFonts w:ascii="黑体" w:hAnsi="黑体" w:eastAsia="黑体" w:cs="黑体"/>
          <w:sz w:val="30"/>
          <w:szCs w:val="30"/>
        </w:rPr>
      </w:pPr>
    </w:p>
    <w:p w14:paraId="037BC625">
      <w:pPr>
        <w:ind w:firstLine="3900" w:firstLineChars="1300"/>
        <w:rPr>
          <w:rFonts w:ascii="黑体" w:hAnsi="黑体" w:eastAsia="黑体" w:cs="黑体"/>
          <w:sz w:val="30"/>
          <w:szCs w:val="30"/>
        </w:rPr>
      </w:pPr>
    </w:p>
    <w:p w14:paraId="087FDC00">
      <w:pPr>
        <w:ind w:firstLine="3900" w:firstLineChars="1300"/>
        <w:rPr>
          <w:rFonts w:ascii="黑体" w:hAnsi="黑体" w:eastAsia="黑体" w:cs="黑体"/>
          <w:sz w:val="30"/>
          <w:szCs w:val="30"/>
        </w:rPr>
      </w:pPr>
    </w:p>
    <w:p w14:paraId="3BEA24A6">
      <w:pPr>
        <w:ind w:firstLine="3900" w:firstLineChars="1300"/>
        <w:rPr>
          <w:rFonts w:ascii="黑体" w:hAnsi="黑体" w:eastAsia="黑体" w:cs="黑体"/>
          <w:sz w:val="30"/>
          <w:szCs w:val="30"/>
        </w:rPr>
      </w:pPr>
    </w:p>
    <w:p w14:paraId="750CA74A">
      <w:pPr>
        <w:keepNext/>
        <w:keepLines/>
        <w:numPr>
          <w:ilvl w:val="0"/>
          <w:numId w:val="1"/>
        </w:numPr>
        <w:tabs>
          <w:tab w:val="left" w:pos="215"/>
          <w:tab w:val="center" w:pos="4535"/>
        </w:tabs>
        <w:autoSpaceDE w:val="0"/>
        <w:autoSpaceDN w:val="0"/>
        <w:adjustRightInd w:val="0"/>
        <w:spacing w:before="340" w:after="330"/>
        <w:rPr>
          <w:rFonts w:cs="黑体" w:asciiTheme="minorEastAsia" w:hAnsiTheme="minorEastAsia"/>
          <w:b/>
          <w:bCs/>
          <w:kern w:val="44"/>
          <w:szCs w:val="21"/>
          <w:lang w:val="zh-CN"/>
        </w:rPr>
      </w:pPr>
      <w:bookmarkStart w:id="15" w:name="_Toc4384"/>
      <w:bookmarkStart w:id="16" w:name="_Toc30198"/>
      <w:bookmarkStart w:id="17" w:name="_Toc9978"/>
      <w:r>
        <w:rPr>
          <w:rFonts w:hint="eastAsia" w:cs="黑体" w:asciiTheme="minorEastAsia" w:hAnsiTheme="minorEastAsia"/>
          <w:b/>
          <w:bCs/>
          <w:kern w:val="44"/>
          <w:szCs w:val="21"/>
        </w:rPr>
        <w:t>投标报价</w:t>
      </w:r>
      <w:bookmarkEnd w:id="15"/>
      <w:bookmarkEnd w:id="16"/>
      <w:bookmarkEnd w:id="17"/>
    </w:p>
    <w:p w14:paraId="017AABC3">
      <w:pPr>
        <w:spacing w:line="560" w:lineRule="exact"/>
        <w:ind w:firstLine="420" w:firstLineChars="200"/>
        <w:rPr>
          <w:rFonts w:asciiTheme="minorEastAsia" w:hAnsiTheme="minorEastAsia"/>
          <w:szCs w:val="21"/>
          <w:u w:val="single"/>
        </w:rPr>
      </w:pPr>
      <w:r>
        <w:rPr>
          <w:rFonts w:hint="eastAsia" w:cs="宋体" w:asciiTheme="minorEastAsia" w:hAnsiTheme="minorEastAsia"/>
          <w:kern w:val="0"/>
          <w:szCs w:val="21"/>
        </w:rPr>
        <w:t xml:space="preserve">    </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rPr>
        <w:t>(邀标人名称)</w:t>
      </w:r>
      <w:r>
        <w:rPr>
          <w:rFonts w:hint="eastAsia" w:asciiTheme="minorEastAsia" w:hAnsiTheme="minorEastAsia"/>
          <w:szCs w:val="21"/>
        </w:rPr>
        <w:t>：</w:t>
      </w:r>
    </w:p>
    <w:p w14:paraId="5FA4FA8F">
      <w:pPr>
        <w:widowControl/>
        <w:ind w:firstLine="420" w:firstLineChars="200"/>
        <w:rPr>
          <w:rFonts w:asciiTheme="minorEastAsia" w:hAnsiTheme="minorEastAsia"/>
          <w:szCs w:val="21"/>
        </w:rPr>
      </w:pPr>
      <w:r>
        <w:rPr>
          <w:rFonts w:hint="eastAsia" w:asciiTheme="minorEastAsia" w:hAnsiTheme="minorEastAsia"/>
          <w:szCs w:val="21"/>
        </w:rPr>
        <w:t>1、我方已仔细研究了(</w:t>
      </w:r>
      <w:r>
        <w:rPr>
          <w:rFonts w:hint="eastAsia" w:ascii="宋体" w:hAnsi="宋体" w:eastAsia="宋体" w:cs="宋体"/>
          <w:b/>
          <w:bCs/>
          <w:sz w:val="24"/>
          <w:szCs w:val="24"/>
        </w:rPr>
        <w:t>川润公司国家重点县检查隐患问题整改设计邀标采购</w:t>
      </w:r>
      <w:r>
        <w:rPr>
          <w:rFonts w:hint="eastAsia" w:asciiTheme="minorEastAsia" w:hAnsiTheme="minorEastAsia"/>
          <w:szCs w:val="21"/>
        </w:rPr>
        <w:t>) 比选文件(包括补充通知的全部内容，</w:t>
      </w:r>
    </w:p>
    <w:tbl>
      <w:tblPr>
        <w:tblStyle w:val="17"/>
        <w:tblW w:w="5000" w:type="pct"/>
        <w:tblInd w:w="0" w:type="dxa"/>
        <w:tblLayout w:type="autofit"/>
        <w:tblCellMar>
          <w:top w:w="0" w:type="dxa"/>
          <w:left w:w="108" w:type="dxa"/>
          <w:bottom w:w="0" w:type="dxa"/>
          <w:right w:w="108" w:type="dxa"/>
        </w:tblCellMar>
      </w:tblPr>
      <w:tblGrid>
        <w:gridCol w:w="664"/>
        <w:gridCol w:w="2988"/>
        <w:gridCol w:w="2125"/>
        <w:gridCol w:w="993"/>
        <w:gridCol w:w="2970"/>
      </w:tblGrid>
      <w:tr w14:paraId="30EE7081">
        <w:tblPrEx>
          <w:tblCellMar>
            <w:top w:w="0" w:type="dxa"/>
            <w:left w:w="108" w:type="dxa"/>
            <w:bottom w:w="0" w:type="dxa"/>
            <w:right w:w="108" w:type="dxa"/>
          </w:tblCellMar>
        </w:tblPrEx>
        <w:trPr>
          <w:trHeight w:val="672" w:hRule="atLeast"/>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A7E73E">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1534" w:type="pct"/>
            <w:tcBorders>
              <w:top w:val="single" w:color="auto" w:sz="4" w:space="0"/>
              <w:left w:val="nil"/>
              <w:bottom w:val="single" w:color="auto" w:sz="4" w:space="0"/>
              <w:right w:val="single" w:color="auto" w:sz="4" w:space="0"/>
            </w:tcBorders>
            <w:shd w:val="clear" w:color="auto" w:fill="auto"/>
            <w:noWrap/>
            <w:vAlign w:val="center"/>
          </w:tcPr>
          <w:p w14:paraId="2B5EFFB4">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整改项目名称</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76846F7C">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含税价格</w:t>
            </w:r>
          </w:p>
        </w:tc>
        <w:tc>
          <w:tcPr>
            <w:tcW w:w="510" w:type="pct"/>
            <w:tcBorders>
              <w:top w:val="single" w:color="auto" w:sz="4" w:space="0"/>
              <w:left w:val="nil"/>
              <w:bottom w:val="single" w:color="auto" w:sz="4" w:space="0"/>
              <w:right w:val="single" w:color="auto" w:sz="4" w:space="0"/>
            </w:tcBorders>
            <w:shd w:val="clear" w:color="auto" w:fill="auto"/>
            <w:noWrap/>
            <w:vAlign w:val="center"/>
          </w:tcPr>
          <w:p w14:paraId="51B5D2BE">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税率</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4762B60A">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备注</w:t>
            </w:r>
          </w:p>
        </w:tc>
      </w:tr>
      <w:tr w14:paraId="7B8234B2">
        <w:tblPrEx>
          <w:tblCellMar>
            <w:top w:w="0" w:type="dxa"/>
            <w:left w:w="108" w:type="dxa"/>
            <w:bottom w:w="0" w:type="dxa"/>
            <w:right w:w="108" w:type="dxa"/>
          </w:tblCellMar>
        </w:tblPrEx>
        <w:trPr>
          <w:trHeight w:val="672" w:hRule="atLeast"/>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5EDAA8">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w:t>
            </w:r>
          </w:p>
        </w:tc>
        <w:tc>
          <w:tcPr>
            <w:tcW w:w="1534" w:type="pct"/>
            <w:tcBorders>
              <w:top w:val="single" w:color="auto" w:sz="4" w:space="0"/>
              <w:left w:val="nil"/>
              <w:bottom w:val="single" w:color="auto" w:sz="4" w:space="0"/>
              <w:right w:val="single" w:color="auto" w:sz="4" w:space="0"/>
            </w:tcBorders>
            <w:shd w:val="clear" w:color="auto" w:fill="auto"/>
            <w:noWrap/>
            <w:vAlign w:val="center"/>
          </w:tcPr>
          <w:p w14:paraId="3FF7380C">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GDS系统整改设计</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0A2DF61C">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10" w:type="pct"/>
            <w:tcBorders>
              <w:top w:val="single" w:color="auto" w:sz="4" w:space="0"/>
              <w:left w:val="nil"/>
              <w:bottom w:val="single" w:color="auto" w:sz="4" w:space="0"/>
              <w:right w:val="single" w:color="auto" w:sz="4" w:space="0"/>
            </w:tcBorders>
            <w:shd w:val="clear" w:color="auto" w:fill="auto"/>
            <w:noWrap/>
            <w:vAlign w:val="center"/>
          </w:tcPr>
          <w:p w14:paraId="20474A2B">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69F51DB9">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48D94F9A">
        <w:tblPrEx>
          <w:tblCellMar>
            <w:top w:w="0" w:type="dxa"/>
            <w:left w:w="108" w:type="dxa"/>
            <w:bottom w:w="0" w:type="dxa"/>
            <w:right w:w="108" w:type="dxa"/>
          </w:tblCellMar>
        </w:tblPrEx>
        <w:trPr>
          <w:trHeight w:val="672" w:hRule="atLeast"/>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2C7F7C">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1534" w:type="pct"/>
            <w:tcBorders>
              <w:top w:val="single" w:color="auto" w:sz="4" w:space="0"/>
              <w:left w:val="nil"/>
              <w:bottom w:val="single" w:color="auto" w:sz="4" w:space="0"/>
              <w:right w:val="single" w:color="auto" w:sz="4" w:space="0"/>
            </w:tcBorders>
            <w:shd w:val="clear" w:color="auto" w:fill="auto"/>
            <w:noWrap/>
            <w:vAlign w:val="center"/>
          </w:tcPr>
          <w:p w14:paraId="3F238466">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视频监控整改设计</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509B1A6A">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10" w:type="pct"/>
            <w:tcBorders>
              <w:top w:val="single" w:color="auto" w:sz="4" w:space="0"/>
              <w:left w:val="nil"/>
              <w:bottom w:val="single" w:color="auto" w:sz="4" w:space="0"/>
              <w:right w:val="single" w:color="auto" w:sz="4" w:space="0"/>
            </w:tcBorders>
            <w:shd w:val="clear" w:color="auto" w:fill="auto"/>
            <w:noWrap/>
            <w:vAlign w:val="center"/>
          </w:tcPr>
          <w:p w14:paraId="69513AC8">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6C490889">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21C847BF">
        <w:tblPrEx>
          <w:tblCellMar>
            <w:top w:w="0" w:type="dxa"/>
            <w:left w:w="108" w:type="dxa"/>
            <w:bottom w:w="0" w:type="dxa"/>
            <w:right w:w="108" w:type="dxa"/>
          </w:tblCellMar>
        </w:tblPrEx>
        <w:trPr>
          <w:trHeight w:val="672" w:hRule="atLeast"/>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CFAD12">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3</w:t>
            </w:r>
          </w:p>
        </w:tc>
        <w:tc>
          <w:tcPr>
            <w:tcW w:w="1534" w:type="pct"/>
            <w:tcBorders>
              <w:top w:val="single" w:color="auto" w:sz="4" w:space="0"/>
              <w:left w:val="nil"/>
              <w:bottom w:val="single" w:color="auto" w:sz="4" w:space="0"/>
              <w:right w:val="single" w:color="auto" w:sz="4" w:space="0"/>
            </w:tcBorders>
            <w:shd w:val="clear" w:color="auto" w:fill="auto"/>
            <w:noWrap/>
            <w:vAlign w:val="center"/>
          </w:tcPr>
          <w:p w14:paraId="612F7B7B">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供配电整改设计</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75A105C2">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10" w:type="pct"/>
            <w:tcBorders>
              <w:top w:val="single" w:color="auto" w:sz="4" w:space="0"/>
              <w:left w:val="nil"/>
              <w:bottom w:val="single" w:color="auto" w:sz="4" w:space="0"/>
              <w:right w:val="single" w:color="auto" w:sz="4" w:space="0"/>
            </w:tcBorders>
            <w:shd w:val="clear" w:color="auto" w:fill="auto"/>
            <w:noWrap/>
            <w:vAlign w:val="center"/>
          </w:tcPr>
          <w:p w14:paraId="3D66C8C8">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2B316A50">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5958ED53">
        <w:tblPrEx>
          <w:tblCellMar>
            <w:top w:w="0" w:type="dxa"/>
            <w:left w:w="108" w:type="dxa"/>
            <w:bottom w:w="0" w:type="dxa"/>
            <w:right w:w="108" w:type="dxa"/>
          </w:tblCellMar>
        </w:tblPrEx>
        <w:trPr>
          <w:trHeight w:val="672" w:hRule="atLeast"/>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752535">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4</w:t>
            </w:r>
          </w:p>
        </w:tc>
        <w:tc>
          <w:tcPr>
            <w:tcW w:w="1534" w:type="pct"/>
            <w:tcBorders>
              <w:top w:val="single" w:color="auto" w:sz="4" w:space="0"/>
              <w:left w:val="nil"/>
              <w:bottom w:val="single" w:color="auto" w:sz="4" w:space="0"/>
              <w:right w:val="single" w:color="auto" w:sz="4" w:space="0"/>
            </w:tcBorders>
            <w:shd w:val="clear" w:color="auto" w:fill="auto"/>
            <w:noWrap/>
            <w:vAlign w:val="center"/>
          </w:tcPr>
          <w:p w14:paraId="78212C48">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工艺仪表流程图整改设计</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2BACB1AE">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10" w:type="pct"/>
            <w:tcBorders>
              <w:top w:val="single" w:color="auto" w:sz="4" w:space="0"/>
              <w:left w:val="nil"/>
              <w:bottom w:val="single" w:color="auto" w:sz="4" w:space="0"/>
              <w:right w:val="single" w:color="auto" w:sz="4" w:space="0"/>
            </w:tcBorders>
            <w:shd w:val="clear" w:color="auto" w:fill="auto"/>
            <w:noWrap/>
            <w:vAlign w:val="center"/>
          </w:tcPr>
          <w:p w14:paraId="1B292CDD">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15AAED29">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4D9A422F">
        <w:tblPrEx>
          <w:tblCellMar>
            <w:top w:w="0" w:type="dxa"/>
            <w:left w:w="108" w:type="dxa"/>
            <w:bottom w:w="0" w:type="dxa"/>
            <w:right w:w="108" w:type="dxa"/>
          </w:tblCellMar>
        </w:tblPrEx>
        <w:trPr>
          <w:trHeight w:val="672" w:hRule="atLeast"/>
        </w:trPr>
        <w:tc>
          <w:tcPr>
            <w:tcW w:w="34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395622B">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5</w:t>
            </w:r>
          </w:p>
        </w:tc>
        <w:tc>
          <w:tcPr>
            <w:tcW w:w="1534" w:type="pct"/>
            <w:tcBorders>
              <w:top w:val="single" w:color="auto" w:sz="4" w:space="0"/>
              <w:left w:val="nil"/>
              <w:bottom w:val="single" w:color="auto" w:sz="4" w:space="0"/>
              <w:right w:val="single" w:color="auto" w:sz="4" w:space="0"/>
            </w:tcBorders>
            <w:shd w:val="clear" w:color="auto" w:fill="auto"/>
            <w:noWrap/>
            <w:vAlign w:val="center"/>
          </w:tcPr>
          <w:p w14:paraId="54E3DD5E">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液氨储罐液位低低联锁设计</w:t>
            </w:r>
          </w:p>
        </w:tc>
        <w:tc>
          <w:tcPr>
            <w:tcW w:w="1091" w:type="pct"/>
            <w:tcBorders>
              <w:top w:val="single" w:color="auto" w:sz="4" w:space="0"/>
              <w:left w:val="nil"/>
              <w:bottom w:val="single" w:color="auto" w:sz="4" w:space="0"/>
              <w:right w:val="single" w:color="auto" w:sz="4" w:space="0"/>
            </w:tcBorders>
            <w:shd w:val="clear" w:color="auto" w:fill="auto"/>
            <w:noWrap/>
            <w:vAlign w:val="center"/>
          </w:tcPr>
          <w:p w14:paraId="44B03F82">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510" w:type="pct"/>
            <w:tcBorders>
              <w:top w:val="single" w:color="auto" w:sz="4" w:space="0"/>
              <w:left w:val="nil"/>
              <w:bottom w:val="single" w:color="auto" w:sz="4" w:space="0"/>
              <w:right w:val="single" w:color="auto" w:sz="4" w:space="0"/>
            </w:tcBorders>
            <w:shd w:val="clear" w:color="auto" w:fill="auto"/>
            <w:noWrap/>
            <w:vAlign w:val="center"/>
          </w:tcPr>
          <w:p w14:paraId="38812855">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nil"/>
              <w:bottom w:val="single" w:color="auto" w:sz="4" w:space="0"/>
              <w:right w:val="single" w:color="auto" w:sz="4" w:space="0"/>
            </w:tcBorders>
            <w:shd w:val="clear" w:color="auto" w:fill="auto"/>
            <w:noWrap/>
            <w:vAlign w:val="center"/>
          </w:tcPr>
          <w:p w14:paraId="4DF51101">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　</w:t>
            </w:r>
          </w:p>
        </w:tc>
      </w:tr>
      <w:tr w14:paraId="0B7B2BF4">
        <w:tblPrEx>
          <w:tblCellMar>
            <w:top w:w="0" w:type="dxa"/>
            <w:left w:w="108" w:type="dxa"/>
            <w:bottom w:w="0" w:type="dxa"/>
            <w:right w:w="108" w:type="dxa"/>
          </w:tblCellMar>
        </w:tblPrEx>
        <w:trPr>
          <w:trHeight w:val="600" w:hRule="atLeast"/>
        </w:trPr>
        <w:tc>
          <w:tcPr>
            <w:tcW w:w="1875"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1E9D15A">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合计</w:t>
            </w:r>
          </w:p>
        </w:tc>
        <w:tc>
          <w:tcPr>
            <w:tcW w:w="1091" w:type="pct"/>
            <w:tcBorders>
              <w:top w:val="single" w:color="auto" w:sz="4" w:space="0"/>
              <w:left w:val="single" w:color="auto" w:sz="4" w:space="0"/>
              <w:bottom w:val="single" w:color="auto" w:sz="4" w:space="0"/>
              <w:right w:val="single" w:color="auto" w:sz="4" w:space="0"/>
            </w:tcBorders>
            <w:shd w:val="clear" w:color="auto" w:fill="auto"/>
            <w:noWrap/>
            <w:vAlign w:val="bottom"/>
          </w:tcPr>
          <w:p w14:paraId="72114016">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w:t>
            </w:r>
          </w:p>
        </w:tc>
        <w:tc>
          <w:tcPr>
            <w:tcW w:w="510" w:type="pct"/>
            <w:tcBorders>
              <w:top w:val="single" w:color="auto" w:sz="4" w:space="0"/>
              <w:left w:val="single" w:color="auto" w:sz="4" w:space="0"/>
              <w:bottom w:val="single" w:color="auto" w:sz="4" w:space="0"/>
              <w:right w:val="single" w:color="auto" w:sz="4" w:space="0"/>
            </w:tcBorders>
            <w:shd w:val="clear" w:color="auto" w:fill="auto"/>
            <w:noWrap/>
            <w:vAlign w:val="bottom"/>
          </w:tcPr>
          <w:p w14:paraId="1AD47665">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w:t>
            </w:r>
          </w:p>
        </w:tc>
        <w:tc>
          <w:tcPr>
            <w:tcW w:w="1524" w:type="pct"/>
            <w:tcBorders>
              <w:top w:val="single" w:color="auto" w:sz="4" w:space="0"/>
              <w:left w:val="single" w:color="auto" w:sz="4" w:space="0"/>
              <w:bottom w:val="single" w:color="auto" w:sz="4" w:space="0"/>
              <w:right w:val="single" w:color="auto" w:sz="4" w:space="0"/>
            </w:tcBorders>
            <w:shd w:val="clear" w:color="auto" w:fill="auto"/>
            <w:noWrap/>
            <w:vAlign w:val="bottom"/>
          </w:tcPr>
          <w:p w14:paraId="63CEB178">
            <w:pPr>
              <w:widowControl/>
              <w:jc w:val="left"/>
              <w:rPr>
                <w:rFonts w:ascii="等线" w:hAnsi="等线" w:eastAsia="等线" w:cs="宋体"/>
                <w:color w:val="000000"/>
                <w:kern w:val="0"/>
                <w:sz w:val="22"/>
              </w:rPr>
            </w:pPr>
            <w:r>
              <w:rPr>
                <w:rFonts w:hint="eastAsia" w:ascii="等线" w:hAnsi="等线" w:eastAsia="等线" w:cs="宋体"/>
                <w:color w:val="000000"/>
                <w:kern w:val="0"/>
                <w:sz w:val="22"/>
              </w:rPr>
              <w:t>　</w:t>
            </w:r>
          </w:p>
        </w:tc>
      </w:tr>
    </w:tbl>
    <w:p w14:paraId="652D051D">
      <w:pPr>
        <w:pStyle w:val="36"/>
        <w:spacing w:before="120" w:line="400" w:lineRule="exact"/>
        <w:ind w:firstLine="420" w:firstLineChars="200"/>
        <w:rPr>
          <w:rFonts w:asciiTheme="minorEastAsia" w:hAnsiTheme="minorEastAsia" w:eastAsiaTheme="minorEastAsia"/>
          <w:sz w:val="21"/>
          <w:szCs w:val="21"/>
        </w:rPr>
      </w:pPr>
      <w:r>
        <w:rPr>
          <w:rFonts w:asciiTheme="minorEastAsia" w:hAnsiTheme="minorEastAsia" w:eastAsiaTheme="minorEastAsia"/>
          <w:sz w:val="21"/>
          <w:szCs w:val="21"/>
        </w:rPr>
        <w:t>1</w:t>
      </w:r>
      <w:r>
        <w:rPr>
          <w:rFonts w:hint="eastAsia" w:asciiTheme="minorEastAsia" w:hAnsiTheme="minorEastAsia" w:eastAsiaTheme="minorEastAsia"/>
          <w:sz w:val="21"/>
          <w:szCs w:val="21"/>
        </w:rPr>
        <w:t>、我公司承诺在投标有效期</w:t>
      </w:r>
      <w:r>
        <w:rPr>
          <w:rFonts w:hint="eastAsia" w:asciiTheme="minorEastAsia" w:hAnsiTheme="minorEastAsia"/>
          <w:sz w:val="21"/>
          <w:szCs w:val="21"/>
          <w:u w:val="single"/>
        </w:rPr>
        <w:t>3</w:t>
      </w:r>
      <w:r>
        <w:rPr>
          <w:rFonts w:hint="eastAsia" w:asciiTheme="minorEastAsia" w:hAnsiTheme="minorEastAsia" w:eastAsiaTheme="minorEastAsia"/>
          <w:sz w:val="21"/>
          <w:szCs w:val="21"/>
          <w:u w:val="single"/>
        </w:rPr>
        <w:t>0</w:t>
      </w:r>
      <w:r>
        <w:rPr>
          <w:rFonts w:hint="eastAsia" w:asciiTheme="minorEastAsia" w:hAnsiTheme="minorEastAsia" w:eastAsiaTheme="minorEastAsia"/>
          <w:sz w:val="21"/>
          <w:szCs w:val="21"/>
        </w:rPr>
        <w:t>日历天内不修改、撤销比选文件。</w:t>
      </w:r>
    </w:p>
    <w:p w14:paraId="0B2A09E6">
      <w:pPr>
        <w:spacing w:line="560" w:lineRule="exact"/>
        <w:ind w:firstLine="420" w:firstLineChars="200"/>
        <w:rPr>
          <w:rFonts w:asciiTheme="minorEastAsia" w:hAnsiTheme="minorEastAsia"/>
          <w:szCs w:val="21"/>
        </w:rPr>
      </w:pPr>
      <w:r>
        <w:rPr>
          <w:rFonts w:asciiTheme="minorEastAsia" w:hAnsiTheme="minorEastAsia"/>
          <w:szCs w:val="21"/>
        </w:rPr>
        <w:t>2</w:t>
      </w:r>
      <w:r>
        <w:rPr>
          <w:rFonts w:hint="eastAsia" w:asciiTheme="minorEastAsia" w:hAnsiTheme="minorEastAsia"/>
          <w:szCs w:val="21"/>
        </w:rPr>
        <w:t>、如我方中标，我方承诺：</w:t>
      </w:r>
    </w:p>
    <w:p w14:paraId="66CA604B">
      <w:pPr>
        <w:spacing w:line="560" w:lineRule="exact"/>
        <w:ind w:firstLine="420" w:firstLineChars="200"/>
        <w:rPr>
          <w:rFonts w:asciiTheme="minorEastAsia" w:hAnsiTheme="minorEastAsia"/>
          <w:szCs w:val="21"/>
        </w:rPr>
      </w:pPr>
      <w:r>
        <w:rPr>
          <w:rFonts w:hint="eastAsia" w:asciiTheme="minorEastAsia" w:hAnsiTheme="minorEastAsia"/>
          <w:szCs w:val="21"/>
        </w:rPr>
        <w:t>（1）在签订合同时不向你方提出附加条件；</w:t>
      </w:r>
    </w:p>
    <w:p w14:paraId="7CDD0FBC">
      <w:pPr>
        <w:spacing w:line="560" w:lineRule="exact"/>
        <w:ind w:firstLine="420" w:firstLineChars="200"/>
        <w:rPr>
          <w:rFonts w:asciiTheme="minorEastAsia" w:hAnsiTheme="minorEastAsia"/>
          <w:szCs w:val="21"/>
        </w:rPr>
      </w:pPr>
      <w:r>
        <w:rPr>
          <w:rFonts w:hint="eastAsia" w:asciiTheme="minorEastAsia" w:hAnsiTheme="minorEastAsia"/>
          <w:szCs w:val="21"/>
        </w:rPr>
        <w:t>（2）在合同约定的期限内完成合同规定的全部义务。</w:t>
      </w:r>
    </w:p>
    <w:p w14:paraId="47B18E1E">
      <w:pPr>
        <w:spacing w:line="560" w:lineRule="exact"/>
        <w:rPr>
          <w:rFonts w:asciiTheme="minorEastAsia" w:hAnsiTheme="minorEastAsia"/>
          <w:szCs w:val="21"/>
        </w:rPr>
      </w:pPr>
    </w:p>
    <w:p w14:paraId="01A5E141">
      <w:pPr>
        <w:spacing w:line="560" w:lineRule="exact"/>
        <w:ind w:firstLine="4200" w:firstLineChars="2000"/>
        <w:rPr>
          <w:rFonts w:asciiTheme="minorEastAsia" w:hAnsiTheme="minorEastAsia"/>
          <w:szCs w:val="21"/>
        </w:rPr>
      </w:pPr>
      <w:r>
        <w:rPr>
          <w:rFonts w:hint="eastAsia" w:asciiTheme="minorEastAsia" w:hAnsiTheme="minorEastAsia"/>
          <w:szCs w:val="21"/>
        </w:rPr>
        <w:t>报价单位：</w:t>
      </w:r>
      <w:r>
        <w:rPr>
          <w:rFonts w:hint="eastAsia" w:asciiTheme="minorEastAsia" w:hAnsiTheme="minorEastAsia"/>
          <w:szCs w:val="21"/>
          <w:u w:val="single"/>
        </w:rPr>
        <w:t xml:space="preserve">                  </w:t>
      </w:r>
      <w:r>
        <w:rPr>
          <w:rFonts w:hint="eastAsia" w:asciiTheme="minorEastAsia" w:hAnsiTheme="minorEastAsia"/>
          <w:szCs w:val="21"/>
        </w:rPr>
        <w:t>（盖单位章）</w:t>
      </w:r>
    </w:p>
    <w:p w14:paraId="53BF319C">
      <w:pPr>
        <w:spacing w:line="560" w:lineRule="exact"/>
        <w:ind w:firstLine="420" w:firstLineChars="200"/>
        <w:rPr>
          <w:rFonts w:asciiTheme="minorEastAsia" w:hAnsiTheme="minorEastAsia"/>
          <w:szCs w:val="21"/>
          <w:u w:val="single"/>
        </w:rPr>
      </w:pPr>
      <w:r>
        <w:rPr>
          <w:rFonts w:hint="eastAsia" w:asciiTheme="minorEastAsia" w:hAnsiTheme="minorEastAsia"/>
          <w:szCs w:val="21"/>
        </w:rPr>
        <w:t xml:space="preserve">                                     联系人：</w:t>
      </w:r>
      <w:r>
        <w:rPr>
          <w:rFonts w:hint="eastAsia" w:asciiTheme="minorEastAsia" w:hAnsiTheme="minorEastAsia"/>
          <w:szCs w:val="21"/>
          <w:u w:val="single"/>
        </w:rPr>
        <w:t xml:space="preserve">       </w:t>
      </w:r>
      <w:r>
        <w:rPr>
          <w:rFonts w:hint="eastAsia" w:asciiTheme="minorEastAsia" w:hAnsiTheme="minorEastAsia"/>
          <w:szCs w:val="21"/>
        </w:rPr>
        <w:t>电话：</w:t>
      </w:r>
      <w:r>
        <w:rPr>
          <w:rFonts w:hint="eastAsia" w:asciiTheme="minorEastAsia" w:hAnsiTheme="minorEastAsia"/>
          <w:szCs w:val="21"/>
          <w:u w:val="single"/>
        </w:rPr>
        <w:t xml:space="preserve">             </w:t>
      </w:r>
    </w:p>
    <w:p w14:paraId="3513E782">
      <w:pPr>
        <w:spacing w:line="400" w:lineRule="exact"/>
        <w:rPr>
          <w:rFonts w:asciiTheme="minorEastAsia" w:hAnsiTheme="minorEastAsia"/>
          <w:szCs w:val="21"/>
        </w:rPr>
      </w:pPr>
      <w:r>
        <w:rPr>
          <w:rFonts w:hint="eastAsia" w:asciiTheme="minorEastAsia" w:hAnsiTheme="minorEastAsia"/>
          <w:szCs w:val="21"/>
        </w:rPr>
        <w:t xml:space="preserve">                                            </w:t>
      </w:r>
      <w:r>
        <w:rPr>
          <w:rFonts w:hint="eastAsia" w:asciiTheme="minorEastAsia" w:hAnsiTheme="minorEastAsia"/>
          <w:szCs w:val="21"/>
          <w:u w:val="single"/>
        </w:rPr>
        <w:t xml:space="preserve">       </w:t>
      </w:r>
      <w:r>
        <w:rPr>
          <w:rFonts w:hint="eastAsia" w:asciiTheme="minorEastAsia" w:hAnsiTheme="minorEastAsia"/>
          <w:szCs w:val="21"/>
        </w:rPr>
        <w:t>年</w:t>
      </w:r>
      <w:r>
        <w:rPr>
          <w:rFonts w:hint="eastAsia" w:asciiTheme="minorEastAsia" w:hAnsiTheme="minorEastAsia"/>
          <w:szCs w:val="21"/>
          <w:u w:val="single"/>
        </w:rPr>
        <w:t xml:space="preserve">       </w:t>
      </w:r>
      <w:r>
        <w:rPr>
          <w:rFonts w:hint="eastAsia" w:asciiTheme="minorEastAsia" w:hAnsiTheme="minorEastAsia"/>
          <w:szCs w:val="21"/>
        </w:rPr>
        <w:t>月</w:t>
      </w:r>
      <w:r>
        <w:rPr>
          <w:rFonts w:hint="eastAsia" w:asciiTheme="minorEastAsia" w:hAnsiTheme="minorEastAsia"/>
          <w:szCs w:val="21"/>
          <w:u w:val="single"/>
        </w:rPr>
        <w:t xml:space="preserve">       </w:t>
      </w:r>
      <w:r>
        <w:rPr>
          <w:rFonts w:hint="eastAsia" w:asciiTheme="minorEastAsia" w:hAnsiTheme="minorEastAsia"/>
          <w:szCs w:val="21"/>
        </w:rPr>
        <w:t>日</w:t>
      </w:r>
    </w:p>
    <w:p w14:paraId="68DF13F3">
      <w:pPr>
        <w:spacing w:line="400" w:lineRule="exact"/>
        <w:rPr>
          <w:rFonts w:ascii="黑体" w:hAnsi="黑体" w:eastAsia="黑体"/>
          <w:szCs w:val="21"/>
        </w:rPr>
      </w:pPr>
      <w:r>
        <w:rPr>
          <w:rFonts w:hint="eastAsia" w:ascii="黑体" w:hAnsi="黑体" w:eastAsia="黑体"/>
          <w:szCs w:val="21"/>
        </w:rPr>
        <w:t>说明：</w:t>
      </w:r>
    </w:p>
    <w:p w14:paraId="029A9FCC">
      <w:pPr>
        <w:spacing w:line="400" w:lineRule="exact"/>
        <w:rPr>
          <w:rFonts w:ascii="黑体" w:hAnsi="黑体" w:eastAsia="黑体"/>
          <w:szCs w:val="21"/>
        </w:rPr>
      </w:pPr>
      <w:r>
        <w:rPr>
          <w:rFonts w:hint="eastAsia" w:ascii="黑体" w:hAnsi="黑体" w:eastAsia="黑体"/>
          <w:szCs w:val="21"/>
        </w:rPr>
        <w:t>注：</w:t>
      </w:r>
    </w:p>
    <w:p w14:paraId="3936BBED">
      <w:pPr>
        <w:widowControl/>
        <w:spacing w:line="400" w:lineRule="exact"/>
        <w:jc w:val="left"/>
        <w:rPr>
          <w:rFonts w:ascii="黑体" w:hAnsi="黑体" w:eastAsia="黑体"/>
          <w:szCs w:val="21"/>
        </w:rPr>
      </w:pPr>
      <w:r>
        <w:rPr>
          <w:rFonts w:ascii="黑体" w:hAnsi="黑体" w:eastAsia="黑体"/>
          <w:szCs w:val="21"/>
        </w:rPr>
        <w:t>1</w:t>
      </w:r>
      <w:r>
        <w:rPr>
          <w:rFonts w:hint="eastAsia" w:ascii="黑体" w:hAnsi="黑体" w:eastAsia="黑体"/>
          <w:szCs w:val="21"/>
        </w:rPr>
        <w:t>.投标人必须据实填写，不得虚假应答，否则将取消其响应或中选资格。</w:t>
      </w:r>
    </w:p>
    <w:p w14:paraId="03D44E35">
      <w:pPr>
        <w:widowControl/>
        <w:spacing w:line="400" w:lineRule="exact"/>
        <w:jc w:val="left"/>
        <w:rPr>
          <w:rFonts w:ascii="黑体" w:hAnsi="黑体" w:eastAsia="黑体"/>
          <w:szCs w:val="21"/>
        </w:rPr>
      </w:pPr>
      <w:r>
        <w:rPr>
          <w:rFonts w:ascii="黑体" w:hAnsi="黑体" w:eastAsia="黑体"/>
          <w:szCs w:val="21"/>
        </w:rPr>
        <w:t>2</w:t>
      </w:r>
      <w:r>
        <w:rPr>
          <w:rFonts w:hint="eastAsia" w:ascii="黑体" w:hAnsi="黑体" w:eastAsia="黑体"/>
          <w:szCs w:val="21"/>
        </w:rPr>
        <w:t xml:space="preserve">.若未明确应答的条款均视为接受及满足采购文件要求。  </w:t>
      </w:r>
    </w:p>
    <w:p w14:paraId="02C90932">
      <w:pPr>
        <w:spacing w:line="400" w:lineRule="exact"/>
        <w:ind w:firstLine="2730" w:firstLineChars="1300"/>
        <w:jc w:val="right"/>
        <w:rPr>
          <w:rFonts w:ascii="黑体" w:hAnsi="黑体" w:eastAsia="黑体"/>
          <w:szCs w:val="21"/>
        </w:rPr>
      </w:pPr>
      <w:r>
        <w:rPr>
          <w:rFonts w:hint="eastAsia" w:ascii="黑体" w:hAnsi="黑体" w:eastAsia="黑体"/>
          <w:kern w:val="0"/>
          <w:szCs w:val="21"/>
        </w:rPr>
        <w:t>投标人名称</w:t>
      </w:r>
      <w:r>
        <w:rPr>
          <w:rFonts w:hint="eastAsia" w:ascii="黑体" w:hAnsi="黑体" w:eastAsia="黑体"/>
          <w:szCs w:val="21"/>
        </w:rPr>
        <w:t>（全称并加盖公章）</w:t>
      </w:r>
      <w:r>
        <w:rPr>
          <w:rFonts w:hint="eastAsia" w:ascii="黑体" w:hAnsi="黑体" w:eastAsia="黑体"/>
          <w:kern w:val="0"/>
          <w:szCs w:val="21"/>
        </w:rPr>
        <w:t>：</w:t>
      </w:r>
      <w:r>
        <w:rPr>
          <w:rFonts w:hint="eastAsia" w:ascii="黑体" w:hAnsi="黑体" w:eastAsia="黑体"/>
          <w:kern w:val="0"/>
          <w:szCs w:val="21"/>
          <w:u w:val="single"/>
        </w:rPr>
        <w:t xml:space="preserve">       </w:t>
      </w:r>
      <w:r>
        <w:rPr>
          <w:rFonts w:hint="eastAsia" w:ascii="黑体" w:hAnsi="黑体" w:eastAsia="黑体"/>
          <w:szCs w:val="21"/>
          <w:u w:val="single"/>
        </w:rPr>
        <w:t xml:space="preserve">         </w:t>
      </w:r>
    </w:p>
    <w:p w14:paraId="757270A5">
      <w:pPr>
        <w:spacing w:line="400" w:lineRule="exact"/>
        <w:ind w:firstLine="2730" w:firstLineChars="1300"/>
        <w:jc w:val="right"/>
        <w:rPr>
          <w:rFonts w:ascii="黑体" w:hAnsi="黑体" w:eastAsia="黑体"/>
          <w:szCs w:val="21"/>
        </w:rPr>
      </w:pPr>
      <w:r>
        <w:rPr>
          <w:rFonts w:hint="eastAsia" w:ascii="黑体" w:hAnsi="黑体" w:eastAsia="黑体"/>
          <w:bCs/>
          <w:szCs w:val="21"/>
        </w:rPr>
        <w:t>日 期:</w:t>
      </w:r>
      <w:r>
        <w:rPr>
          <w:rFonts w:hint="eastAsia" w:ascii="黑体" w:hAnsi="黑体" w:eastAsia="黑体"/>
          <w:bCs/>
          <w:szCs w:val="21"/>
          <w:u w:val="single"/>
        </w:rPr>
        <w:t xml:space="preserve">      </w:t>
      </w:r>
      <w:r>
        <w:rPr>
          <w:rFonts w:hint="eastAsia" w:ascii="黑体" w:hAnsi="黑体" w:eastAsia="黑体"/>
          <w:bCs/>
          <w:szCs w:val="21"/>
        </w:rPr>
        <w:t>年</w:t>
      </w:r>
      <w:r>
        <w:rPr>
          <w:rFonts w:hint="eastAsia" w:ascii="黑体" w:hAnsi="黑体" w:eastAsia="黑体"/>
          <w:bCs/>
          <w:szCs w:val="21"/>
          <w:u w:val="single"/>
        </w:rPr>
        <w:t xml:space="preserve">    </w:t>
      </w:r>
      <w:r>
        <w:rPr>
          <w:rFonts w:hint="eastAsia" w:ascii="黑体" w:hAnsi="黑体" w:eastAsia="黑体"/>
          <w:bCs/>
          <w:szCs w:val="21"/>
        </w:rPr>
        <w:t>月</w:t>
      </w:r>
      <w:r>
        <w:rPr>
          <w:rFonts w:hint="eastAsia" w:ascii="黑体" w:hAnsi="黑体" w:eastAsia="黑体"/>
          <w:bCs/>
          <w:szCs w:val="21"/>
          <w:u w:val="single"/>
        </w:rPr>
        <w:t xml:space="preserve">    </w:t>
      </w:r>
      <w:r>
        <w:rPr>
          <w:rFonts w:hint="eastAsia" w:ascii="黑体" w:hAnsi="黑体" w:eastAsia="黑体"/>
          <w:bCs/>
          <w:szCs w:val="21"/>
        </w:rPr>
        <w:t>日</w:t>
      </w:r>
    </w:p>
    <w:p w14:paraId="323459B4">
      <w:pPr>
        <w:spacing w:line="560" w:lineRule="exact"/>
        <w:ind w:firstLine="420" w:firstLineChars="200"/>
        <w:rPr>
          <w:rFonts w:ascii="宋体" w:hAnsi="宋体" w:cs="宋体"/>
          <w:szCs w:val="21"/>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p>
    <w:p w14:paraId="53DC4B43">
      <w:pPr>
        <w:numPr>
          <w:ilvl w:val="0"/>
          <w:numId w:val="1"/>
        </w:numPr>
        <w:spacing w:line="360" w:lineRule="auto"/>
        <w:rPr>
          <w:rFonts w:ascii="宋体" w:hAnsi="宋体"/>
          <w:b/>
          <w:szCs w:val="21"/>
          <w:u w:val="single"/>
        </w:rPr>
      </w:pPr>
      <w:r>
        <w:rPr>
          <w:rFonts w:hint="eastAsia" w:ascii="宋体" w:hAnsi="宋体"/>
          <w:b/>
          <w:szCs w:val="21"/>
        </w:rPr>
        <w:t xml:space="preserve">完成时间： </w:t>
      </w:r>
      <w:r>
        <w:rPr>
          <w:rFonts w:ascii="宋体" w:hAnsi="宋体"/>
          <w:b/>
          <w:szCs w:val="21"/>
          <w:u w:val="single"/>
        </w:rPr>
        <w:t xml:space="preserve">                                   </w:t>
      </w:r>
    </w:p>
    <w:p w14:paraId="76762976">
      <w:pPr>
        <w:numPr>
          <w:ilvl w:val="0"/>
          <w:numId w:val="1"/>
        </w:numPr>
        <w:spacing w:line="360" w:lineRule="auto"/>
        <w:rPr>
          <w:rFonts w:ascii="宋体" w:hAnsi="宋体"/>
          <w:b/>
          <w:szCs w:val="21"/>
        </w:rPr>
      </w:pPr>
      <w:r>
        <w:rPr>
          <w:rFonts w:hint="eastAsia" w:ascii="宋体" w:hAnsi="宋体"/>
          <w:b/>
          <w:szCs w:val="21"/>
        </w:rPr>
        <w:t>税率：</w:t>
      </w:r>
      <w:r>
        <w:rPr>
          <w:rFonts w:hint="eastAsia" w:ascii="宋体" w:hAnsi="宋体"/>
          <w:b/>
          <w:szCs w:val="21"/>
          <w:u w:val="single"/>
        </w:rPr>
        <w:t xml:space="preserve"> </w:t>
      </w:r>
      <w:r>
        <w:rPr>
          <w:rFonts w:ascii="宋体" w:hAnsi="宋体"/>
          <w:b/>
          <w:szCs w:val="21"/>
          <w:u w:val="single"/>
        </w:rPr>
        <w:t xml:space="preserve">                                       </w:t>
      </w:r>
      <w:r>
        <w:rPr>
          <w:rFonts w:hint="eastAsia" w:ascii="宋体" w:hAnsi="宋体"/>
          <w:b/>
          <w:szCs w:val="21"/>
        </w:rPr>
        <w:t xml:space="preserve"> </w:t>
      </w:r>
      <w:r>
        <w:rPr>
          <w:rFonts w:ascii="宋体" w:hAnsi="宋体"/>
          <w:b/>
          <w:szCs w:val="21"/>
        </w:rPr>
        <w:t xml:space="preserve">                 </w:t>
      </w:r>
    </w:p>
    <w:p w14:paraId="61F350DA">
      <w:pPr>
        <w:numPr>
          <w:ilvl w:val="0"/>
          <w:numId w:val="1"/>
        </w:numPr>
        <w:spacing w:line="360" w:lineRule="auto"/>
        <w:rPr>
          <w:rFonts w:ascii="宋体" w:hAnsi="宋体"/>
          <w:b/>
          <w:szCs w:val="21"/>
        </w:rPr>
      </w:pPr>
      <w:r>
        <w:rPr>
          <w:rFonts w:hint="eastAsia" w:ascii="宋体" w:hAnsi="宋体"/>
          <w:b/>
          <w:szCs w:val="21"/>
        </w:rPr>
        <w:t>付款方式：</w:t>
      </w:r>
      <w:r>
        <w:rPr>
          <w:rFonts w:hint="eastAsia" w:ascii="宋体" w:hAnsi="宋体"/>
          <w:b/>
          <w:szCs w:val="21"/>
          <w:u w:val="single"/>
        </w:rPr>
        <w:t xml:space="preserve"> </w:t>
      </w:r>
      <w:r>
        <w:rPr>
          <w:rFonts w:ascii="宋体" w:hAnsi="宋体"/>
          <w:b/>
          <w:szCs w:val="21"/>
          <w:u w:val="single"/>
        </w:rPr>
        <w:t xml:space="preserve">                                   </w:t>
      </w:r>
    </w:p>
    <w:p w14:paraId="534D6E09">
      <w:pPr>
        <w:spacing w:line="360" w:lineRule="auto"/>
        <w:rPr>
          <w:rFonts w:ascii="宋体" w:hAnsi="宋体"/>
          <w:szCs w:val="21"/>
        </w:rPr>
      </w:pPr>
      <w:r>
        <w:rPr>
          <w:rFonts w:hint="eastAsia" w:ascii="宋体" w:hAnsi="宋体"/>
          <w:b/>
          <w:szCs w:val="21"/>
        </w:rPr>
        <w:t>（五）承 诺 书</w:t>
      </w:r>
    </w:p>
    <w:p w14:paraId="7174C5C3">
      <w:pPr>
        <w:spacing w:line="360" w:lineRule="auto"/>
        <w:rPr>
          <w:rFonts w:ascii="宋体" w:hAnsi="宋体"/>
          <w:szCs w:val="21"/>
        </w:rPr>
      </w:pPr>
      <w:r>
        <w:rPr>
          <w:rFonts w:hint="eastAsia" w:ascii="宋体" w:hAnsi="宋体"/>
          <w:szCs w:val="21"/>
        </w:rPr>
        <w:t>致：宏达股份有限公司</w:t>
      </w:r>
    </w:p>
    <w:p w14:paraId="1C574AE4">
      <w:pPr>
        <w:widowControl/>
        <w:ind w:firstLine="420" w:firstLineChars="200"/>
        <w:rPr>
          <w:rFonts w:ascii="宋体" w:hAnsi="宋体"/>
          <w:szCs w:val="21"/>
          <w:u w:val="single"/>
        </w:rPr>
      </w:pPr>
      <w:r>
        <w:rPr>
          <w:rFonts w:hint="eastAsia" w:ascii="宋体" w:hAnsi="宋体"/>
          <w:szCs w:val="21"/>
        </w:rPr>
        <w:t>我公司自愿参与</w:t>
      </w:r>
      <w:r>
        <w:rPr>
          <w:rFonts w:hint="eastAsia" w:ascii="宋体" w:hAnsi="宋体"/>
          <w:szCs w:val="21"/>
          <w:u w:val="single"/>
        </w:rPr>
        <w:t>川润公司国家重点县检查隐患问题整改设计邀标采购，现郑重作出以下承诺：</w:t>
      </w:r>
    </w:p>
    <w:p w14:paraId="3F994577">
      <w:pPr>
        <w:spacing w:line="360" w:lineRule="auto"/>
        <w:ind w:firstLine="420" w:firstLineChars="200"/>
        <w:rPr>
          <w:rFonts w:ascii="宋体" w:hAnsi="宋体"/>
          <w:szCs w:val="21"/>
        </w:rPr>
      </w:pPr>
      <w:r>
        <w:rPr>
          <w:rFonts w:hint="eastAsia" w:ascii="宋体" w:hAnsi="宋体"/>
          <w:szCs w:val="21"/>
        </w:rPr>
        <w:t>⑴我公司提供的物资质量、环保、安全符合国家要求；</w:t>
      </w:r>
    </w:p>
    <w:p w14:paraId="49BFCB82">
      <w:pPr>
        <w:spacing w:line="360" w:lineRule="auto"/>
        <w:ind w:left="420" w:leftChars="200"/>
        <w:rPr>
          <w:rFonts w:ascii="宋体" w:hAnsi="宋体"/>
          <w:szCs w:val="21"/>
        </w:rPr>
      </w:pPr>
      <w:r>
        <w:rPr>
          <w:rFonts w:hint="eastAsia" w:ascii="宋体" w:hAnsi="宋体"/>
          <w:szCs w:val="21"/>
        </w:rPr>
        <w:t>⑵我公司具有良好的信誉、企业处于正常生产经营状态；</w:t>
      </w:r>
    </w:p>
    <w:p w14:paraId="2FBAF91D">
      <w:pPr>
        <w:spacing w:line="360" w:lineRule="auto"/>
        <w:ind w:left="420" w:leftChars="200"/>
        <w:rPr>
          <w:rFonts w:ascii="宋体" w:hAnsi="宋体"/>
          <w:szCs w:val="21"/>
        </w:rPr>
      </w:pPr>
      <w:r>
        <w:rPr>
          <w:rFonts w:hint="eastAsia" w:ascii="宋体" w:hAnsi="宋体"/>
          <w:szCs w:val="21"/>
        </w:rPr>
        <w:t>⑶我公司完全按报价文件严格执行。</w:t>
      </w:r>
    </w:p>
    <w:p w14:paraId="3C2FFB45">
      <w:pPr>
        <w:spacing w:line="360" w:lineRule="auto"/>
        <w:ind w:firstLine="420" w:firstLineChars="200"/>
        <w:rPr>
          <w:rFonts w:ascii="宋体" w:hAnsi="宋体"/>
          <w:szCs w:val="21"/>
        </w:rPr>
      </w:pPr>
      <w:r>
        <w:rPr>
          <w:rFonts w:hint="eastAsia" w:ascii="宋体" w:hAnsi="宋体"/>
          <w:szCs w:val="21"/>
        </w:rPr>
        <w:t>⑷我公司将严格遵守投标的各项法律法规和程序，若有违规行为，愿意承担相应法律责任。</w:t>
      </w:r>
    </w:p>
    <w:p w14:paraId="0251D26C">
      <w:pPr>
        <w:spacing w:line="360" w:lineRule="auto"/>
        <w:ind w:firstLine="420" w:firstLineChars="200"/>
        <w:rPr>
          <w:rFonts w:ascii="宋体" w:hAnsi="宋体"/>
          <w:szCs w:val="21"/>
        </w:rPr>
      </w:pPr>
      <w:r>
        <w:rPr>
          <w:rFonts w:hint="eastAsia" w:ascii="宋体" w:hAnsi="宋体"/>
          <w:szCs w:val="21"/>
        </w:rPr>
        <w:t>⑸若中标，我公司将按照合同约定的时间、地点和方式交付物资，确保项目顺利推进。</w:t>
      </w:r>
    </w:p>
    <w:p w14:paraId="68025E15">
      <w:pPr>
        <w:spacing w:line="360" w:lineRule="auto"/>
        <w:ind w:firstLine="420" w:firstLineChars="200"/>
        <w:rPr>
          <w:rFonts w:ascii="宋体" w:hAnsi="宋体"/>
          <w:szCs w:val="21"/>
        </w:rPr>
      </w:pPr>
      <w:r>
        <w:rPr>
          <w:rFonts w:hint="eastAsia" w:ascii="宋体" w:hAnsi="宋体"/>
          <w:szCs w:val="21"/>
        </w:rPr>
        <w:t>⑹我公司保证所提供的所有资料真实、准确、有效，如有虚假，愿意接受相应处罚。 一旦我方中标，愿意按照招标文件和招标人的规定和要求签订购销合同，并信守合同、保证质量、如期交货。</w:t>
      </w:r>
    </w:p>
    <w:p w14:paraId="4938CB1D">
      <w:pPr>
        <w:spacing w:line="360" w:lineRule="auto"/>
        <w:ind w:firstLine="420" w:firstLineChars="200"/>
        <w:rPr>
          <w:rFonts w:ascii="宋体" w:hAnsi="宋体"/>
          <w:szCs w:val="21"/>
        </w:rPr>
      </w:pPr>
    </w:p>
    <w:p w14:paraId="2B969833">
      <w:pPr>
        <w:spacing w:line="360" w:lineRule="auto"/>
        <w:ind w:left="420" w:leftChars="200"/>
        <w:rPr>
          <w:rFonts w:ascii="宋体" w:hAnsi="宋体"/>
          <w:szCs w:val="21"/>
        </w:rPr>
      </w:pPr>
    </w:p>
    <w:p w14:paraId="52511303">
      <w:pPr>
        <w:spacing w:line="360" w:lineRule="auto"/>
        <w:ind w:firstLine="420" w:firstLineChars="200"/>
        <w:jc w:val="left"/>
        <w:rPr>
          <w:rFonts w:ascii="宋体" w:hAnsi="宋体"/>
          <w:szCs w:val="21"/>
        </w:rPr>
      </w:pPr>
      <w:r>
        <w:rPr>
          <w:rFonts w:hint="eastAsia" w:ascii="宋体" w:hAnsi="宋体"/>
          <w:szCs w:val="21"/>
        </w:rPr>
        <w:t xml:space="preserve">                        投标单位名称：</w:t>
      </w:r>
      <w:r>
        <w:rPr>
          <w:rFonts w:hint="eastAsia" w:ascii="宋体" w:hAnsi="宋体"/>
          <w:szCs w:val="21"/>
          <w:u w:val="single"/>
        </w:rPr>
        <w:t xml:space="preserve">              </w:t>
      </w:r>
      <w:r>
        <w:rPr>
          <w:rFonts w:hint="eastAsia" w:ascii="宋体" w:hAnsi="宋体"/>
          <w:szCs w:val="21"/>
        </w:rPr>
        <w:t>（盖单位章）</w:t>
      </w:r>
    </w:p>
    <w:p w14:paraId="04370F14">
      <w:pPr>
        <w:spacing w:line="360" w:lineRule="auto"/>
        <w:ind w:firstLine="420" w:firstLineChars="200"/>
        <w:rPr>
          <w:rFonts w:ascii="宋体" w:hAnsi="宋体"/>
          <w:szCs w:val="21"/>
        </w:rPr>
      </w:pPr>
      <w:r>
        <w:rPr>
          <w:rFonts w:hint="eastAsia" w:ascii="宋体" w:hAnsi="宋体"/>
          <w:szCs w:val="21"/>
        </w:rPr>
        <w:t xml:space="preserve">                                   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CB6D448">
      <w:pPr>
        <w:ind w:firstLine="422" w:firstLineChars="200"/>
        <w:rPr>
          <w:rFonts w:ascii="宋体" w:hAnsi="宋体" w:cs="宋体"/>
          <w:b/>
          <w:bCs/>
          <w:szCs w:val="21"/>
        </w:rPr>
      </w:pPr>
    </w:p>
    <w:p w14:paraId="1135AEBA">
      <w:pPr>
        <w:pStyle w:val="5"/>
        <w:ind w:firstLine="422"/>
        <w:rPr>
          <w:b/>
          <w:bCs/>
          <w:sz w:val="21"/>
          <w:szCs w:val="21"/>
        </w:rPr>
      </w:pPr>
    </w:p>
    <w:p w14:paraId="276B9E4F">
      <w:pPr>
        <w:pStyle w:val="12"/>
        <w:ind w:firstLine="422" w:firstLineChars="200"/>
        <w:rPr>
          <w:rFonts w:ascii="宋体" w:hAnsi="宋体" w:cs="宋体"/>
          <w:b/>
          <w:bCs/>
          <w:sz w:val="21"/>
          <w:szCs w:val="21"/>
        </w:rPr>
      </w:pPr>
    </w:p>
    <w:p w14:paraId="5999D4C1">
      <w:pPr>
        <w:ind w:firstLine="420" w:firstLineChars="200"/>
        <w:rPr>
          <w:szCs w:val="21"/>
        </w:rPr>
      </w:pPr>
    </w:p>
    <w:p w14:paraId="234704E9">
      <w:pPr>
        <w:snapToGrid w:val="0"/>
        <w:spacing w:line="360" w:lineRule="auto"/>
        <w:ind w:firstLine="422" w:firstLineChars="200"/>
        <w:jc w:val="left"/>
        <w:rPr>
          <w:rFonts w:hAnsi="宋体" w:cs="宋体"/>
          <w:b/>
          <w:szCs w:val="21"/>
        </w:rPr>
      </w:pPr>
    </w:p>
    <w:p w14:paraId="47AE90E1">
      <w:pPr>
        <w:spacing w:line="360" w:lineRule="exact"/>
        <w:rPr>
          <w:rFonts w:ascii="黑体" w:hAnsi="黑体" w:eastAsia="黑体" w:cs="宋体"/>
          <w:b/>
          <w:kern w:val="0"/>
          <w:szCs w:val="21"/>
        </w:rPr>
      </w:pPr>
    </w:p>
    <w:p w14:paraId="01D795C5">
      <w:pPr>
        <w:spacing w:line="360" w:lineRule="exact"/>
        <w:rPr>
          <w:rFonts w:ascii="黑体" w:hAnsi="黑体" w:eastAsia="黑体" w:cs="宋体"/>
          <w:b/>
          <w:kern w:val="0"/>
          <w:szCs w:val="21"/>
        </w:rPr>
      </w:pPr>
    </w:p>
    <w:p w14:paraId="398C735C">
      <w:pPr>
        <w:spacing w:line="360" w:lineRule="exact"/>
        <w:rPr>
          <w:rFonts w:ascii="黑体" w:hAnsi="黑体" w:eastAsia="黑体" w:cs="宋体"/>
          <w:b/>
          <w:kern w:val="0"/>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A9D90">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EE607">
    <w:pPr>
      <w:pStyle w:val="10"/>
      <w:ind w:right="360"/>
      <w:jc w:val="center"/>
    </w:pPr>
    <w:r>
      <w:fldChar w:fldCharType="begin"/>
    </w:r>
    <w:r>
      <w:rPr>
        <w:rStyle w:val="21"/>
      </w:rPr>
      <w:instrText xml:space="preserve"> PAGE </w:instrText>
    </w:r>
    <w:r>
      <w:fldChar w:fldCharType="separate"/>
    </w:r>
    <w:r>
      <w:rPr>
        <w:rStyle w:val="21"/>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FE134">
    <w:pPr>
      <w:pStyle w:val="10"/>
      <w:framePr w:wrap="around" w:vAnchor="text" w:hAnchor="margin" w:xAlign="center" w:y="1"/>
      <w:rPr>
        <w:rStyle w:val="21"/>
      </w:rPr>
    </w:pPr>
    <w:r>
      <w:fldChar w:fldCharType="begin"/>
    </w:r>
    <w:r>
      <w:rPr>
        <w:rStyle w:val="21"/>
      </w:rPr>
      <w:instrText xml:space="preserve">PAGE  </w:instrText>
    </w:r>
    <w:r>
      <w:fldChar w:fldCharType="separate"/>
    </w:r>
    <w:r>
      <w:rPr>
        <w:rStyle w:val="21"/>
      </w:rPr>
      <w:t>4</w:t>
    </w:r>
    <w:r>
      <w:fldChar w:fldCharType="end"/>
    </w:r>
  </w:p>
  <w:p w14:paraId="5C6C621E">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B59D">
    <w:pPr>
      <w:pStyle w:val="10"/>
      <w:framePr w:wrap="around" w:vAnchor="text" w:hAnchor="margin" w:xAlign="center" w:y="1"/>
      <w:rPr>
        <w:rStyle w:val="21"/>
      </w:rPr>
    </w:pPr>
    <w:r>
      <w:fldChar w:fldCharType="begin"/>
    </w:r>
    <w:r>
      <w:rPr>
        <w:rStyle w:val="21"/>
      </w:rPr>
      <w:instrText xml:space="preserve">PAGE  </w:instrText>
    </w:r>
    <w:r>
      <w:fldChar w:fldCharType="end"/>
    </w:r>
  </w:p>
  <w:p w14:paraId="482D3B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00C58">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3D2ACC"/>
    <w:multiLevelType w:val="singleLevel"/>
    <w:tmpl w:val="1A3D2A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36D67"/>
    <w:rsid w:val="00044B92"/>
    <w:rsid w:val="0005211C"/>
    <w:rsid w:val="00061A36"/>
    <w:rsid w:val="00065543"/>
    <w:rsid w:val="00066988"/>
    <w:rsid w:val="00071230"/>
    <w:rsid w:val="00071C22"/>
    <w:rsid w:val="000722E8"/>
    <w:rsid w:val="0007785F"/>
    <w:rsid w:val="0008220C"/>
    <w:rsid w:val="0008625B"/>
    <w:rsid w:val="000A02BB"/>
    <w:rsid w:val="000A3E50"/>
    <w:rsid w:val="000A4117"/>
    <w:rsid w:val="000B2E60"/>
    <w:rsid w:val="000C142F"/>
    <w:rsid w:val="000C1EB1"/>
    <w:rsid w:val="000C4A4C"/>
    <w:rsid w:val="000D0DAB"/>
    <w:rsid w:val="000F19DC"/>
    <w:rsid w:val="000F24C0"/>
    <w:rsid w:val="000F718E"/>
    <w:rsid w:val="00104EBC"/>
    <w:rsid w:val="0011300F"/>
    <w:rsid w:val="001212CE"/>
    <w:rsid w:val="0013608B"/>
    <w:rsid w:val="001427EF"/>
    <w:rsid w:val="00152F10"/>
    <w:rsid w:val="001606EB"/>
    <w:rsid w:val="00161949"/>
    <w:rsid w:val="00165984"/>
    <w:rsid w:val="001715B2"/>
    <w:rsid w:val="00172B3E"/>
    <w:rsid w:val="00174952"/>
    <w:rsid w:val="00174C25"/>
    <w:rsid w:val="00190BEB"/>
    <w:rsid w:val="00195548"/>
    <w:rsid w:val="001D2A71"/>
    <w:rsid w:val="001D38BC"/>
    <w:rsid w:val="001D59C1"/>
    <w:rsid w:val="001E2525"/>
    <w:rsid w:val="001E501C"/>
    <w:rsid w:val="001E578D"/>
    <w:rsid w:val="001F30C8"/>
    <w:rsid w:val="00204827"/>
    <w:rsid w:val="00205084"/>
    <w:rsid w:val="00214289"/>
    <w:rsid w:val="002203ED"/>
    <w:rsid w:val="00222EEC"/>
    <w:rsid w:val="00262E43"/>
    <w:rsid w:val="00270166"/>
    <w:rsid w:val="0027355F"/>
    <w:rsid w:val="00295E7C"/>
    <w:rsid w:val="00296BA9"/>
    <w:rsid w:val="002A2975"/>
    <w:rsid w:val="002B167D"/>
    <w:rsid w:val="002B37D6"/>
    <w:rsid w:val="002C0F82"/>
    <w:rsid w:val="002C4DAC"/>
    <w:rsid w:val="002C6AA4"/>
    <w:rsid w:val="002D02EB"/>
    <w:rsid w:val="002D0865"/>
    <w:rsid w:val="002D190E"/>
    <w:rsid w:val="002D1D0F"/>
    <w:rsid w:val="002E76AE"/>
    <w:rsid w:val="002E7A79"/>
    <w:rsid w:val="002F2772"/>
    <w:rsid w:val="00301EF7"/>
    <w:rsid w:val="003061C3"/>
    <w:rsid w:val="0031109D"/>
    <w:rsid w:val="00312836"/>
    <w:rsid w:val="00337D58"/>
    <w:rsid w:val="0034055A"/>
    <w:rsid w:val="003414F3"/>
    <w:rsid w:val="00346FB6"/>
    <w:rsid w:val="003470FC"/>
    <w:rsid w:val="003476B8"/>
    <w:rsid w:val="003550A6"/>
    <w:rsid w:val="00361905"/>
    <w:rsid w:val="00362412"/>
    <w:rsid w:val="003646F9"/>
    <w:rsid w:val="003666B5"/>
    <w:rsid w:val="00372182"/>
    <w:rsid w:val="003762CA"/>
    <w:rsid w:val="00383CF0"/>
    <w:rsid w:val="00393C4C"/>
    <w:rsid w:val="00397663"/>
    <w:rsid w:val="003A30DB"/>
    <w:rsid w:val="003A6BF8"/>
    <w:rsid w:val="003C0DF1"/>
    <w:rsid w:val="003C6CE6"/>
    <w:rsid w:val="003D2A0C"/>
    <w:rsid w:val="003D39EC"/>
    <w:rsid w:val="003D5F59"/>
    <w:rsid w:val="003D611B"/>
    <w:rsid w:val="003D62B6"/>
    <w:rsid w:val="003D64A9"/>
    <w:rsid w:val="003D77F5"/>
    <w:rsid w:val="003E4EC9"/>
    <w:rsid w:val="0040534D"/>
    <w:rsid w:val="00427D3E"/>
    <w:rsid w:val="004448F3"/>
    <w:rsid w:val="0045342B"/>
    <w:rsid w:val="004620A2"/>
    <w:rsid w:val="004633FD"/>
    <w:rsid w:val="004936BE"/>
    <w:rsid w:val="004A40F2"/>
    <w:rsid w:val="004B5212"/>
    <w:rsid w:val="004B55EE"/>
    <w:rsid w:val="004B7B6D"/>
    <w:rsid w:val="004C3A30"/>
    <w:rsid w:val="004C7167"/>
    <w:rsid w:val="004D2A26"/>
    <w:rsid w:val="004D69C7"/>
    <w:rsid w:val="004E033B"/>
    <w:rsid w:val="004E1035"/>
    <w:rsid w:val="004E1ADC"/>
    <w:rsid w:val="004E6ED5"/>
    <w:rsid w:val="004F498D"/>
    <w:rsid w:val="004F4AB3"/>
    <w:rsid w:val="004F61D5"/>
    <w:rsid w:val="004F76FC"/>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1474"/>
    <w:rsid w:val="005815ED"/>
    <w:rsid w:val="00585356"/>
    <w:rsid w:val="00585C74"/>
    <w:rsid w:val="00591C21"/>
    <w:rsid w:val="00592784"/>
    <w:rsid w:val="005A0761"/>
    <w:rsid w:val="005B29C8"/>
    <w:rsid w:val="005C0AA7"/>
    <w:rsid w:val="005C2AF9"/>
    <w:rsid w:val="005C5058"/>
    <w:rsid w:val="005C51F1"/>
    <w:rsid w:val="005C56D6"/>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61564"/>
    <w:rsid w:val="0067099D"/>
    <w:rsid w:val="00674861"/>
    <w:rsid w:val="00683C35"/>
    <w:rsid w:val="006947BA"/>
    <w:rsid w:val="006A02BA"/>
    <w:rsid w:val="006B05D3"/>
    <w:rsid w:val="006B0C12"/>
    <w:rsid w:val="006C4044"/>
    <w:rsid w:val="006D68F2"/>
    <w:rsid w:val="006E2ACF"/>
    <w:rsid w:val="006E3C45"/>
    <w:rsid w:val="006E42DF"/>
    <w:rsid w:val="006F2103"/>
    <w:rsid w:val="006F5241"/>
    <w:rsid w:val="007007B8"/>
    <w:rsid w:val="00710417"/>
    <w:rsid w:val="00715769"/>
    <w:rsid w:val="00725B99"/>
    <w:rsid w:val="00725D3D"/>
    <w:rsid w:val="0072609D"/>
    <w:rsid w:val="00734DC9"/>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6725"/>
    <w:rsid w:val="007F2EA0"/>
    <w:rsid w:val="007F53CF"/>
    <w:rsid w:val="00802C6F"/>
    <w:rsid w:val="00805453"/>
    <w:rsid w:val="00805D41"/>
    <w:rsid w:val="008105C3"/>
    <w:rsid w:val="00812E44"/>
    <w:rsid w:val="008336F8"/>
    <w:rsid w:val="00834F70"/>
    <w:rsid w:val="00841F48"/>
    <w:rsid w:val="00861E6D"/>
    <w:rsid w:val="00871447"/>
    <w:rsid w:val="008748A5"/>
    <w:rsid w:val="0089653A"/>
    <w:rsid w:val="008A0274"/>
    <w:rsid w:val="008A69E3"/>
    <w:rsid w:val="008A6BDD"/>
    <w:rsid w:val="008A6C09"/>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34D0"/>
    <w:rsid w:val="0090667F"/>
    <w:rsid w:val="00916E73"/>
    <w:rsid w:val="009208C0"/>
    <w:rsid w:val="0092587A"/>
    <w:rsid w:val="00925DF5"/>
    <w:rsid w:val="009419AE"/>
    <w:rsid w:val="00952C4B"/>
    <w:rsid w:val="00953BFF"/>
    <w:rsid w:val="00961BCB"/>
    <w:rsid w:val="00966557"/>
    <w:rsid w:val="00973184"/>
    <w:rsid w:val="00973E4D"/>
    <w:rsid w:val="0097465C"/>
    <w:rsid w:val="009775B6"/>
    <w:rsid w:val="00977EC1"/>
    <w:rsid w:val="009876E0"/>
    <w:rsid w:val="00993B97"/>
    <w:rsid w:val="00993CEF"/>
    <w:rsid w:val="00996ACF"/>
    <w:rsid w:val="009B35E0"/>
    <w:rsid w:val="009C18F3"/>
    <w:rsid w:val="009C5041"/>
    <w:rsid w:val="009D0F62"/>
    <w:rsid w:val="009D2416"/>
    <w:rsid w:val="009E0D89"/>
    <w:rsid w:val="009E3DF6"/>
    <w:rsid w:val="009E7305"/>
    <w:rsid w:val="009F2FCD"/>
    <w:rsid w:val="009F55E1"/>
    <w:rsid w:val="009F6D72"/>
    <w:rsid w:val="00A01C7B"/>
    <w:rsid w:val="00A20F8B"/>
    <w:rsid w:val="00A2500C"/>
    <w:rsid w:val="00A2577F"/>
    <w:rsid w:val="00A30F6D"/>
    <w:rsid w:val="00A44276"/>
    <w:rsid w:val="00A516CB"/>
    <w:rsid w:val="00A52FB5"/>
    <w:rsid w:val="00A70652"/>
    <w:rsid w:val="00A82099"/>
    <w:rsid w:val="00A945A7"/>
    <w:rsid w:val="00A9571D"/>
    <w:rsid w:val="00AA1D75"/>
    <w:rsid w:val="00AA2C4C"/>
    <w:rsid w:val="00AB5F82"/>
    <w:rsid w:val="00AC3ABC"/>
    <w:rsid w:val="00AC4B9D"/>
    <w:rsid w:val="00AC7A9E"/>
    <w:rsid w:val="00AD51AE"/>
    <w:rsid w:val="00AE06F0"/>
    <w:rsid w:val="00AE0FC0"/>
    <w:rsid w:val="00AE393B"/>
    <w:rsid w:val="00B10379"/>
    <w:rsid w:val="00B12B53"/>
    <w:rsid w:val="00B204A9"/>
    <w:rsid w:val="00B24FFF"/>
    <w:rsid w:val="00B317AE"/>
    <w:rsid w:val="00B55EA0"/>
    <w:rsid w:val="00B64EA1"/>
    <w:rsid w:val="00B65751"/>
    <w:rsid w:val="00B66EE0"/>
    <w:rsid w:val="00B7470B"/>
    <w:rsid w:val="00B82DBD"/>
    <w:rsid w:val="00B835BF"/>
    <w:rsid w:val="00B83D0F"/>
    <w:rsid w:val="00B83D4B"/>
    <w:rsid w:val="00B842AB"/>
    <w:rsid w:val="00B91007"/>
    <w:rsid w:val="00B929BE"/>
    <w:rsid w:val="00BA2D0B"/>
    <w:rsid w:val="00BA54FE"/>
    <w:rsid w:val="00BB1BED"/>
    <w:rsid w:val="00BB6C69"/>
    <w:rsid w:val="00BC3933"/>
    <w:rsid w:val="00BD2FAA"/>
    <w:rsid w:val="00BE6C37"/>
    <w:rsid w:val="00BE711C"/>
    <w:rsid w:val="00BE732A"/>
    <w:rsid w:val="00BF5864"/>
    <w:rsid w:val="00BF5F53"/>
    <w:rsid w:val="00C06230"/>
    <w:rsid w:val="00C07394"/>
    <w:rsid w:val="00C12AB1"/>
    <w:rsid w:val="00C16D22"/>
    <w:rsid w:val="00C23E07"/>
    <w:rsid w:val="00C2542F"/>
    <w:rsid w:val="00C2736E"/>
    <w:rsid w:val="00C319E7"/>
    <w:rsid w:val="00C34112"/>
    <w:rsid w:val="00C42056"/>
    <w:rsid w:val="00C44139"/>
    <w:rsid w:val="00C6057C"/>
    <w:rsid w:val="00C673EB"/>
    <w:rsid w:val="00C67A65"/>
    <w:rsid w:val="00C773E9"/>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D03629"/>
    <w:rsid w:val="00D0370B"/>
    <w:rsid w:val="00D05740"/>
    <w:rsid w:val="00D10C8F"/>
    <w:rsid w:val="00D21767"/>
    <w:rsid w:val="00D24AD3"/>
    <w:rsid w:val="00D27F8A"/>
    <w:rsid w:val="00D30598"/>
    <w:rsid w:val="00D32997"/>
    <w:rsid w:val="00D3746D"/>
    <w:rsid w:val="00D42E99"/>
    <w:rsid w:val="00D4404E"/>
    <w:rsid w:val="00D54B54"/>
    <w:rsid w:val="00D57F74"/>
    <w:rsid w:val="00D66C88"/>
    <w:rsid w:val="00D73FDA"/>
    <w:rsid w:val="00DA7914"/>
    <w:rsid w:val="00DC28D7"/>
    <w:rsid w:val="00DC308B"/>
    <w:rsid w:val="00DC661D"/>
    <w:rsid w:val="00DE12E2"/>
    <w:rsid w:val="00DE33D0"/>
    <w:rsid w:val="00DE52F3"/>
    <w:rsid w:val="00DE5648"/>
    <w:rsid w:val="00DE64E3"/>
    <w:rsid w:val="00DF1753"/>
    <w:rsid w:val="00DF7919"/>
    <w:rsid w:val="00E00269"/>
    <w:rsid w:val="00E008F7"/>
    <w:rsid w:val="00E0273F"/>
    <w:rsid w:val="00E0351C"/>
    <w:rsid w:val="00E07808"/>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1543"/>
    <w:rsid w:val="00EA2469"/>
    <w:rsid w:val="00EA2F82"/>
    <w:rsid w:val="00EA465B"/>
    <w:rsid w:val="00EA54A9"/>
    <w:rsid w:val="00EA5D30"/>
    <w:rsid w:val="00ED03DD"/>
    <w:rsid w:val="00ED1F65"/>
    <w:rsid w:val="00ED700E"/>
    <w:rsid w:val="00EE2879"/>
    <w:rsid w:val="00EF4688"/>
    <w:rsid w:val="00F0047E"/>
    <w:rsid w:val="00F02FF4"/>
    <w:rsid w:val="00F0399F"/>
    <w:rsid w:val="00F132CC"/>
    <w:rsid w:val="00F417A8"/>
    <w:rsid w:val="00F42FB0"/>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C7BCE"/>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7113D6"/>
    <w:rsid w:val="0A810A8E"/>
    <w:rsid w:val="0B6B4246"/>
    <w:rsid w:val="0B6C6FDB"/>
    <w:rsid w:val="0C016972"/>
    <w:rsid w:val="0C540FAF"/>
    <w:rsid w:val="0C5F0F6E"/>
    <w:rsid w:val="0C6E2C7C"/>
    <w:rsid w:val="0CD12600"/>
    <w:rsid w:val="0CD41BFD"/>
    <w:rsid w:val="0D004BE0"/>
    <w:rsid w:val="0D583C50"/>
    <w:rsid w:val="0D6635DC"/>
    <w:rsid w:val="0DC071A0"/>
    <w:rsid w:val="0E3C619F"/>
    <w:rsid w:val="0E4A28F0"/>
    <w:rsid w:val="0E5057A7"/>
    <w:rsid w:val="0E511B0C"/>
    <w:rsid w:val="0EC51CF1"/>
    <w:rsid w:val="0F131BCA"/>
    <w:rsid w:val="0F783207"/>
    <w:rsid w:val="0F797A29"/>
    <w:rsid w:val="0FBB34F5"/>
    <w:rsid w:val="0FD36AAC"/>
    <w:rsid w:val="0FFD54BA"/>
    <w:rsid w:val="102B64CB"/>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CA6AC4"/>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5B244CD"/>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2CE077C"/>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D76600"/>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6FF1453F"/>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7"/>
    <w:qFormat/>
    <w:uiPriority w:val="0"/>
    <w:pPr>
      <w:ind w:left="420" w:leftChars="200"/>
    </w:pPr>
  </w:style>
  <w:style w:type="paragraph" w:styleId="7">
    <w:name w:val="envelope return"/>
    <w:basedOn w:val="1"/>
    <w:qFormat/>
    <w:uiPriority w:val="0"/>
  </w:style>
  <w:style w:type="paragraph" w:styleId="8">
    <w:name w:val="Plain Text"/>
    <w:basedOn w:val="1"/>
    <w:qFormat/>
    <w:uiPriority w:val="0"/>
    <w:rPr>
      <w:rFonts w:ascii="宋体" w:hAnsi="Courier New" w:cs="金山简魏碑"/>
      <w:szCs w:val="21"/>
    </w:rPr>
  </w:style>
  <w:style w:type="paragraph" w:styleId="9">
    <w:name w:val="Balloon Text"/>
    <w:basedOn w:val="1"/>
    <w:link w:val="41"/>
    <w:semiHidden/>
    <w:unhideWhenUsed/>
    <w:qFormat/>
    <w:uiPriority w:val="99"/>
    <w:rPr>
      <w:sz w:val="18"/>
      <w:szCs w:val="18"/>
    </w:rPr>
  </w:style>
  <w:style w:type="paragraph" w:styleId="10">
    <w:name w:val="footer"/>
    <w:basedOn w:val="1"/>
    <w:link w:val="40"/>
    <w:unhideWhenUsed/>
    <w:qFormat/>
    <w:uiPriority w:val="99"/>
    <w:pPr>
      <w:tabs>
        <w:tab w:val="center" w:pos="4153"/>
        <w:tab w:val="right" w:pos="8306"/>
      </w:tabs>
      <w:snapToGrid w:val="0"/>
      <w:jc w:val="left"/>
    </w:pPr>
    <w:rPr>
      <w:sz w:val="18"/>
      <w:szCs w:val="18"/>
    </w:rPr>
  </w:style>
  <w:style w:type="paragraph" w:styleId="11">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字符"/>
    <w:basedOn w:val="19"/>
    <w:link w:val="11"/>
    <w:qFormat/>
    <w:uiPriority w:val="99"/>
    <w:rPr>
      <w:rFonts w:asciiTheme="minorHAnsi" w:hAnsiTheme="minorHAnsi" w:eastAsiaTheme="minorEastAsia" w:cstheme="minorBidi"/>
      <w:kern w:val="2"/>
      <w:sz w:val="18"/>
      <w:szCs w:val="18"/>
    </w:rPr>
  </w:style>
  <w:style w:type="character" w:customStyle="1" w:styleId="40">
    <w:name w:val="页脚 字符"/>
    <w:basedOn w:val="19"/>
    <w:link w:val="10"/>
    <w:qFormat/>
    <w:uiPriority w:val="99"/>
    <w:rPr>
      <w:rFonts w:asciiTheme="minorHAnsi" w:hAnsiTheme="minorHAnsi" w:eastAsiaTheme="minorEastAsia" w:cstheme="minorBidi"/>
      <w:kern w:val="2"/>
      <w:sz w:val="18"/>
      <w:szCs w:val="18"/>
    </w:rPr>
  </w:style>
  <w:style w:type="character" w:customStyle="1" w:styleId="41">
    <w:name w:val="批注框文本 字符"/>
    <w:basedOn w:val="19"/>
    <w:link w:val="9"/>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tabs>
        <w:tab w:val="right" w:leader="dot" w:pos="9009"/>
      </w:tabs>
    </w:pPr>
    <w:rPr>
      <w:rFonts w:ascii="Arial" w:hAnsi="Arial" w:eastAsia="宋体" w:cs="Times New Roman"/>
      <w:sz w:val="28"/>
      <w:szCs w:val="24"/>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 w:type="paragraph" w:customStyle="1" w:styleId="53">
    <w:name w:val="无间隔1"/>
    <w:basedOn w:val="1"/>
    <w:qFormat/>
    <w:uiPriority w:val="1"/>
    <w:pPr>
      <w:spacing w:line="400" w:lineRule="exact"/>
    </w:pPr>
    <w:rPr>
      <w:rFonts w:ascii="Times New Roman" w:hAnsi="Times New Roman" w:eastAsia="宋体" w:cs="Times New Roman"/>
      <w:sz w:val="24"/>
      <w:szCs w:val="24"/>
    </w:rPr>
  </w:style>
  <w:style w:type="character" w:customStyle="1" w:styleId="54">
    <w:name w:val="font01"/>
    <w:basedOn w:val="1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89CE6-8E7E-4EE9-AF58-F2B8B8DA2003}">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1582</Words>
  <Characters>1708</Characters>
  <Lines>17</Lines>
  <Paragraphs>4</Paragraphs>
  <TotalTime>12</TotalTime>
  <ScaleCrop>false</ScaleCrop>
  <LinksUpToDate>false</LinksUpToDate>
  <CharactersWithSpaces>2254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2026-02-14T10:57:00Z</dcterms:created>
  <dc:creator>姚洪兵</dc:creator>
  <cp:lastModifiedBy>Russ</cp:lastModifiedBy>
  <dcterms:modified xsi:type="dcterms:W3CDTF">2026-08-27T01:46:24Z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eyJoZGlkIjoiN2JjODQxZTM1MmEwZjc3NzJiNjM2OWM0ZjgyNDVkMmYiLCJ1c2VySWQiOiIyMDk4OTEwNjMifQ==</vt:lpwstr>
  </property>
  <property fmtid="{D5CDD505-2E9C-101B-9397-08002B2CF9AE}" pid="3" name="KSOProductBuildVer">
    <vt:lpwstr>2052-12.1.0.28043</vt:lpwstr>
  </property>
  <property fmtid="{D5CDD505-2E9C-101B-9397-08002B2CF9AE}" pid="4" name="ICV">
    <vt:lpwstr>19A8B2DEB6684958970764BAF816F133_13</vt:lpwstr>
  </property>
</Properties>
</file>