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93358">
      <w:pPr>
        <w:spacing w:before="360" w:after="160"/>
        <w:rPr>
          <w:lang w:eastAsia="zh-CN"/>
        </w:rPr>
      </w:pPr>
      <w:bookmarkStart w:id="0" w:name="_GoBack"/>
      <w:bookmarkEnd w:id="0"/>
      <w:r>
        <w:rPr>
          <w:rFonts w:ascii="黑体" w:hAnsi="黑体" w:eastAsia="黑体"/>
          <w:b/>
          <w:sz w:val="30"/>
          <w:lang w:eastAsia="zh-CN"/>
        </w:rPr>
        <w:t>技术、服务及其他要求</w:t>
      </w:r>
    </w:p>
    <w:p w14:paraId="6EB331DD">
      <w:pPr>
        <w:spacing w:before="240" w:after="120"/>
        <w:rPr>
          <w:lang w:eastAsia="zh-CN"/>
        </w:rPr>
      </w:pPr>
      <w:r>
        <w:rPr>
          <w:rFonts w:hint="eastAsia" w:ascii="黑体" w:hAnsi="黑体" w:eastAsia="黑体"/>
          <w:b/>
          <w:sz w:val="28"/>
          <w:lang w:eastAsia="zh-CN"/>
        </w:rPr>
        <w:t>1</w:t>
      </w:r>
      <w:r>
        <w:rPr>
          <w:rFonts w:ascii="黑体" w:hAnsi="黑体" w:eastAsia="黑体"/>
          <w:b/>
          <w:sz w:val="28"/>
          <w:lang w:eastAsia="zh-CN"/>
        </w:rPr>
        <w:t>技术要求</w:t>
      </w:r>
    </w:p>
    <w:p w14:paraId="35BCDA0B">
      <w:pPr>
        <w:spacing w:before="120" w:after="80"/>
        <w:rPr>
          <w:lang w:eastAsia="zh-CN"/>
        </w:rPr>
      </w:pPr>
      <w:r>
        <w:rPr>
          <w:rFonts w:hint="eastAsia"/>
          <w:lang w:eastAsia="zh-CN"/>
        </w:rPr>
        <w:t>项目</w:t>
      </w:r>
      <w:r>
        <w:rPr>
          <w:lang w:eastAsia="zh-CN"/>
        </w:rPr>
        <w:t>名称：</w:t>
      </w:r>
      <w:r>
        <w:rPr>
          <w:rFonts w:hint="eastAsia"/>
          <w:lang w:eastAsia="zh-CN"/>
        </w:rPr>
        <w:t>110kV输变电新建</w:t>
      </w:r>
      <w:r>
        <w:rPr>
          <w:lang w:eastAsia="zh-CN"/>
        </w:rPr>
        <w:t>项目节地评价报告编制</w:t>
      </w:r>
    </w:p>
    <w:tbl>
      <w:tblPr>
        <w:tblStyle w:val="3"/>
        <w:tblW w:w="8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386"/>
        <w:gridCol w:w="6594"/>
      </w:tblGrid>
      <w:tr w14:paraId="7E0CC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5" w:hRule="atLeast"/>
        </w:trPr>
        <w:tc>
          <w:tcPr>
            <w:tcW w:w="919" w:type="dxa"/>
          </w:tcPr>
          <w:p w14:paraId="16F8F952">
            <w:pPr>
              <w:widowControl w:val="0"/>
              <w:jc w:val="center"/>
              <w:rPr>
                <w:lang w:eastAsia="zh-CN"/>
              </w:rPr>
            </w:pPr>
          </w:p>
          <w:p w14:paraId="59D2B697">
            <w:pPr>
              <w:widowControl w:val="0"/>
              <w:jc w:val="center"/>
              <w:rPr>
                <w:lang w:eastAsia="zh-CN"/>
              </w:rPr>
            </w:pPr>
          </w:p>
          <w:p w14:paraId="062E0E03">
            <w:pPr>
              <w:widowControl w:val="0"/>
              <w:jc w:val="center"/>
              <w:rPr>
                <w:lang w:eastAsia="zh-CN"/>
              </w:rPr>
            </w:pPr>
            <w:r>
              <w:rPr>
                <w:rFonts w:hint="eastAsia"/>
                <w:lang w:eastAsia="zh-CN"/>
              </w:rPr>
              <w:t>1</w:t>
            </w:r>
          </w:p>
        </w:tc>
        <w:tc>
          <w:tcPr>
            <w:tcW w:w="1386" w:type="dxa"/>
            <w:shd w:val="clear" w:color="auto" w:fill="auto"/>
          </w:tcPr>
          <w:p w14:paraId="5C6E5AD6">
            <w:pPr>
              <w:widowControl w:val="0"/>
              <w:spacing w:before="40" w:after="40" w:line="240" w:lineRule="auto"/>
              <w:jc w:val="left"/>
              <w:rPr>
                <w:b/>
                <w:sz w:val="21"/>
              </w:rPr>
            </w:pPr>
          </w:p>
          <w:p w14:paraId="2E45CDD0">
            <w:pPr>
              <w:widowControl w:val="0"/>
              <w:spacing w:before="40" w:after="40" w:line="240" w:lineRule="auto"/>
              <w:jc w:val="left"/>
              <w:rPr>
                <w:b/>
                <w:sz w:val="21"/>
              </w:rPr>
            </w:pPr>
          </w:p>
          <w:p w14:paraId="3113B268">
            <w:pPr>
              <w:widowControl w:val="0"/>
              <w:spacing w:before="40" w:after="40" w:line="240" w:lineRule="auto"/>
              <w:jc w:val="left"/>
            </w:pPr>
            <w:r>
              <w:rPr>
                <w:rFonts w:hint="eastAsia"/>
                <w:lang w:eastAsia="zh-CN"/>
              </w:rPr>
              <w:t>服务内容</w:t>
            </w:r>
          </w:p>
        </w:tc>
        <w:tc>
          <w:tcPr>
            <w:tcW w:w="6594" w:type="dxa"/>
          </w:tcPr>
          <w:p w14:paraId="7439E4D0">
            <w:pPr>
              <w:widowControl/>
              <w:spacing w:before="40" w:after="40" w:line="240" w:lineRule="auto"/>
              <w:ind w:firstLine="480" w:firstLineChars="200"/>
              <w:jc w:val="left"/>
              <w:rPr>
                <w:lang w:eastAsia="zh-CN"/>
              </w:rPr>
            </w:pPr>
            <w:r>
              <w:rPr>
                <w:rFonts w:hint="eastAsia"/>
                <w:lang w:eastAsia="zh-CN"/>
              </w:rPr>
              <w:t>建设项目110kV输变电新建工程范围面积约19亩。为满足什邡市自然资源与规划局对建设工程方案容积率要求，办理建设工程规划许可证。</w:t>
            </w:r>
          </w:p>
          <w:p w14:paraId="4DD5AFA8">
            <w:pPr>
              <w:widowControl/>
              <w:spacing w:before="40" w:after="40" w:line="240" w:lineRule="auto"/>
              <w:ind w:firstLine="480" w:firstLineChars="200"/>
              <w:jc w:val="left"/>
              <w:rPr>
                <w:lang w:eastAsia="zh-CN"/>
              </w:rPr>
            </w:pPr>
            <w:r>
              <w:rPr>
                <w:rFonts w:hint="eastAsia"/>
                <w:lang w:eastAsia="zh-CN"/>
              </w:rPr>
              <w:t>根据四川省自然资源厅文件川自然资发[2024]1号四川省自然资源厅关于印发《四川省工业项目建设用地控制指标》的通知，第三条各市(州)、县(市、区)自然资源主管部门要严格依据《控制指标》审核工业项目用地，对不符合《控制指标》要求的工业项目，按规定核减项目用地面积或不予供地。因安全生产、 地形地貌、工艺技术等有特殊要求确需突破《控制指标》的工业项目，由市(州)、县(市、区)自然资源主管部门根据建设项目节地评价相关要求开展建设项目节地评价论证。</w:t>
            </w:r>
          </w:p>
          <w:p w14:paraId="4CBC9B82">
            <w:pPr>
              <w:widowControl/>
              <w:spacing w:before="40" w:after="40" w:line="240" w:lineRule="auto"/>
              <w:ind w:firstLine="480" w:firstLineChars="200"/>
              <w:jc w:val="left"/>
              <w:rPr>
                <w:lang w:eastAsia="zh-CN"/>
              </w:rPr>
            </w:pPr>
            <w:r>
              <w:rPr>
                <w:rFonts w:hint="eastAsia"/>
                <w:lang w:eastAsia="zh-CN"/>
              </w:rPr>
              <w:t>根据《自然资源部办公厅关于规范开展建设项目节地评价工作的通知》（自然资办发（2021）14号）有关要求，依法依规开展《建设项目节地评价技术报告》编制工作。</w:t>
            </w:r>
          </w:p>
        </w:tc>
      </w:tr>
      <w:tr w14:paraId="677C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919" w:type="dxa"/>
          </w:tcPr>
          <w:p w14:paraId="0775B5F2">
            <w:pPr>
              <w:widowControl w:val="0"/>
              <w:jc w:val="center"/>
              <w:rPr>
                <w:lang w:eastAsia="zh-CN"/>
              </w:rPr>
            </w:pPr>
          </w:p>
          <w:p w14:paraId="65925F99">
            <w:pPr>
              <w:widowControl w:val="0"/>
              <w:jc w:val="center"/>
              <w:rPr>
                <w:lang w:eastAsia="zh-CN"/>
              </w:rPr>
            </w:pPr>
          </w:p>
          <w:p w14:paraId="58DE0F99">
            <w:pPr>
              <w:widowControl w:val="0"/>
              <w:jc w:val="center"/>
              <w:rPr>
                <w:lang w:eastAsia="zh-CN"/>
              </w:rPr>
            </w:pPr>
            <w:r>
              <w:rPr>
                <w:rFonts w:hint="eastAsia"/>
                <w:lang w:eastAsia="zh-CN"/>
              </w:rPr>
              <w:t>2</w:t>
            </w:r>
          </w:p>
        </w:tc>
        <w:tc>
          <w:tcPr>
            <w:tcW w:w="1386" w:type="dxa"/>
          </w:tcPr>
          <w:p w14:paraId="00450E8B">
            <w:pPr>
              <w:widowControl w:val="0"/>
              <w:jc w:val="center"/>
            </w:pPr>
          </w:p>
          <w:p w14:paraId="01554AEB">
            <w:pPr>
              <w:widowControl w:val="0"/>
              <w:spacing w:before="40" w:after="40" w:line="240" w:lineRule="auto"/>
              <w:jc w:val="left"/>
            </w:pPr>
          </w:p>
          <w:p w14:paraId="67B441B6">
            <w:pPr>
              <w:widowControl w:val="0"/>
              <w:spacing w:before="40" w:after="40" w:line="240" w:lineRule="auto"/>
              <w:jc w:val="left"/>
            </w:pPr>
            <w:r>
              <w:rPr>
                <w:rFonts w:hint="eastAsia"/>
                <w:lang w:eastAsia="zh-CN"/>
              </w:rPr>
              <w:t>成果要求</w:t>
            </w:r>
          </w:p>
        </w:tc>
        <w:tc>
          <w:tcPr>
            <w:tcW w:w="6594" w:type="dxa"/>
          </w:tcPr>
          <w:p w14:paraId="5076FD89">
            <w:pPr>
              <w:widowControl w:val="0"/>
              <w:jc w:val="center"/>
              <w:rPr>
                <w:lang w:eastAsia="zh-CN"/>
              </w:rPr>
            </w:pPr>
          </w:p>
          <w:p w14:paraId="61877D1D">
            <w:pPr>
              <w:widowControl/>
              <w:spacing w:before="40" w:after="40" w:line="240" w:lineRule="auto"/>
              <w:ind w:firstLine="480" w:firstLineChars="200"/>
              <w:jc w:val="left"/>
              <w:rPr>
                <w:lang w:eastAsia="zh-CN"/>
              </w:rPr>
            </w:pPr>
            <w:r>
              <w:rPr>
                <w:rFonts w:hint="eastAsia"/>
                <w:lang w:eastAsia="zh-CN"/>
              </w:rPr>
              <w:t>中标方须提交以下成果（含纸质文件和电子文件）：</w:t>
            </w:r>
            <w:r>
              <w:rPr>
                <w:rFonts w:hint="eastAsia"/>
                <w:lang w:eastAsia="zh-CN"/>
              </w:rPr>
              <w:br w:type="textWrapping"/>
            </w:r>
            <w:r>
              <w:rPr>
                <w:rFonts w:hint="eastAsia"/>
                <w:lang w:eastAsia="zh-CN"/>
              </w:rPr>
              <w:t>（1）《建设项目节地评价报告》纸质版及电子版。按照《四川省建设项目节地评价导则》附录D的示范文本格式编制，报告需加盖编制单位公章；</w:t>
            </w:r>
            <w:r>
              <w:rPr>
                <w:rFonts w:hint="eastAsia"/>
                <w:lang w:eastAsia="zh-CN"/>
              </w:rPr>
              <w:br w:type="textWrapping"/>
            </w:r>
            <w:r>
              <w:rPr>
                <w:rFonts w:hint="eastAsia"/>
                <w:lang w:eastAsia="zh-CN"/>
              </w:rPr>
              <w:t>（2）节地评价报告附件资料，</w:t>
            </w:r>
          </w:p>
          <w:p w14:paraId="2D0AFC04">
            <w:pPr>
              <w:widowControl/>
              <w:spacing w:before="40" w:after="40" w:line="240" w:lineRule="auto"/>
              <w:ind w:firstLine="480" w:firstLineChars="200"/>
              <w:jc w:val="left"/>
              <w:rPr>
                <w:lang w:eastAsia="zh-CN"/>
              </w:rPr>
            </w:pPr>
            <w:r>
              <w:rPr>
                <w:rFonts w:hint="eastAsia"/>
                <w:lang w:eastAsia="zh-CN"/>
              </w:rPr>
              <w:t>成果数据的电子文件格式要求：文本采用Word（.docx）和PDF，图纸采用DWG和JPG，矢量数据采用SHP或GDB格式。</w:t>
            </w:r>
          </w:p>
          <w:p w14:paraId="25DF06B9">
            <w:pPr>
              <w:widowControl w:val="0"/>
              <w:tabs>
                <w:tab w:val="left" w:pos="655"/>
              </w:tabs>
              <w:jc w:val="left"/>
              <w:rPr>
                <w:lang w:eastAsia="zh-CN"/>
              </w:rPr>
            </w:pPr>
            <w:r>
              <w:rPr>
                <w:rFonts w:hint="eastAsia"/>
                <w:lang w:eastAsia="zh-CN"/>
              </w:rPr>
              <w:tab/>
            </w:r>
          </w:p>
        </w:tc>
      </w:tr>
      <w:tr w14:paraId="2030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919" w:type="dxa"/>
          </w:tcPr>
          <w:p w14:paraId="230DBEDE">
            <w:pPr>
              <w:widowControl w:val="0"/>
              <w:jc w:val="center"/>
              <w:rPr>
                <w:lang w:eastAsia="zh-CN"/>
              </w:rPr>
            </w:pPr>
          </w:p>
          <w:p w14:paraId="40739CC4">
            <w:pPr>
              <w:widowControl w:val="0"/>
              <w:jc w:val="center"/>
              <w:rPr>
                <w:lang w:eastAsia="zh-CN"/>
              </w:rPr>
            </w:pPr>
          </w:p>
          <w:p w14:paraId="34E9538D">
            <w:pPr>
              <w:widowControl w:val="0"/>
              <w:jc w:val="center"/>
              <w:rPr>
                <w:lang w:eastAsia="zh-CN"/>
              </w:rPr>
            </w:pPr>
            <w:r>
              <w:rPr>
                <w:rFonts w:hint="eastAsia"/>
                <w:lang w:eastAsia="zh-CN"/>
              </w:rPr>
              <w:t>3</w:t>
            </w:r>
          </w:p>
        </w:tc>
        <w:tc>
          <w:tcPr>
            <w:tcW w:w="1386" w:type="dxa"/>
          </w:tcPr>
          <w:p w14:paraId="4BA9659D">
            <w:pPr>
              <w:widowControl w:val="0"/>
              <w:jc w:val="center"/>
            </w:pPr>
          </w:p>
          <w:p w14:paraId="41A6C9C5">
            <w:pPr>
              <w:widowControl w:val="0"/>
              <w:jc w:val="both"/>
            </w:pPr>
          </w:p>
          <w:p w14:paraId="426C779F">
            <w:pPr>
              <w:widowControl w:val="0"/>
              <w:spacing w:before="40" w:after="40" w:line="240" w:lineRule="auto"/>
              <w:jc w:val="left"/>
            </w:pPr>
            <w:r>
              <w:rPr>
                <w:rFonts w:hint="eastAsia"/>
                <w:lang w:eastAsia="zh-CN"/>
              </w:rPr>
              <w:t>其他要求</w:t>
            </w:r>
          </w:p>
        </w:tc>
        <w:tc>
          <w:tcPr>
            <w:tcW w:w="6594" w:type="dxa"/>
          </w:tcPr>
          <w:p w14:paraId="35C45608">
            <w:pPr>
              <w:widowControl/>
              <w:spacing w:before="40" w:after="40" w:line="240" w:lineRule="auto"/>
              <w:jc w:val="left"/>
              <w:rPr>
                <w:lang w:eastAsia="zh-CN"/>
              </w:rPr>
            </w:pPr>
            <w:r>
              <w:rPr>
                <w:rFonts w:hint="eastAsia"/>
                <w:lang w:eastAsia="zh-CN"/>
              </w:rPr>
              <w:t>（1）中标方应严格按照《四川省建设项目节地评价导则》规定的技术要求和工作流程开展各项工作；</w:t>
            </w:r>
            <w:r>
              <w:rPr>
                <w:rFonts w:hint="eastAsia"/>
                <w:lang w:eastAsia="zh-CN"/>
              </w:rPr>
              <w:br w:type="textWrapping"/>
            </w:r>
            <w:r>
              <w:rPr>
                <w:rFonts w:hint="eastAsia"/>
                <w:lang w:eastAsia="zh-CN"/>
              </w:rPr>
              <w:t>（2）中标方应配合采购方（或项目建设单位）向自然资源主管部门申报节地评价论证，并按论证意见进行修改完善；</w:t>
            </w:r>
            <w:r>
              <w:rPr>
                <w:rFonts w:hint="eastAsia"/>
                <w:lang w:eastAsia="zh-CN"/>
              </w:rPr>
              <w:br w:type="textWrapping"/>
            </w:r>
            <w:r>
              <w:rPr>
                <w:rFonts w:hint="eastAsia"/>
                <w:lang w:eastAsia="zh-CN"/>
              </w:rPr>
              <w:t>（3）中标方对评价过程中接触的涉密资料负有保密义务，未经采购方书面许可不得向第三方泄露或另作他用；</w:t>
            </w:r>
            <w:r>
              <w:rPr>
                <w:rFonts w:hint="eastAsia"/>
                <w:lang w:eastAsia="zh-CN"/>
              </w:rPr>
              <w:br w:type="textWrapping"/>
            </w:r>
            <w:r>
              <w:rPr>
                <w:rFonts w:hint="eastAsia"/>
                <w:lang w:eastAsia="zh-CN"/>
              </w:rPr>
              <w:t>（4）评价过程中如遇国家和四川省发布新的节地评价相关规定的，从其新规定执行；</w:t>
            </w:r>
            <w:r>
              <w:rPr>
                <w:rFonts w:hint="eastAsia"/>
                <w:lang w:eastAsia="zh-CN"/>
              </w:rPr>
              <w:br w:type="textWrapping"/>
            </w:r>
            <w:r>
              <w:rPr>
                <w:rFonts w:hint="eastAsia"/>
                <w:lang w:eastAsia="zh-CN"/>
              </w:rPr>
              <w:t>（5）中标方应保证评价结论的科学性和独立性，对评价报告的真实性、准确性承担相应法律责任。</w:t>
            </w:r>
          </w:p>
        </w:tc>
      </w:tr>
    </w:tbl>
    <w:p w14:paraId="25D6F845">
      <w:pPr>
        <w:spacing w:before="240" w:after="120"/>
      </w:pPr>
      <w:r>
        <w:rPr>
          <w:rFonts w:hint="eastAsia" w:ascii="黑体" w:hAnsi="黑体" w:eastAsia="黑体"/>
          <w:b/>
          <w:sz w:val="28"/>
          <w:lang w:eastAsia="zh-CN"/>
        </w:rPr>
        <w:t>2.</w:t>
      </w:r>
      <w:r>
        <w:rPr>
          <w:rFonts w:ascii="黑体" w:hAnsi="黑体" w:eastAsia="黑体"/>
          <w:b/>
          <w:sz w:val="28"/>
        </w:rPr>
        <w:t>服务内容要求</w:t>
      </w:r>
    </w:p>
    <w:tbl>
      <w:tblPr>
        <w:tblStyle w:val="3"/>
        <w:tblW w:w="8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386"/>
        <w:gridCol w:w="6594"/>
      </w:tblGrid>
      <w:tr w14:paraId="7F63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919" w:type="dxa"/>
          </w:tcPr>
          <w:p w14:paraId="33CBD79D">
            <w:pPr>
              <w:widowControl w:val="0"/>
              <w:jc w:val="center"/>
              <w:rPr>
                <w:lang w:eastAsia="zh-CN"/>
              </w:rPr>
            </w:pPr>
          </w:p>
          <w:p w14:paraId="2870B3F7">
            <w:pPr>
              <w:widowControl w:val="0"/>
              <w:jc w:val="center"/>
              <w:rPr>
                <w:lang w:eastAsia="zh-CN"/>
              </w:rPr>
            </w:pPr>
          </w:p>
          <w:p w14:paraId="3E93A6F5">
            <w:pPr>
              <w:widowControl w:val="0"/>
              <w:jc w:val="center"/>
              <w:rPr>
                <w:lang w:eastAsia="zh-CN"/>
              </w:rPr>
            </w:pPr>
            <w:r>
              <w:rPr>
                <w:rFonts w:hint="eastAsia"/>
                <w:lang w:eastAsia="zh-CN"/>
              </w:rPr>
              <w:t>1</w:t>
            </w:r>
          </w:p>
        </w:tc>
        <w:tc>
          <w:tcPr>
            <w:tcW w:w="1386" w:type="dxa"/>
            <w:shd w:val="clear" w:color="auto" w:fill="auto"/>
          </w:tcPr>
          <w:p w14:paraId="4E31603E">
            <w:pPr>
              <w:widowControl w:val="0"/>
              <w:spacing w:before="40" w:after="40" w:line="240" w:lineRule="auto"/>
              <w:jc w:val="left"/>
              <w:rPr>
                <w:b/>
                <w:sz w:val="21"/>
              </w:rPr>
            </w:pPr>
          </w:p>
          <w:p w14:paraId="2504A3D9">
            <w:pPr>
              <w:widowControl w:val="0"/>
              <w:spacing w:before="40" w:after="40" w:line="240" w:lineRule="auto"/>
              <w:jc w:val="left"/>
              <w:rPr>
                <w:b/>
                <w:sz w:val="21"/>
              </w:rPr>
            </w:pPr>
          </w:p>
          <w:p w14:paraId="11F2B81F">
            <w:pPr>
              <w:widowControl w:val="0"/>
              <w:spacing w:before="40" w:after="40" w:line="240" w:lineRule="auto"/>
              <w:jc w:val="left"/>
            </w:pPr>
            <w:r>
              <w:rPr>
                <w:rFonts w:hint="eastAsia"/>
                <w:lang w:eastAsia="zh-CN"/>
              </w:rPr>
              <w:t>服务要求内容</w:t>
            </w:r>
          </w:p>
        </w:tc>
        <w:tc>
          <w:tcPr>
            <w:tcW w:w="6594" w:type="dxa"/>
          </w:tcPr>
          <w:p w14:paraId="4407FE02">
            <w:pPr>
              <w:widowControl/>
              <w:spacing w:before="40" w:after="40" w:line="240" w:lineRule="auto"/>
              <w:ind w:firstLine="480" w:firstLineChars="200"/>
              <w:jc w:val="left"/>
              <w:rPr>
                <w:lang w:eastAsia="zh-CN"/>
              </w:rPr>
            </w:pPr>
            <w:r>
              <w:rPr>
                <w:rFonts w:hint="eastAsia"/>
                <w:lang w:eastAsia="zh-CN"/>
              </w:rPr>
              <w:t>1.本项目未提及的要求或标准应满足现行有效的国家相关标准、行业标准、地方标准以及相关规范等。</w:t>
            </w:r>
            <w:r>
              <w:rPr>
                <w:rFonts w:hint="eastAsia"/>
                <w:lang w:eastAsia="zh-CN"/>
              </w:rPr>
              <w:br w:type="textWrapping"/>
            </w:r>
            <w:r>
              <w:rPr>
                <w:rFonts w:hint="eastAsia"/>
                <w:lang w:eastAsia="zh-CN"/>
              </w:rPr>
              <w:t>2.若文件中引用的相关条款、规范及法律法规有更新，按更新后的条款、规范及法律法规执行。</w:t>
            </w:r>
            <w:r>
              <w:rPr>
                <w:rFonts w:hint="eastAsia"/>
                <w:lang w:eastAsia="zh-CN"/>
              </w:rPr>
              <w:br w:type="textWrapping"/>
            </w:r>
            <w:r>
              <w:rPr>
                <w:rFonts w:hint="eastAsia"/>
                <w:lang w:eastAsia="zh-CN"/>
              </w:rPr>
              <w:t>3.供应商在参与本项目过程中，应严格遵守保密相关规定，对于采购方提供的任何形式的任何信息（包括技术信息和内容信息）均为保密信息，仅可用于完成本项目规定的工作任务。除此之外，供应商不得出于任何目的、通过任何途径使用本保密信息。</w:t>
            </w:r>
            <w:r>
              <w:rPr>
                <w:rFonts w:hint="eastAsia"/>
                <w:lang w:eastAsia="zh-CN"/>
              </w:rPr>
              <w:br w:type="textWrapping"/>
            </w:r>
            <w:r>
              <w:rPr>
                <w:rFonts w:hint="eastAsia"/>
                <w:lang w:eastAsia="zh-CN"/>
              </w:rPr>
              <w:t>4.中标方在服务过程中，应遵守采购方相关规定，听从/服从采购方根据本项目制定的各项规定。</w:t>
            </w:r>
          </w:p>
        </w:tc>
      </w:tr>
    </w:tbl>
    <w:p w14:paraId="26FCB3F2">
      <w:pPr>
        <w:rPr>
          <w:lang w:eastAsia="zh-CN"/>
        </w:rPr>
      </w:pPr>
    </w:p>
    <w:p w14:paraId="663FD6DF">
      <w:pPr>
        <w:spacing w:before="240" w:after="120"/>
        <w:rPr>
          <w:rFonts w:ascii="黑体" w:hAnsi="黑体" w:eastAsia="黑体"/>
          <w:b/>
          <w:sz w:val="28"/>
          <w:lang w:eastAsia="zh-CN"/>
        </w:rPr>
      </w:pPr>
      <w:r>
        <w:rPr>
          <w:rFonts w:hint="eastAsia" w:ascii="黑体" w:hAnsi="黑体" w:eastAsia="黑体"/>
          <w:b/>
          <w:sz w:val="28"/>
          <w:lang w:eastAsia="zh-CN"/>
        </w:rPr>
        <w:t>3.商务要求</w:t>
      </w:r>
    </w:p>
    <w:tbl>
      <w:tblPr>
        <w:tblStyle w:val="3"/>
        <w:tblW w:w="8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386"/>
        <w:gridCol w:w="6594"/>
      </w:tblGrid>
      <w:tr w14:paraId="682B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919" w:type="dxa"/>
          </w:tcPr>
          <w:p w14:paraId="061BFCB9">
            <w:pPr>
              <w:widowControl w:val="0"/>
              <w:jc w:val="center"/>
              <w:rPr>
                <w:lang w:eastAsia="zh-CN"/>
              </w:rPr>
            </w:pPr>
          </w:p>
          <w:p w14:paraId="5D436EB7">
            <w:pPr>
              <w:widowControl w:val="0"/>
              <w:jc w:val="center"/>
              <w:rPr>
                <w:lang w:eastAsia="zh-CN"/>
              </w:rPr>
            </w:pPr>
          </w:p>
          <w:p w14:paraId="47CAABF5">
            <w:pPr>
              <w:widowControl w:val="0"/>
              <w:jc w:val="center"/>
              <w:rPr>
                <w:lang w:eastAsia="zh-CN"/>
              </w:rPr>
            </w:pPr>
            <w:r>
              <w:rPr>
                <w:rFonts w:hint="eastAsia"/>
                <w:lang w:eastAsia="zh-CN"/>
              </w:rPr>
              <w:t>1</w:t>
            </w:r>
          </w:p>
        </w:tc>
        <w:tc>
          <w:tcPr>
            <w:tcW w:w="1386" w:type="dxa"/>
            <w:shd w:val="clear" w:color="auto" w:fill="auto"/>
          </w:tcPr>
          <w:p w14:paraId="0DF0F468">
            <w:pPr>
              <w:widowControl w:val="0"/>
              <w:spacing w:before="40" w:after="40" w:line="240" w:lineRule="auto"/>
              <w:jc w:val="left"/>
              <w:rPr>
                <w:lang w:eastAsia="zh-CN"/>
              </w:rPr>
            </w:pPr>
          </w:p>
          <w:p w14:paraId="33216CF6">
            <w:pPr>
              <w:widowControl w:val="0"/>
              <w:spacing w:before="40" w:after="40" w:line="240" w:lineRule="auto"/>
              <w:jc w:val="left"/>
              <w:rPr>
                <w:lang w:eastAsia="zh-CN"/>
              </w:rPr>
            </w:pPr>
          </w:p>
          <w:p w14:paraId="1FEEF2B3">
            <w:pPr>
              <w:widowControl w:val="0"/>
              <w:spacing w:before="40" w:after="40" w:line="240" w:lineRule="auto"/>
              <w:jc w:val="left"/>
            </w:pPr>
            <w:r>
              <w:rPr>
                <w:rFonts w:hint="eastAsia"/>
                <w:lang w:eastAsia="zh-CN"/>
              </w:rPr>
              <w:t>服务期限</w:t>
            </w:r>
          </w:p>
        </w:tc>
        <w:tc>
          <w:tcPr>
            <w:tcW w:w="6594" w:type="dxa"/>
          </w:tcPr>
          <w:p w14:paraId="1AD2E2E4">
            <w:pPr>
              <w:widowControl/>
              <w:spacing w:before="40" w:after="40" w:line="240" w:lineRule="auto"/>
              <w:ind w:firstLine="480" w:firstLineChars="200"/>
              <w:jc w:val="left"/>
              <w:rPr>
                <w:lang w:eastAsia="zh-CN"/>
              </w:rPr>
            </w:pPr>
          </w:p>
          <w:p w14:paraId="7357B552">
            <w:pPr>
              <w:widowControl/>
              <w:spacing w:before="40" w:after="40" w:line="240" w:lineRule="auto"/>
              <w:ind w:firstLine="480" w:firstLineChars="200"/>
              <w:jc w:val="left"/>
              <w:rPr>
                <w:lang w:eastAsia="zh-CN"/>
              </w:rPr>
            </w:pPr>
            <w:r>
              <w:rPr>
                <w:rFonts w:hint="eastAsia"/>
                <w:lang w:eastAsia="zh-CN"/>
              </w:rPr>
              <w:t>自合同签订之日起至节地评价报告通过专家论证并提交全部最终成果止，根据采购方要求。</w:t>
            </w:r>
          </w:p>
        </w:tc>
      </w:tr>
      <w:tr w14:paraId="78C5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trPr>
        <w:tc>
          <w:tcPr>
            <w:tcW w:w="919" w:type="dxa"/>
          </w:tcPr>
          <w:p w14:paraId="57C67687">
            <w:pPr>
              <w:widowControl w:val="0"/>
              <w:jc w:val="center"/>
              <w:rPr>
                <w:lang w:eastAsia="zh-CN"/>
              </w:rPr>
            </w:pPr>
          </w:p>
          <w:p w14:paraId="60A33E03">
            <w:pPr>
              <w:widowControl w:val="0"/>
              <w:jc w:val="center"/>
              <w:rPr>
                <w:lang w:eastAsia="zh-CN"/>
              </w:rPr>
            </w:pPr>
          </w:p>
          <w:p w14:paraId="2F56D20E">
            <w:pPr>
              <w:widowControl w:val="0"/>
              <w:jc w:val="center"/>
              <w:rPr>
                <w:lang w:eastAsia="zh-CN"/>
              </w:rPr>
            </w:pPr>
            <w:r>
              <w:rPr>
                <w:rFonts w:hint="eastAsia"/>
                <w:lang w:eastAsia="zh-CN"/>
              </w:rPr>
              <w:t>2</w:t>
            </w:r>
          </w:p>
        </w:tc>
        <w:tc>
          <w:tcPr>
            <w:tcW w:w="1386" w:type="dxa"/>
          </w:tcPr>
          <w:p w14:paraId="481816E3">
            <w:pPr>
              <w:widowControl w:val="0"/>
              <w:spacing w:before="40" w:after="40" w:line="240" w:lineRule="auto"/>
              <w:jc w:val="left"/>
            </w:pPr>
          </w:p>
          <w:p w14:paraId="62E93F45">
            <w:pPr>
              <w:widowControl w:val="0"/>
              <w:jc w:val="both"/>
            </w:pPr>
          </w:p>
          <w:p w14:paraId="787D4B00">
            <w:pPr>
              <w:widowControl w:val="0"/>
              <w:spacing w:before="40" w:after="40" w:line="240" w:lineRule="auto"/>
              <w:jc w:val="left"/>
            </w:pPr>
            <w:r>
              <w:rPr>
                <w:rFonts w:hint="eastAsia"/>
                <w:lang w:eastAsia="zh-CN"/>
              </w:rPr>
              <w:t>服务地点</w:t>
            </w:r>
          </w:p>
        </w:tc>
        <w:tc>
          <w:tcPr>
            <w:tcW w:w="6594" w:type="dxa"/>
          </w:tcPr>
          <w:p w14:paraId="066369CC">
            <w:pPr>
              <w:widowControl w:val="0"/>
              <w:tabs>
                <w:tab w:val="left" w:pos="655"/>
              </w:tabs>
              <w:jc w:val="left"/>
              <w:rPr>
                <w:lang w:eastAsia="zh-CN"/>
              </w:rPr>
            </w:pPr>
            <w:r>
              <w:rPr>
                <w:rFonts w:hint="eastAsia"/>
                <w:lang w:eastAsia="zh-CN"/>
              </w:rPr>
              <w:t>（1）主要服务工作地点：中标方自行安排，但应满足合同约定的进度和质量要求；</w:t>
            </w:r>
            <w:r>
              <w:rPr>
                <w:rFonts w:hint="eastAsia"/>
                <w:lang w:eastAsia="zh-CN"/>
              </w:rPr>
              <w:br w:type="textWrapping"/>
            </w:r>
            <w:r>
              <w:rPr>
                <w:rFonts w:hint="eastAsia"/>
                <w:lang w:eastAsia="zh-CN"/>
              </w:rPr>
              <w:t>（2）现场踏勘地点：四川省德阳市什邡市师古镇YCCYPTJD-01-002地块；</w:t>
            </w:r>
            <w:r>
              <w:rPr>
                <w:rFonts w:hint="eastAsia"/>
                <w:lang w:eastAsia="zh-CN"/>
              </w:rPr>
              <w:br w:type="textWrapping"/>
            </w:r>
            <w:r>
              <w:rPr>
                <w:rFonts w:hint="eastAsia"/>
                <w:lang w:eastAsia="zh-CN"/>
              </w:rPr>
              <w:t>（3）专家论证会地点：由采购方或有权自然资源主管部门确定。</w:t>
            </w:r>
          </w:p>
        </w:tc>
      </w:tr>
      <w:tr w14:paraId="1CCD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919" w:type="dxa"/>
          </w:tcPr>
          <w:p w14:paraId="7A74E890">
            <w:pPr>
              <w:widowControl w:val="0"/>
              <w:jc w:val="center"/>
              <w:rPr>
                <w:lang w:eastAsia="zh-CN"/>
              </w:rPr>
            </w:pPr>
          </w:p>
          <w:p w14:paraId="140F4B35">
            <w:pPr>
              <w:widowControl w:val="0"/>
              <w:jc w:val="center"/>
              <w:rPr>
                <w:lang w:eastAsia="zh-CN"/>
              </w:rPr>
            </w:pPr>
          </w:p>
          <w:p w14:paraId="3341DB1E">
            <w:pPr>
              <w:widowControl w:val="0"/>
              <w:jc w:val="center"/>
              <w:rPr>
                <w:lang w:eastAsia="zh-CN"/>
              </w:rPr>
            </w:pPr>
            <w:r>
              <w:rPr>
                <w:rFonts w:hint="eastAsia"/>
                <w:lang w:eastAsia="zh-CN"/>
              </w:rPr>
              <w:t>3</w:t>
            </w:r>
          </w:p>
        </w:tc>
        <w:tc>
          <w:tcPr>
            <w:tcW w:w="1386" w:type="dxa"/>
          </w:tcPr>
          <w:p w14:paraId="7AAAE8F6">
            <w:pPr>
              <w:widowControl w:val="0"/>
              <w:spacing w:before="40" w:after="40" w:line="240" w:lineRule="auto"/>
              <w:jc w:val="left"/>
              <w:rPr>
                <w:lang w:eastAsia="zh-CN"/>
              </w:rPr>
            </w:pPr>
          </w:p>
          <w:p w14:paraId="1F854A60">
            <w:pPr>
              <w:widowControl w:val="0"/>
              <w:jc w:val="left"/>
              <w:rPr>
                <w:lang w:eastAsia="zh-CN"/>
              </w:rPr>
            </w:pPr>
            <w:r>
              <w:rPr>
                <w:rFonts w:hint="eastAsia"/>
                <w:lang w:eastAsia="zh-CN"/>
              </w:rPr>
              <w:t>验收、交付标准和方法</w:t>
            </w:r>
          </w:p>
        </w:tc>
        <w:tc>
          <w:tcPr>
            <w:tcW w:w="6594" w:type="dxa"/>
          </w:tcPr>
          <w:p w14:paraId="6A4FD954">
            <w:pPr>
              <w:widowControl/>
              <w:spacing w:before="40" w:after="40" w:line="240" w:lineRule="auto"/>
              <w:jc w:val="left"/>
              <w:rPr>
                <w:lang w:eastAsia="zh-CN"/>
              </w:rPr>
            </w:pPr>
            <w:r>
              <w:rPr>
                <w:rFonts w:hint="eastAsia"/>
                <w:lang w:eastAsia="zh-CN"/>
              </w:rPr>
              <w:t>验收标准：</w:t>
            </w:r>
            <w:r>
              <w:rPr>
                <w:rFonts w:hint="eastAsia"/>
                <w:lang w:eastAsia="zh-CN"/>
              </w:rPr>
              <w:br w:type="textWrapping"/>
            </w:r>
            <w:r>
              <w:rPr>
                <w:rFonts w:hint="eastAsia"/>
                <w:lang w:eastAsia="zh-CN"/>
              </w:rPr>
              <w:t>（1）节地评价报告内容完整、格式规范，符合《四川省建设项目节地评价导则》的编制要求；</w:t>
            </w:r>
            <w:r>
              <w:rPr>
                <w:rFonts w:hint="eastAsia"/>
                <w:lang w:eastAsia="zh-CN"/>
              </w:rPr>
              <w:br w:type="textWrapping"/>
            </w:r>
            <w:r>
              <w:rPr>
                <w:rFonts w:hint="eastAsia"/>
                <w:lang w:eastAsia="zh-CN"/>
              </w:rPr>
              <w:t>（2）节地评价报告通过自然资源主管部门组织的专家论证，论证结论为"同意"或"有条件同意"（"无法判识"或"不同意"视为不合格）；</w:t>
            </w:r>
            <w:r>
              <w:rPr>
                <w:rFonts w:hint="eastAsia"/>
                <w:lang w:eastAsia="zh-CN"/>
              </w:rPr>
              <w:br w:type="textWrapping"/>
            </w:r>
            <w:r>
              <w:rPr>
                <w:rFonts w:hint="eastAsia"/>
                <w:lang w:eastAsia="zh-CN"/>
              </w:rPr>
              <w:t>（3）成果文件（含纸质和电子文件）全部交付，内容与论证通过的最终版本一致。</w:t>
            </w:r>
            <w:r>
              <w:rPr>
                <w:rFonts w:hint="eastAsia"/>
                <w:lang w:eastAsia="zh-CN"/>
              </w:rPr>
              <w:br w:type="textWrapping"/>
            </w:r>
            <w:r>
              <w:rPr>
                <w:rFonts w:hint="eastAsia"/>
                <w:lang w:eastAsia="zh-CN"/>
              </w:rPr>
              <w:t>验收方法：</w:t>
            </w:r>
            <w:r>
              <w:rPr>
                <w:rFonts w:hint="eastAsia"/>
                <w:lang w:eastAsia="zh-CN"/>
              </w:rPr>
              <w:br w:type="textWrapping"/>
            </w:r>
            <w:r>
              <w:rPr>
                <w:rFonts w:hint="eastAsia"/>
                <w:lang w:eastAsia="zh-CN"/>
              </w:rPr>
              <w:t>（1）采购方收到中标方提交的全部成果文件后5个工作日内组织验收；</w:t>
            </w:r>
            <w:r>
              <w:rPr>
                <w:rFonts w:hint="eastAsia"/>
                <w:lang w:eastAsia="zh-CN"/>
              </w:rPr>
              <w:br w:type="textWrapping"/>
            </w:r>
            <w:r>
              <w:rPr>
                <w:rFonts w:hint="eastAsia"/>
                <w:lang w:eastAsia="zh-CN"/>
              </w:rPr>
              <w:t>（2）验收以专家论证意见为主要依据：论证结论为"同意"的，直接通过验收；论证结论为"有条件同意"的，中标方完成整改并经专家签字确认后通过验收；</w:t>
            </w:r>
            <w:r>
              <w:rPr>
                <w:rFonts w:hint="eastAsia"/>
                <w:lang w:eastAsia="zh-CN"/>
              </w:rPr>
              <w:br w:type="textWrapping"/>
            </w:r>
            <w:r>
              <w:rPr>
                <w:rFonts w:hint="eastAsia"/>
                <w:lang w:eastAsia="zh-CN"/>
              </w:rPr>
              <w:t>（3）验收不合格的，中标方应在采购人通知后10个工作日内完成修改并重新提交验收，重新验收仍不合格的，采购方有权解除合同并按违约条款处理。</w:t>
            </w:r>
          </w:p>
        </w:tc>
      </w:tr>
      <w:tr w14:paraId="0B5E6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919" w:type="dxa"/>
          </w:tcPr>
          <w:p w14:paraId="356CA759">
            <w:pPr>
              <w:widowControl w:val="0"/>
              <w:jc w:val="center"/>
              <w:rPr>
                <w:lang w:eastAsia="zh-CN"/>
              </w:rPr>
            </w:pPr>
          </w:p>
          <w:p w14:paraId="36BB27E3">
            <w:pPr>
              <w:widowControl w:val="0"/>
              <w:jc w:val="center"/>
              <w:rPr>
                <w:lang w:eastAsia="zh-CN"/>
              </w:rPr>
            </w:pPr>
          </w:p>
          <w:p w14:paraId="00DFF4E5">
            <w:pPr>
              <w:widowControl w:val="0"/>
              <w:jc w:val="center"/>
              <w:rPr>
                <w:lang w:eastAsia="zh-CN"/>
              </w:rPr>
            </w:pPr>
            <w:r>
              <w:rPr>
                <w:rFonts w:hint="eastAsia"/>
                <w:lang w:eastAsia="zh-CN"/>
              </w:rPr>
              <w:t>4</w:t>
            </w:r>
          </w:p>
        </w:tc>
        <w:tc>
          <w:tcPr>
            <w:tcW w:w="1386" w:type="dxa"/>
          </w:tcPr>
          <w:p w14:paraId="61BFBBA3">
            <w:pPr>
              <w:widowControl w:val="0"/>
              <w:spacing w:before="40" w:after="40" w:line="240" w:lineRule="auto"/>
              <w:jc w:val="left"/>
              <w:rPr>
                <w:lang w:eastAsia="zh-CN"/>
              </w:rPr>
            </w:pPr>
          </w:p>
          <w:p w14:paraId="0D022CCC">
            <w:pPr>
              <w:widowControl w:val="0"/>
              <w:spacing w:before="40" w:after="40" w:line="240" w:lineRule="auto"/>
              <w:jc w:val="left"/>
              <w:rPr>
                <w:lang w:eastAsia="zh-CN"/>
              </w:rPr>
            </w:pPr>
          </w:p>
          <w:p w14:paraId="3CF4856A">
            <w:pPr>
              <w:widowControl w:val="0"/>
              <w:spacing w:before="40" w:after="40" w:line="240" w:lineRule="auto"/>
              <w:jc w:val="left"/>
            </w:pPr>
            <w:r>
              <w:rPr>
                <w:rFonts w:hint="eastAsia"/>
                <w:lang w:eastAsia="zh-CN"/>
              </w:rPr>
              <w:t>付款进度安排</w:t>
            </w:r>
          </w:p>
        </w:tc>
        <w:tc>
          <w:tcPr>
            <w:tcW w:w="6594" w:type="dxa"/>
          </w:tcPr>
          <w:p w14:paraId="69F92C1E">
            <w:pPr>
              <w:widowControl/>
              <w:spacing w:before="40" w:after="40" w:line="240" w:lineRule="auto"/>
              <w:jc w:val="left"/>
              <w:rPr>
                <w:lang w:eastAsia="zh-CN"/>
              </w:rPr>
            </w:pPr>
            <w:r>
              <w:rPr>
                <w:rFonts w:hint="eastAsia"/>
                <w:lang w:eastAsia="zh-CN"/>
              </w:rPr>
              <w:t>第一期（合同签订后）：支付合同总金额的30%</w:t>
            </w:r>
            <w:r>
              <w:rPr>
                <w:rFonts w:hint="eastAsia"/>
                <w:lang w:eastAsia="zh-CN"/>
              </w:rPr>
              <w:br w:type="textWrapping"/>
            </w:r>
            <w:r>
              <w:rPr>
                <w:rFonts w:hint="eastAsia"/>
                <w:lang w:eastAsia="zh-CN"/>
              </w:rPr>
              <w:t>双方签订合同且中标方提交履约担保（如有）及等额发票后10个工作日内支付。</w:t>
            </w:r>
            <w:r>
              <w:rPr>
                <w:rFonts w:hint="eastAsia"/>
                <w:lang w:eastAsia="zh-CN"/>
              </w:rPr>
              <w:br w:type="textWrapping"/>
            </w:r>
            <w:r>
              <w:rPr>
                <w:rFonts w:hint="eastAsia"/>
                <w:lang w:eastAsia="zh-CN"/>
              </w:rPr>
              <w:t>第二期（验收通过后）：支付合同总金额的70%</w:t>
            </w:r>
            <w:r>
              <w:rPr>
                <w:rFonts w:hint="eastAsia"/>
                <w:lang w:eastAsia="zh-CN"/>
              </w:rPr>
              <w:br w:type="textWrapping"/>
            </w:r>
            <w:r>
              <w:rPr>
                <w:rFonts w:hint="eastAsia"/>
                <w:lang w:eastAsia="zh-CN"/>
              </w:rPr>
              <w:t>节地评价报告通过专家论证、全部最终成果交付验收合格且中标方提交等额发票后10个工作日内支付。</w:t>
            </w:r>
          </w:p>
        </w:tc>
      </w:tr>
      <w:tr w14:paraId="61B6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trPr>
        <w:tc>
          <w:tcPr>
            <w:tcW w:w="919" w:type="dxa"/>
          </w:tcPr>
          <w:p w14:paraId="1917EE87">
            <w:pPr>
              <w:widowControl w:val="0"/>
              <w:jc w:val="center"/>
              <w:rPr>
                <w:lang w:eastAsia="zh-CN"/>
              </w:rPr>
            </w:pPr>
          </w:p>
          <w:p w14:paraId="2F32BA1F">
            <w:pPr>
              <w:widowControl w:val="0"/>
              <w:jc w:val="center"/>
              <w:rPr>
                <w:lang w:eastAsia="zh-CN"/>
              </w:rPr>
            </w:pPr>
          </w:p>
          <w:p w14:paraId="2986085B">
            <w:pPr>
              <w:widowControl w:val="0"/>
              <w:jc w:val="center"/>
              <w:rPr>
                <w:lang w:eastAsia="zh-CN"/>
              </w:rPr>
            </w:pPr>
            <w:r>
              <w:rPr>
                <w:rFonts w:hint="eastAsia"/>
                <w:lang w:eastAsia="zh-CN"/>
              </w:rPr>
              <w:t>5</w:t>
            </w:r>
          </w:p>
        </w:tc>
        <w:tc>
          <w:tcPr>
            <w:tcW w:w="1386" w:type="dxa"/>
          </w:tcPr>
          <w:p w14:paraId="027566E0">
            <w:pPr>
              <w:widowControl w:val="0"/>
              <w:spacing w:before="40" w:after="40" w:line="240" w:lineRule="auto"/>
              <w:jc w:val="left"/>
              <w:rPr>
                <w:b/>
                <w:sz w:val="21"/>
              </w:rPr>
            </w:pPr>
          </w:p>
          <w:p w14:paraId="44F0F86C">
            <w:pPr>
              <w:widowControl w:val="0"/>
              <w:spacing w:before="40" w:after="40" w:line="240" w:lineRule="auto"/>
              <w:jc w:val="left"/>
              <w:rPr>
                <w:b/>
                <w:sz w:val="21"/>
              </w:rPr>
            </w:pPr>
          </w:p>
          <w:p w14:paraId="6600800B">
            <w:pPr>
              <w:widowControl w:val="0"/>
              <w:spacing w:before="40" w:after="40" w:line="240" w:lineRule="auto"/>
              <w:jc w:val="left"/>
            </w:pPr>
            <w:r>
              <w:rPr>
                <w:rFonts w:hint="eastAsia"/>
                <w:lang w:eastAsia="zh-CN"/>
              </w:rPr>
              <w:t>其他商务要求</w:t>
            </w:r>
          </w:p>
        </w:tc>
        <w:tc>
          <w:tcPr>
            <w:tcW w:w="6594" w:type="dxa"/>
          </w:tcPr>
          <w:p w14:paraId="7E3CFB42">
            <w:pPr>
              <w:widowControl/>
              <w:spacing w:before="40" w:after="40" w:line="240" w:lineRule="auto"/>
              <w:jc w:val="left"/>
              <w:rPr>
                <w:lang w:eastAsia="zh-CN"/>
              </w:rPr>
            </w:pPr>
            <w:r>
              <w:rPr>
                <w:rFonts w:hint="eastAsia"/>
                <w:lang w:eastAsia="zh-CN"/>
              </w:rPr>
              <w:t>（1）中标方应为本项目购买职业责任保险或提供同等效力的风险保障措施（提供承诺函）；</w:t>
            </w:r>
            <w:r>
              <w:rPr>
                <w:rFonts w:hint="eastAsia"/>
                <w:lang w:eastAsia="zh-CN"/>
              </w:rPr>
              <w:br w:type="textWrapping"/>
            </w:r>
            <w:r>
              <w:rPr>
                <w:rFonts w:hint="eastAsia"/>
                <w:lang w:eastAsia="zh-CN"/>
              </w:rPr>
              <w:t>（2）报价应为含税包干价，包括但不限于人员费用、差旅费用、资料费用、打印装订费用、专家论证会相关费用以及中标人履约所需的其他全部费用；</w:t>
            </w:r>
            <w:r>
              <w:rPr>
                <w:rFonts w:hint="eastAsia"/>
                <w:lang w:eastAsia="zh-CN"/>
              </w:rPr>
              <w:br w:type="textWrapping"/>
            </w:r>
            <w:r>
              <w:rPr>
                <w:rFonts w:hint="eastAsia"/>
                <w:lang w:eastAsia="zh-CN"/>
              </w:rPr>
              <w:t>（3）因政策调整或上位规划变更导致评价工作需要补充或修改的，中标方应配合完成，不再另行收取费用；</w:t>
            </w:r>
            <w:r>
              <w:rPr>
                <w:rFonts w:hint="eastAsia"/>
                <w:lang w:eastAsia="zh-CN"/>
              </w:rPr>
              <w:br w:type="textWrapping"/>
            </w:r>
            <w:r>
              <w:rPr>
                <w:rFonts w:hint="eastAsia"/>
                <w:lang w:eastAsia="zh-CN"/>
              </w:rPr>
              <w:t>（4）中标方不得以任何形式将合同权利义务转让给第三方（包括关联公司），否则视为严重违约。</w:t>
            </w:r>
          </w:p>
        </w:tc>
      </w:tr>
    </w:tbl>
    <w:p w14:paraId="77ED8309">
      <w:pPr>
        <w:spacing w:before="240" w:after="120"/>
        <w:rPr>
          <w:rFonts w:ascii="黑体" w:hAnsi="黑体" w:eastAsia="黑体"/>
          <w:b/>
          <w:sz w:val="28"/>
          <w:lang w:eastAsia="zh-CN"/>
        </w:rPr>
      </w:pPr>
      <w:r>
        <w:rPr>
          <w:rFonts w:hint="eastAsia" w:ascii="黑体" w:hAnsi="黑体" w:eastAsia="黑体"/>
          <w:b/>
          <w:sz w:val="28"/>
          <w:lang w:eastAsia="zh-CN"/>
        </w:rPr>
        <w:t>4.其他要求</w:t>
      </w:r>
    </w:p>
    <w:p w14:paraId="584C2A98">
      <w:pPr>
        <w:spacing w:before="40" w:after="40" w:line="240" w:lineRule="auto"/>
        <w:rPr>
          <w:lang w:eastAsia="zh-CN"/>
        </w:rPr>
      </w:pPr>
      <w:r>
        <w:rPr>
          <w:rFonts w:hint="eastAsia"/>
          <w:lang w:eastAsia="zh-CN"/>
        </w:rPr>
        <w:t>采购包1：</w:t>
      </w:r>
    </w:p>
    <w:p w14:paraId="7B02908B">
      <w:pPr>
        <w:spacing w:before="40" w:after="40" w:line="240" w:lineRule="auto"/>
        <w:rPr>
          <w:lang w:eastAsia="zh-CN"/>
        </w:rPr>
      </w:pPr>
      <w:r>
        <w:rPr>
          <w:rFonts w:hint="eastAsia"/>
          <w:lang w:eastAsia="zh-CN"/>
        </w:rPr>
        <w:t>★1.供应商（投标方）成交（中标）价（单价、下浮、折扣等其他方式报价时核算的总价）即为完成本项目的一切费用，包括但不限于因项目实施可能产生的供配送费、安装费、辅料费、设备费、组织费用、交通费、人工费、服务费、知识产权费、代理服务费、税费等，采购人不再支付成交供应商除本项目成交金额外的任何费用。（须单独提供承诺函，格式自拟并加盖供应商公章；未提供者视为无效投标。）</w:t>
      </w:r>
    </w:p>
    <w:p w14:paraId="73184AE6">
      <w:pPr>
        <w:spacing w:before="40" w:after="40" w:line="240" w:lineRule="auto"/>
        <w:rPr>
          <w:lang w:eastAsia="zh-CN"/>
        </w:rPr>
      </w:pPr>
      <w:r>
        <w:rPr>
          <w:rFonts w:hint="eastAsia"/>
          <w:lang w:eastAsia="zh-CN"/>
        </w:rPr>
        <w:t>★2.承诺和响应的提醒：关于供应商针对本项目提供的相关承诺以及响应，包括但不限于资格部分、符合性部分、评分以及采购文件其他部分要求的所有承诺及响应，供应商如承诺、响应均应对其承诺、响应的内容负责，采购人、采购代理机构及相关监管单位如有必要，将核实供应商承诺、响应的真实性，因虚假承诺、响应引起的所有责任和后果由供应商自行承担，与采购方、采购代理机构及相关评审人员无关。（须单独提供承诺函，格式自拟并加盖供应商公章；未提供者视为无效投标。）</w:t>
      </w:r>
    </w:p>
    <w:p w14:paraId="0C85BAE7">
      <w:pPr>
        <w:spacing w:before="40" w:after="40" w:line="240" w:lineRule="auto"/>
        <w:rPr>
          <w:lang w:eastAsia="zh-CN"/>
        </w:rPr>
      </w:pPr>
      <w:r>
        <w:rPr>
          <w:rFonts w:hint="eastAsia"/>
          <w:lang w:eastAsia="zh-CN"/>
        </w:rPr>
        <w:t>3.成本补偿：本项目无成本补偿。</w:t>
      </w:r>
    </w:p>
    <w:p w14:paraId="5D378245">
      <w:pPr>
        <w:spacing w:before="40" w:after="40" w:line="240" w:lineRule="auto"/>
        <w:rPr>
          <w:lang w:eastAsia="zh-CN"/>
        </w:rPr>
      </w:pPr>
      <w:r>
        <w:rPr>
          <w:rFonts w:hint="eastAsia"/>
          <w:lang w:eastAsia="zh-CN"/>
        </w:rPr>
        <w:t>★4.风险分担约定：项目实施过程中，一切由中标/成交方自身原因造成的人身安全事故，均由中标/成交方承担责任。（须单独提供承诺函，格式自拟并加盖供应商公章；未提供者视为无效投标。）</w:t>
      </w:r>
    </w:p>
    <w:p w14:paraId="0CCA4DDF">
      <w:pPr>
        <w:rPr>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15E1B"/>
    <w:rsid w:val="00455F02"/>
    <w:rsid w:val="00E97143"/>
    <w:rsid w:val="00FE1558"/>
    <w:rsid w:val="022F2759"/>
    <w:rsid w:val="1594066F"/>
    <w:rsid w:val="1E1906FC"/>
    <w:rsid w:val="40736F4F"/>
    <w:rsid w:val="42ED2FE9"/>
    <w:rsid w:val="5C0F3B78"/>
    <w:rsid w:val="7D92174F"/>
    <w:rsid w:val="7DE15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宋体" w:hAnsi="宋体" w:eastAsia="宋体" w:cstheme="minorBidi"/>
      <w:sz w:val="24"/>
      <w:szCs w:val="22"/>
      <w:lang w:val="en-US" w:eastAsia="en-US" w:bidi="ar-SA"/>
    </w:rPr>
  </w:style>
  <w:style w:type="character" w:default="1" w:styleId="4">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1174</Words>
  <Characters>1230</Characters>
  <Lines>18</Lines>
  <Paragraphs>5</Paragraphs>
  <TotalTime>0</TotalTime>
  <ScaleCrop>false</ScaleCrop>
  <LinksUpToDate>false</LinksUpToDate>
  <CharactersWithSpaces>1232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2026-08-25T07:19:00Z</dcterms:created>
  <dc:creator>WPS_1631720538</dc:creator>
  <cp:lastModifiedBy>Russ</cp:lastModifiedBy>
  <dcterms:modified xsi:type="dcterms:W3CDTF">2026-08-26T03:52:04Z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8091A305C12C474CBF0ECBDBF955313D_13</vt:lpwstr>
  </property>
  <property fmtid="{D5CDD505-2E9C-101B-9397-08002B2CF9AE}" pid="4" name="KSOTemplateDocerSaveRecord">
    <vt:lpwstr>eyJoZGlkIjoiOTBjZjRlYWUwMjY4ZDdlYmUwOTc3ZTIzMjczOWZlNzAiLCJ1c2VySWQiOiIxMjczOTk5MzQ5In0=</vt:lpwstr>
  </property>
</Properties>
</file>