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49187"/>
    <w:p w14:paraId="3DC0C7A4"/>
    <w:p w14:paraId="18D6BC44">
      <w:pPr>
        <w:autoSpaceDE w:val="0"/>
        <w:autoSpaceDN w:val="0"/>
        <w:adjustRightInd w:val="0"/>
        <w:spacing w:before="100" w:after="100"/>
        <w:ind w:firstLine="3602" w:firstLineChars="1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10E0821">
      <w:pPr>
        <w:autoSpaceDE w:val="0"/>
        <w:autoSpaceDN w:val="0"/>
        <w:adjustRightInd w:val="0"/>
        <w:spacing w:before="100" w:after="100"/>
        <w:ind w:firstLine="2701" w:firstLineChars="9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复肥事业部电商运营服务比选采购 </w:t>
      </w:r>
    </w:p>
    <w:p w14:paraId="77A00009">
      <w:pPr>
        <w:pStyle w:val="5"/>
        <w:ind w:firstLine="600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07AB37C8">
      <w:pPr>
        <w:pStyle w:val="8"/>
        <w:rPr>
          <w:rFonts w:asciiTheme="minorEastAsia" w:hAnsiTheme="minorEastAsia"/>
          <w:b/>
          <w:kern w:val="0"/>
          <w:sz w:val="72"/>
          <w:szCs w:val="72"/>
        </w:rPr>
      </w:pPr>
    </w:p>
    <w:p w14:paraId="5C76F8C7"/>
    <w:p w14:paraId="32CDF904"/>
    <w:p w14:paraId="74A42926"/>
    <w:p w14:paraId="259683A7"/>
    <w:p w14:paraId="51485A92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6C22714D">
      <w:pPr>
        <w:pStyle w:val="5"/>
        <w:ind w:left="0" w:leftChars="0" w:firstLine="0" w:firstLineChars="0"/>
        <w:jc w:val="center"/>
        <w:rPr>
          <w:rFonts w:eastAsia="黑体" w:cs="黑体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SFLHG-GKBX-2026-FW110</w:t>
      </w:r>
    </w:p>
    <w:p w14:paraId="1492FC55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17CEAC82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1DE1B0AE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11FB6731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2691E4AD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37AFE014">
      <w:pPr>
        <w:spacing w:line="600" w:lineRule="auto"/>
        <w:ind w:firstLine="2127" w:firstLineChars="709"/>
        <w:rPr>
          <w:rFonts w:asciiTheme="minorEastAsia" w:hAnsiTheme="minor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58A682B">
      <w:pPr>
        <w:spacing w:line="600" w:lineRule="auto"/>
        <w:ind w:firstLine="2127" w:firstLineChars="709"/>
        <w:rPr>
          <w:rFonts w:asciiTheme="minorEastAsia" w:hAnsiTheme="minor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22FEE8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比选人：</w:t>
      </w:r>
      <w:r>
        <w:rPr>
          <w:rFonts w:hint="eastAsia" w:asciiTheme="minorEastAsia" w:hAnsiTheme="minorEastAsia"/>
          <w:b/>
          <w:bCs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四川宏达股份有限公司</w:t>
      </w:r>
    </w:p>
    <w:p w14:paraId="7E768478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26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8月</w:t>
      </w:r>
      <w:r>
        <w:rPr>
          <w:rFonts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13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41B511C9">
      <w:pPr>
        <w:widowControl/>
        <w:spacing w:line="480" w:lineRule="auto"/>
        <w:jc w:val="left"/>
        <w:rPr>
          <w:rFonts w:asciiTheme="minorEastAsia" w:hAnsiTheme="minorEastAsia"/>
          <w:b/>
          <w:color w:val="FF0000"/>
          <w:sz w:val="30"/>
          <w:szCs w:val="30"/>
        </w:rPr>
        <w:sectPr>
          <w:pgSz w:w="11906" w:h="16838"/>
          <w:pgMar w:top="1361" w:right="1134" w:bottom="1361" w:left="1134" w:header="851" w:footer="992" w:gutter="0"/>
          <w:cols w:space="720" w:num="1"/>
        </w:sectPr>
      </w:pPr>
    </w:p>
    <w:p w14:paraId="62E704D0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四川宏达股份有限公司</w:t>
      </w:r>
    </w:p>
    <w:p w14:paraId="47FDBBA0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复肥事业部电商运营服务比选采购</w:t>
      </w:r>
    </w:p>
    <w:p w14:paraId="4BEA72A8">
      <w:pPr>
        <w:pStyle w:val="5"/>
        <w:ind w:firstLine="643"/>
        <w:jc w:val="center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  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SFLHG-GKBX-2026-FW110</w:t>
      </w:r>
    </w:p>
    <w:p w14:paraId="6C951100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各投标单位：</w:t>
      </w:r>
    </w:p>
    <w:p w14:paraId="3D06099D">
      <w:pPr>
        <w:widowControl/>
        <w:shd w:val="clear" w:color="auto" w:fill="FFFFFF"/>
        <w:spacing w:line="460" w:lineRule="exact"/>
        <w:ind w:firstLine="480" w:firstLineChars="200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四川宏达股份有限公司复肥事业部电商运营服务比选采购，本着“公开、公平、公正”的原则，欢迎贵公司前来报价，现将相关事项公告如下：</w:t>
      </w:r>
    </w:p>
    <w:p w14:paraId="56E5D618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一、标的物：复肥事业部电商运营服务比选采购  壹项</w:t>
      </w:r>
    </w:p>
    <w:p w14:paraId="41610D5C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 xml:space="preserve">二、比选人：四川宏达股份有限公司  </w:t>
      </w:r>
    </w:p>
    <w:p w14:paraId="701E27FF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kern w:val="0"/>
          <w:sz w:val="24"/>
          <w:szCs w:val="24"/>
        </w:rPr>
        <w:t>三、具体要求： 详见附件</w:t>
      </w:r>
    </w:p>
    <w:p w14:paraId="41B5EC55">
      <w:pPr>
        <w:widowControl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2.比选人资格要求</w:t>
      </w:r>
    </w:p>
    <w:p w14:paraId="49903543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营业执照（三证合一）。</w:t>
      </w:r>
    </w:p>
    <w:p w14:paraId="288752AA">
      <w:pPr>
        <w:rPr>
          <w:rFonts w:ascii="宋体" w:hAnsi="宋体" w:eastAsia="宋体" w:cs="Segoe UI"/>
          <w:kern w:val="0"/>
          <w:sz w:val="24"/>
          <w:szCs w:val="24"/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2.2提供</w:t>
      </w:r>
      <w:r>
        <w:rPr>
          <w:rFonts w:hint="eastAsia" w:ascii="宋体" w:hAnsi="宋体" w:eastAsia="宋体" w:cs="Segoe UI"/>
          <w:kern w:val="0"/>
          <w:sz w:val="24"/>
          <w:szCs w:val="24"/>
        </w:rPr>
        <w:t>过往类似案例（特别是面向全国类园艺/农资/快消类目，需体现多平台运营能力）。</w:t>
      </w:r>
    </w:p>
    <w:p w14:paraId="39C3FF25">
      <w:pPr>
        <w:spacing w:line="480" w:lineRule="exact"/>
        <w:rPr>
          <w:rFonts w:ascii="宋体" w:hAnsi="宋体" w:eastAsia="宋体" w:cstheme="majorEastAsia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四川宏达股份有限公司</w:t>
      </w:r>
      <w:r>
        <w:rPr>
          <w:rFonts w:hint="eastAsia" w:ascii="宋体" w:hAnsi="宋体" w:eastAsia="宋体" w:cs="Segoe UI"/>
          <w:kern w:val="0"/>
          <w:sz w:val="24"/>
          <w:szCs w:val="24"/>
        </w:rPr>
        <w:t>复肥事业部或其他能完成任务的地址</w:t>
      </w:r>
    </w:p>
    <w:p w14:paraId="643732AD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4.完成时间：3个月，视前期推广效果再研究讨论是否续签。</w:t>
      </w:r>
    </w:p>
    <w:p w14:paraId="6BF76FCE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5.付款方式及发票： 详见附件</w:t>
      </w:r>
    </w:p>
    <w:p w14:paraId="24A645D8">
      <w:pPr>
        <w:spacing w:line="480" w:lineRule="exact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69AAAE21">
      <w:pPr>
        <w:spacing w:line="480" w:lineRule="exact"/>
        <w:outlineLvl w:val="0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>获取方式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为：2026年</w:t>
      </w: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日 00 时 00分通过四川宏达股份有限公司集采中心招投标平台(以下简称“ 宏达股份集采平台”）（http://jc.sichuanhongda.com/）进行注册并登录后参与投标并下载比选文件。 </w:t>
      </w:r>
    </w:p>
    <w:p w14:paraId="32634A92">
      <w:pPr>
        <w:tabs>
          <w:tab w:val="left" w:pos="312"/>
        </w:tabs>
        <w:spacing w:line="480" w:lineRule="exact"/>
        <w:rPr>
          <w:rFonts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8.响应性文件的递交</w:t>
      </w:r>
    </w:p>
    <w:p w14:paraId="2F309BCB">
      <w:pPr>
        <w:spacing w:line="480" w:lineRule="exact"/>
        <w:rPr>
          <w:rFonts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递交截止时间：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2026年8月</w:t>
      </w: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日 </w:t>
      </w: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时 </w:t>
      </w: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 分。</w:t>
      </w:r>
    </w:p>
    <w:p w14:paraId="16F3D08E">
      <w:pPr>
        <w:spacing w:line="48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比选申请人按本比选文件第二章响应性文件格式制作报价</w:t>
      </w:r>
      <w:r>
        <w:rPr>
          <w:rFonts w:hint="eastAsia" w:ascii="宋体" w:hAnsi="宋体" w:eastAsia="宋体" w:cs="宋体"/>
          <w:kern w:val="0"/>
          <w:sz w:val="24"/>
          <w:szCs w:val="24"/>
        </w:rPr>
        <w:t>文件，</w:t>
      </w:r>
      <w:r>
        <w:rPr>
          <w:rFonts w:hint="eastAsia" w:ascii="宋体" w:hAnsi="宋体" w:eastAsia="宋体" w:cs="宋体"/>
          <w:sz w:val="24"/>
          <w:szCs w:val="24"/>
        </w:rPr>
        <w:t>注明</w:t>
      </w:r>
      <w:r>
        <w:rPr>
          <w:rFonts w:hint="eastAsia" w:ascii="宋体" w:hAnsi="宋体" w:eastAsia="宋体" w:cs="宋体"/>
          <w:kern w:val="0"/>
          <w:sz w:val="24"/>
          <w:szCs w:val="24"/>
        </w:rPr>
        <w:t>标的物名称、</w:t>
      </w:r>
      <w:r>
        <w:rPr>
          <w:rFonts w:hint="eastAsia" w:ascii="宋体" w:hAnsi="宋体" w:eastAsia="宋体" w:cs="宋体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644A0FF9">
      <w:pPr>
        <w:spacing w:line="480" w:lineRule="exac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769263F0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Segoe UI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.1</w:t>
      </w:r>
      <w:r>
        <w:rPr>
          <w:rFonts w:hint="eastAsia" w:ascii="宋体" w:hAnsi="宋体" w:eastAsia="宋体" w:cs="仿宋_GB2312"/>
          <w:b/>
          <w:sz w:val="24"/>
          <w:szCs w:val="24"/>
        </w:rPr>
        <w:t>比选申请人需提供</w:t>
      </w:r>
      <w:bookmarkStart w:id="1" w:name="OLE_LINK3"/>
      <w:bookmarkStart w:id="2" w:name="OLE_LINK4"/>
      <w:r>
        <w:rPr>
          <w:rFonts w:hint="eastAsia" w:ascii="宋体" w:hAnsi="宋体" w:eastAsia="宋体" w:cs="仿宋_GB2312"/>
          <w:b/>
          <w:sz w:val="24"/>
          <w:szCs w:val="24"/>
        </w:rPr>
        <w:t>营业执照（三证合一）</w:t>
      </w:r>
      <w:bookmarkEnd w:id="1"/>
      <w:bookmarkEnd w:id="2"/>
      <w:r>
        <w:rPr>
          <w:rFonts w:hint="eastAsia" w:ascii="宋体" w:hAnsi="宋体" w:eastAsia="宋体" w:cs="Segoe UI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22C0214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仿宋_GB2312"/>
          <w:b/>
          <w:sz w:val="24"/>
          <w:szCs w:val="24"/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.2</w:t>
      </w:r>
      <w:r>
        <w:rPr>
          <w:rFonts w:hint="eastAsia" w:ascii="宋体" w:hAnsi="宋体" w:eastAsia="宋体" w:cs="仿宋_GB2312"/>
          <w:b/>
          <w:sz w:val="24"/>
          <w:szCs w:val="24"/>
        </w:rPr>
        <w:t>详细的服务执行方案。</w:t>
      </w:r>
    </w:p>
    <w:p w14:paraId="5D5893C7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仿宋_GB2312"/>
          <w:b/>
          <w:sz w:val="24"/>
          <w:szCs w:val="24"/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.3</w:t>
      </w:r>
      <w:r>
        <w:rPr>
          <w:rFonts w:hint="eastAsia" w:ascii="宋体" w:hAnsi="宋体" w:eastAsia="宋体" w:cs="仿宋_GB2312"/>
          <w:b/>
          <w:sz w:val="24"/>
          <w:szCs w:val="24"/>
        </w:rPr>
        <w:t>项目团队配置及负责人资历（需有抖音、淘宝运营经验）。</w:t>
      </w:r>
    </w:p>
    <w:p w14:paraId="7CC504F3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仿宋_GB2312"/>
          <w:b/>
          <w:sz w:val="24"/>
          <w:szCs w:val="24"/>
        </w:rPr>
      </w:pPr>
      <w:r>
        <w:rPr>
          <w:rFonts w:hint="eastAsia" w:ascii="宋体" w:hAnsi="宋体" w:eastAsia="宋体" w:cs="仿宋_GB2312"/>
          <w:b/>
          <w:sz w:val="24"/>
          <w:szCs w:val="24"/>
        </w:rPr>
        <w:t>9</w:t>
      </w:r>
      <w:r>
        <w:rPr>
          <w:rFonts w:ascii="宋体" w:hAnsi="宋体" w:eastAsia="宋体" w:cs="仿宋_GB2312"/>
          <w:b/>
          <w:sz w:val="24"/>
          <w:szCs w:val="24"/>
        </w:rPr>
        <w:t>.4</w:t>
      </w:r>
      <w:r>
        <w:rPr>
          <w:rFonts w:hint="eastAsia" w:ascii="宋体" w:hAnsi="宋体" w:eastAsia="宋体" w:cs="仿宋_GB2312"/>
          <w:b/>
          <w:sz w:val="24"/>
          <w:szCs w:val="24"/>
        </w:rPr>
        <w:t>关键绩效指标（KPI、ROI）预估（如各平台短视频播放量、直播间GMV、店铺销售额、粉丝增长等，需分平台设定）。</w:t>
      </w:r>
    </w:p>
    <w:p w14:paraId="4E4C233A">
      <w:pPr>
        <w:pStyle w:val="9"/>
        <w:spacing w:before="0" w:beforeAutospacing="0" w:after="0" w:afterAutospacing="0" w:line="460" w:lineRule="exact"/>
        <w:rPr>
          <w:rFonts w:cs="Segoe UI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b/>
        </w:rPr>
        <w:t>9</w:t>
      </w:r>
      <w:r>
        <w:rPr>
          <w:rFonts w:cs="仿宋_GB2312"/>
          <w:b/>
        </w:rPr>
        <w:t>.5</w:t>
      </w:r>
      <w:r>
        <w:rPr>
          <w:rFonts w:hint="eastAsia" w:cs="Segoe UI"/>
          <w:b/>
          <w:color w:val="000000" w:themeColor="text1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cs="Segoe UI"/>
          <w:b/>
        </w:rPr>
        <w:t>过往类似案例（特别是园艺/农资/快消类目，需体现多平台运营能力）</w:t>
      </w:r>
      <w:r>
        <w:rPr>
          <w:rFonts w:hint="eastAsia" w:cs="Segoe UI"/>
          <w:b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57A2C23D">
      <w:pPr>
        <w:numPr>
          <w:ilvl w:val="0"/>
          <w:numId w:val="1"/>
        </w:numPr>
        <w:spacing w:line="480" w:lineRule="exac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比选办法：综合评分法</w:t>
      </w:r>
    </w:p>
    <w:p w14:paraId="4E2DD57E">
      <w:pPr>
        <w:pStyle w:val="9"/>
        <w:ind w:left="210" w:leftChars="100" w:firstLine="241" w:firstLineChars="100"/>
        <w:rPr>
          <w:rFonts w:ascii="仿宋_GB2312" w:hAnsi="仿宋_GB2312" w:eastAsia="仿宋_GB2312" w:cs="仿宋_GB2312"/>
          <w:b/>
          <w:bCs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hd w:val="clear" w:color="auto" w:fill="FFFFFF"/>
        </w:rPr>
        <w:t>评审方式：综合评分法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052"/>
        <w:gridCol w:w="5322"/>
        <w:gridCol w:w="1122"/>
        <w:gridCol w:w="1097"/>
      </w:tblGrid>
      <w:tr w14:paraId="3B8E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shd w:val="clear" w:color="auto" w:fill="auto"/>
            <w:noWrap/>
            <w:vAlign w:val="center"/>
          </w:tcPr>
          <w:p w14:paraId="50BD625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评审板块</w:t>
            </w:r>
          </w:p>
        </w:tc>
        <w:tc>
          <w:tcPr>
            <w:tcW w:w="540" w:type="pct"/>
            <w:shd w:val="clear" w:color="auto" w:fill="auto"/>
            <w:noWrap/>
            <w:vAlign w:val="center"/>
          </w:tcPr>
          <w:p w14:paraId="0C7337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总分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3B24AEF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细分项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095943E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分项分值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408EA6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得分</w:t>
            </w:r>
          </w:p>
        </w:tc>
      </w:tr>
      <w:tr w14:paraId="5564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shd w:val="clear" w:color="auto" w:fill="auto"/>
            <w:noWrap/>
            <w:vAlign w:val="center"/>
          </w:tcPr>
          <w:p w14:paraId="64D0C03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价格部分</w:t>
            </w:r>
          </w:p>
        </w:tc>
        <w:tc>
          <w:tcPr>
            <w:tcW w:w="540" w:type="pct"/>
            <w:shd w:val="clear" w:color="auto" w:fill="auto"/>
            <w:noWrap/>
            <w:vAlign w:val="center"/>
          </w:tcPr>
          <w:p w14:paraId="376BA7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41.5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3814DD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报价综合得分（基准价 = 平均价，小幅价差计分）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138EB5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41.5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64C785C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6D6E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restart"/>
            <w:shd w:val="clear" w:color="auto" w:fill="auto"/>
            <w:noWrap/>
            <w:vAlign w:val="center"/>
          </w:tcPr>
          <w:p w14:paraId="01CBC19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技术方案</w:t>
            </w:r>
          </w:p>
        </w:tc>
        <w:tc>
          <w:tcPr>
            <w:tcW w:w="540" w:type="pct"/>
            <w:vMerge w:val="restart"/>
            <w:shd w:val="clear" w:color="auto" w:fill="auto"/>
            <w:noWrap/>
            <w:vAlign w:val="center"/>
          </w:tcPr>
          <w:p w14:paraId="00CF28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23.5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26587F1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抖音及淘宝详细运营方案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2C108B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10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11B3B943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3B9BB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6D81C0DD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25D0DE44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58EB937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抖音及淘宝运营财务预测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08548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6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74354B6E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221D2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5FE0F202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53B111FD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4B0BF9E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运营风险预测及风控方案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257E77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7.5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7FC0CA48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07A28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restart"/>
            <w:shd w:val="clear" w:color="auto" w:fill="auto"/>
            <w:noWrap/>
            <w:vAlign w:val="center"/>
          </w:tcPr>
          <w:p w14:paraId="3F40424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商务资信</w:t>
            </w:r>
          </w:p>
        </w:tc>
        <w:tc>
          <w:tcPr>
            <w:tcW w:w="540" w:type="pct"/>
            <w:vMerge w:val="restart"/>
            <w:shd w:val="clear" w:color="auto" w:fill="auto"/>
            <w:noWrap/>
            <w:vAlign w:val="center"/>
          </w:tcPr>
          <w:p w14:paraId="1F3CB6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7724E4C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企业资质信用合规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5D68EA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1CFBEC3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1A28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00A26170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7080B424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148BBA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项目团队配置实力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4F8245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53B6780C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537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vMerge w:val="continue"/>
            <w:shd w:val="clear" w:color="auto" w:fill="auto"/>
            <w:noWrap/>
            <w:vAlign w:val="center"/>
          </w:tcPr>
          <w:p w14:paraId="16E6A52F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540" w:type="pct"/>
            <w:vMerge w:val="continue"/>
            <w:shd w:val="clear" w:color="auto" w:fill="auto"/>
            <w:noWrap/>
            <w:vAlign w:val="center"/>
          </w:tcPr>
          <w:p w14:paraId="295BAA75"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3CA70E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近三年服务业绩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FEB5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330F8391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 w14:paraId="77F8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89" w:type="pct"/>
            <w:shd w:val="clear" w:color="auto" w:fill="auto"/>
            <w:noWrap/>
            <w:vAlign w:val="center"/>
          </w:tcPr>
          <w:p w14:paraId="5FD540E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合计总分</w:t>
            </w:r>
          </w:p>
        </w:tc>
        <w:tc>
          <w:tcPr>
            <w:tcW w:w="540" w:type="pct"/>
            <w:shd w:val="clear" w:color="auto" w:fill="auto"/>
            <w:noWrap/>
            <w:vAlign w:val="center"/>
          </w:tcPr>
          <w:p w14:paraId="1327B2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2732" w:type="pct"/>
            <w:shd w:val="clear" w:color="auto" w:fill="auto"/>
            <w:noWrap/>
            <w:vAlign w:val="center"/>
          </w:tcPr>
          <w:p w14:paraId="74F828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——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F2B19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563" w:type="pct"/>
            <w:shd w:val="clear" w:color="auto" w:fill="auto"/>
            <w:noWrap/>
            <w:vAlign w:val="center"/>
          </w:tcPr>
          <w:p w14:paraId="638B7445"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 w14:paraId="5F55C0D8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.1有效报价：</w:t>
      </w:r>
    </w:p>
    <w:p w14:paraId="44700D00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通过资格审查、符合性审查的含税包干总价；漏项报价、后期加价、未附成本明细均为无效报价，不参与基准价计算。 </w:t>
      </w:r>
    </w:p>
    <w:p w14:paraId="58AE852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基准价(P0)：全部有效报价算术平均值 (P0=(P1+P2+P3+…+Pn)÷n)</w:t>
      </w:r>
    </w:p>
    <w:p w14:paraId="68FAD2E0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报价说明：全流程服务包干价，含直播、直播场地、人员小店运营、市场调研、品牌全案策划、人工、差旅、税费、修改服务等全部费用，无额外增费。</w:t>
      </w:r>
    </w:p>
    <w:p w14:paraId="46C3C722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计分规则（价格部分总分：41.5分）</w:t>
      </w:r>
    </w:p>
    <w:p w14:paraId="57374401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报价得分= 基准价\(P0)，得基础满分 40 分；</w:t>
      </w:r>
    </w:p>
    <w:p w14:paraId="4B71AFD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报价低于基准价</w:t>
      </w:r>
    </w:p>
    <w:p w14:paraId="5CA11B8F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降幅≤10%：每低 1% 仅加 0.15 分；</w:t>
      </w:r>
    </w:p>
    <w:p w14:paraId="0218C112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降幅＞10%：统一最多仅加 1.5 分，价格得分上限 41.5 分； 3）报价高于基准价</w:t>
      </w:r>
    </w:p>
    <w:p w14:paraId="034B8B44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涨幅≤10%：每高 1% 扣 0.3 分；</w:t>
      </w:r>
    </w:p>
    <w:p w14:paraId="73A4950B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涨幅＞10% 部分，每高 1% 扣 0.4 分； 价格得分最低 0 分，不产生负分。</w:t>
      </w:r>
    </w:p>
    <w:p w14:paraId="0B83ABC7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.2技术方案板块（总分 23.5 分）</w:t>
      </w:r>
    </w:p>
    <w:p w14:paraId="7A9FBC6D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1抖音及淘宝详细运营方案（10 分）</w:t>
      </w:r>
    </w:p>
    <w:p w14:paraId="5843D48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8～10 分：方案完整贴合宏达园艺肥料品类，精准匹配家庭园艺、养花种菜消费人群；清晰规划店铺定位、短视频内容脚本方向、直播排期、产品组合上架策略、直通车 / 千川投放逻辑、种草达人合作矩阵、私域转化路径；区分肥料新品、爆品、常规品差异化运营打法，落地步骤清晰、可直接执行。 </w:t>
      </w:r>
    </w:p>
    <w:p w14:paraId="13E0069C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5～7 分：具备基础抖音、淘宝运营框架，有人群、投放、短视频基础规划，但缺少园艺肥料行业专属运营策略，产品分层运营逻辑单薄，落地执行步骤简略。 </w:t>
      </w:r>
    </w:p>
    <w:p w14:paraId="528B278C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1～4 分：仅通用电商运营模板，未结合园艺肥料产品特性，无渠道差异化打法，内容空洞、无实操落地细节。</w:t>
      </w:r>
    </w:p>
    <w:p w14:paraId="0E16109E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0 分：未提供抖音、淘宝专项运营方案。</w:t>
      </w:r>
    </w:p>
    <w:p w14:paraId="188ABD7C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2抖音及淘宝运营财务预测（6 分）</w:t>
      </w:r>
    </w:p>
    <w:p w14:paraId="0BA2C77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5～6 分：根据现有货盘组合，按照毛利率66%,根据目标市场行情分析预测、分月度做线上营收、推广投放成本、人员运营成本、包装物流、毛利、盈亏平衡点完整测算；区分抖音直播、淘宝搜索 / 推荐渠道单独测算；结合园艺肥料行业客单价、复购率数据做合理预估，测算逻辑清晰、数据依据充分，同步标注盈亏风险临界点。</w:t>
      </w:r>
    </w:p>
    <w:p w14:paraId="2C9B9219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3～4 分：提供基础营收与成本测算，但未分渠道拆分；缺少复购、投放转化等关键参数支撑，测算维度不全，无盈亏平衡分析。 </w:t>
      </w:r>
    </w:p>
    <w:p w14:paraId="37DA81CA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1～2 分：仅有粗略收入预估，未核算测算逻辑混乱、数据无依据。 </w:t>
      </w:r>
    </w:p>
    <w:p w14:paraId="71F3F2D2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 分：未提供运营财务预测内容。</w:t>
      </w:r>
    </w:p>
    <w:p w14:paraId="47625F4D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 运营风险预测及风控方案（7.5 分）</w:t>
      </w:r>
    </w:p>
    <w:p w14:paraId="077BB0A3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6～7.5 分：全面覆盖电商全链路风险：线上价格内卷竞品风险、肥料产品合规宣传风险、物流破损售后风险、短视频流量波动风险、投放投产比失衡风险、季节性销量波动风险；针对每一类风险配套可落地应对措施、应急预案、合规文案审核流程。</w:t>
      </w:r>
    </w:p>
    <w:p w14:paraId="49348E1B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3.5～5.5 分：能识别大部分电商常规风险，但缺少农资园艺肥料专属合规、淡旺季库存相关风险预判，风控措施笼统，无专项应急预案。 </w:t>
      </w:r>
    </w:p>
    <w:p w14:paraId="384E00F4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1～3 分：仅简单列举少量风险，无对应管控、应对措施，内容浮于表面。 </w:t>
      </w:r>
    </w:p>
    <w:p w14:paraId="1B616BDD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 分：无运营风险及风控相关内容。</w:t>
      </w:r>
    </w:p>
    <w:p w14:paraId="3AA2DE07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.3商务资信板块（总分 35 分）</w:t>
      </w:r>
    </w:p>
    <w:p w14:paraId="77556543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1.企业资质信用合规（6 分）</w:t>
      </w:r>
    </w:p>
    <w:p w14:paraId="61BE2EAB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评审佐证材料：营业执照、国家企业信用信息公示系统截图，加盖公章</w:t>
      </w:r>
    </w:p>
    <w:p w14:paraId="314BF06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5～6 分：全部信用资料齐全有效；营业执照经营范围包含品牌策划、电商全案运营、包装设计相关业务；无失信、无行贿、无行业重大处罚记录。</w:t>
      </w:r>
    </w:p>
    <w:p w14:paraId="3DD8BC4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2～4 分：信用截图、承诺函齐全，但经营范围仅包含单一设计 / 单一电商服务，业务匹配度一般。 </w:t>
      </w:r>
    </w:p>
    <w:p w14:paraId="31A95F8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0～1 分：缺失任意一项信用查询截图或合规承诺函；企业列入严重违法失信、失信被执行人名单。</w:t>
      </w:r>
    </w:p>
    <w:p w14:paraId="70F6F966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 项目团队配置实力（9 分）</w:t>
      </w:r>
    </w:p>
    <w:p w14:paraId="425022F0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佐证材料：全体团队人员加盖公章简历、从业年限证明，团队总人数≥3 人，全员需 3 年以上品牌 / 电商运营相关经验</w:t>
      </w:r>
    </w:p>
    <w:p w14:paraId="1363A33A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7～9 分：项目负责人具备 5 年以同品类品牌策划 + 线上电商一体化服务经验；团队完整配备项目统筹、品牌策划、电商运营、专职人员，所有人员从业年限均满足 3 年以上，简历附带同类项目实操履历。</w:t>
      </w:r>
    </w:p>
    <w:p w14:paraId="7A936E6B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3～6 分：负责人 3-5 年相关行业经验；团队岗位缺失 1 类人员，或个别人员从业年限不足 3 年，人员履历单薄。 </w:t>
      </w:r>
    </w:p>
    <w:p w14:paraId="23BEE5C4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0～2 分：团队总人数不足 3 人；半数及以上人员无 3 年相关服务经验；未提供人员简历佐证材料。</w:t>
      </w:r>
    </w:p>
    <w:p w14:paraId="0927EE54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 近三年服务业绩（最高分20 分）（周期：2023.1.1 至递交文件前一日；每份业绩需提供合同关键页复印件加盖公章，无材料不计分）</w:t>
      </w:r>
    </w:p>
    <w:p w14:paraId="5A4A81E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（1）一类业绩（标杆同类项目：农资 / 园艺肥 / 花卉营养液 / 缓释肥品牌全案 + 抖音 + 淘宝线上运营一体化项目）</w:t>
      </w:r>
    </w:p>
    <w:p w14:paraId="3AAEBE4B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每份完整有效合同得 6分，</w:t>
      </w:r>
    </w:p>
    <w:p w14:paraId="2222E6E7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（2）二类业绩（相关配套项目：农产品、园林绿植、农林产品品牌策划 + 市场分析+电商平台运营服务，不含肥料品类）</w:t>
      </w:r>
    </w:p>
    <w:p w14:paraId="01BE263A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每份完整有效合同得 2 分，</w:t>
      </w:r>
    </w:p>
    <w:p w14:paraId="61530D3D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（3）三类业绩（其他面向全国品类相似产品单项：）</w:t>
      </w:r>
    </w:p>
    <w:p w14:paraId="2E9E7D86">
      <w:pPr>
        <w:spacing w:line="480" w:lineRule="exac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每份有效合同得 1 分</w:t>
      </w:r>
    </w:p>
    <w:p w14:paraId="5EEF439A">
      <w:pPr>
        <w:spacing w:line="480" w:lineRule="exact"/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0.3.4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扣分规则</w:t>
      </w:r>
    </w:p>
    <w:p w14:paraId="01895A37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仅提供合同封面、缺少服务范围、甲乙双方盖章页，不予计分；</w:t>
      </w:r>
    </w:p>
    <w:p w14:paraId="61E6DF2D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无任何有效业绩佐证材料，本项 20 分直接得 0 分；</w:t>
      </w:r>
    </w:p>
    <w:p w14:paraId="7612128D">
      <w:pPr>
        <w:spacing w:line="480" w:lineRule="exact"/>
        <w:ind w:firstLine="424" w:firstLineChars="177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伪造合同、虚假业绩材料查实，商务板块整体 0 分，取消参选资格。</w:t>
      </w:r>
    </w:p>
    <w:p w14:paraId="33DFFDAA">
      <w:pPr>
        <w:spacing w:line="480" w:lineRule="exact"/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0.3.5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总分评审排序规则</w:t>
      </w:r>
    </w:p>
    <w:p w14:paraId="31922B2F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最终得分 = 价格得分 + 技术方案得分 + 商务资信得分，所有评委独立打分，最终得分取算术平均值，保留 2 位小数；</w:t>
      </w:r>
    </w:p>
    <w:p w14:paraId="2A76B4A9">
      <w:pPr>
        <w:spacing w:line="4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总分出现同分，依次按「商务资信得分→技术方案得分→价格得分」从高到低排序；同分优先业绩更多、同类肥料项目丰富的参选单位；</w:t>
      </w:r>
    </w:p>
    <w:p w14:paraId="24297181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响应文件存在虚假资质、虚假人员履历、虚假业绩证明，直接作废标处理，所有得分归零。</w:t>
      </w:r>
    </w:p>
    <w:p w14:paraId="52D5D13C">
      <w:pPr>
        <w:pStyle w:val="9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46872D31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20CD2A7F">
      <w:pPr>
        <w:pStyle w:val="9"/>
        <w:spacing w:before="0" w:beforeAutospacing="0" w:after="0" w:afterAutospacing="0" w:line="480" w:lineRule="exact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561910C2">
      <w:pPr>
        <w:pStyle w:val="9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0D8A63B9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业绩</w:t>
      </w:r>
    </w:p>
    <w:p w14:paraId="59B2E40C">
      <w:pPr>
        <w:pStyle w:val="9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13响应评审标准：</w:t>
      </w:r>
    </w:p>
    <w:p w14:paraId="677ED80C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13.1技术文件响应性评审；</w:t>
      </w:r>
    </w:p>
    <w:p w14:paraId="01C2C0F8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13.2完成时间；</w:t>
      </w:r>
    </w:p>
    <w:p w14:paraId="59984546">
      <w:pPr>
        <w:pStyle w:val="9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hint="eastAsia" w:cs="Segoe UI"/>
        </w:rPr>
        <w:t>13.3付款方式；</w:t>
      </w:r>
    </w:p>
    <w:p w14:paraId="18D70D3D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697CBEEC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技术联系人：莫家豪 </w:t>
      </w:r>
      <w:r>
        <w:rPr>
          <w:rFonts w:ascii="宋体" w:hAnsi="宋体" w:eastAsia="宋体" w:cs="宋体"/>
          <w:kern w:val="0"/>
          <w:sz w:val="24"/>
          <w:szCs w:val="24"/>
        </w:rPr>
        <w:t>15183326571</w:t>
      </w:r>
    </w:p>
    <w:p w14:paraId="13C72705">
      <w:pPr>
        <w:spacing w:line="480" w:lineRule="exac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商务联系人：李伟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13628075717</w:t>
      </w:r>
    </w:p>
    <w:p w14:paraId="7D7FF1CD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地 址：四川省德阳市什邡洛水镇                   </w:t>
      </w:r>
    </w:p>
    <w:p w14:paraId="0CDAC526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07CC51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3209DB8">
      <w:pPr>
        <w:adjustRightInd w:val="0"/>
        <w:spacing w:line="48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附件：复肥事业部电商运营服务采购需求概述</w:t>
      </w:r>
    </w:p>
    <w:p w14:paraId="641C0071">
      <w:pPr>
        <w:adjustRightInd w:val="0"/>
        <w:spacing w:line="480" w:lineRule="exact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97D75E">
      <w:pPr>
        <w:adjustRightInd w:val="0"/>
        <w:spacing w:line="480" w:lineRule="exact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E5ED79">
      <w:pPr>
        <w:adjustRightInd w:val="0"/>
        <w:spacing w:line="480" w:lineRule="exact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55D1B9CC">
      <w:pPr>
        <w:spacing w:line="480" w:lineRule="exact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2026年8月1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3</w:t>
      </w:r>
      <w:bookmarkStart w:id="20" w:name="_GoBack"/>
      <w:bookmarkEnd w:id="20"/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</w:p>
    <w:p w14:paraId="28259068">
      <w:pPr>
        <w:jc w:val="center"/>
        <w:rPr>
          <w:rFonts w:ascii="宋体" w:hAnsi="宋体"/>
          <w:b/>
          <w:bCs/>
          <w:szCs w:val="21"/>
        </w:rPr>
      </w:pPr>
      <w:bookmarkStart w:id="3" w:name="_Toc275019836"/>
      <w:bookmarkStart w:id="4" w:name="_Hlk155791057"/>
      <w:bookmarkStart w:id="5" w:name="_Toc275014947"/>
      <w:bookmarkStart w:id="6" w:name="_Toc268793030"/>
      <w:bookmarkStart w:id="7" w:name="_Toc238797630"/>
      <w:bookmarkStart w:id="8" w:name="_Toc269113527"/>
      <w:bookmarkStart w:id="9" w:name="_Toc318986166"/>
      <w:bookmarkStart w:id="10" w:name="_Toc16684"/>
      <w:bookmarkStart w:id="11" w:name="_Toc274236999"/>
      <w:bookmarkStart w:id="12" w:name="_Toc275019290"/>
      <w:bookmarkStart w:id="13" w:name="_Toc303149804"/>
      <w:bookmarkStart w:id="14" w:name="_Toc274596702"/>
      <w:bookmarkStart w:id="15" w:name="_Toc275019684"/>
      <w:bookmarkStart w:id="16" w:name="_Toc238552273"/>
    </w:p>
    <w:p w14:paraId="07A6B9D0">
      <w:pPr>
        <w:jc w:val="center"/>
        <w:rPr>
          <w:rFonts w:ascii="宋体" w:hAnsi="宋体"/>
          <w:b/>
          <w:bCs/>
          <w:szCs w:val="21"/>
        </w:rPr>
      </w:pPr>
    </w:p>
    <w:p w14:paraId="59A016B7">
      <w:pPr>
        <w:jc w:val="center"/>
        <w:rPr>
          <w:rFonts w:ascii="宋体" w:hAnsi="宋体"/>
          <w:b/>
          <w:bCs/>
          <w:szCs w:val="21"/>
        </w:rPr>
      </w:pPr>
    </w:p>
    <w:p w14:paraId="6BA073BE">
      <w:pPr>
        <w:rPr>
          <w:rFonts w:ascii="宋体" w:hAnsi="宋体"/>
          <w:b/>
          <w:bCs/>
          <w:szCs w:val="21"/>
        </w:rPr>
      </w:pPr>
    </w:p>
    <w:p w14:paraId="3A858049">
      <w:pPr>
        <w:rPr>
          <w:rFonts w:ascii="宋体" w:hAnsi="宋体"/>
          <w:b/>
          <w:bCs/>
          <w:szCs w:val="21"/>
        </w:rPr>
      </w:pPr>
    </w:p>
    <w:p w14:paraId="5D506964">
      <w:pPr>
        <w:rPr>
          <w:rFonts w:ascii="宋体" w:hAnsi="宋体"/>
          <w:b/>
          <w:bCs/>
          <w:szCs w:val="21"/>
        </w:rPr>
      </w:pPr>
    </w:p>
    <w:p w14:paraId="1ED049E0">
      <w:pPr>
        <w:rPr>
          <w:rFonts w:ascii="宋体" w:hAnsi="宋体"/>
          <w:b/>
          <w:bCs/>
          <w:szCs w:val="21"/>
        </w:rPr>
      </w:pPr>
    </w:p>
    <w:p w14:paraId="5CDA0F70">
      <w:pPr>
        <w:rPr>
          <w:rFonts w:ascii="宋体" w:hAnsi="宋体"/>
          <w:b/>
          <w:bCs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4CB4DA90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第二章 </w:t>
      </w:r>
    </w:p>
    <w:p w14:paraId="6B73B576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报价文件格式</w:t>
      </w:r>
    </w:p>
    <w:p w14:paraId="3567F6D3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left"/>
        <w:textAlignment w:val="bottom"/>
        <w:rPr>
          <w:rFonts w:ascii="黑体" w:hAnsi="黑体" w:eastAsia="黑体" w:cs="宋体"/>
          <w:sz w:val="30"/>
          <w:szCs w:val="30"/>
          <w:u w:val="single"/>
        </w:rPr>
      </w:pPr>
    </w:p>
    <w:p w14:paraId="06BA0A5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018FDE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12333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8B57E9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0A98FD1D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四川宏达股份有限公司</w:t>
      </w:r>
    </w:p>
    <w:p w14:paraId="4DC30743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复肥事业部电商运营服务比选采购</w:t>
      </w:r>
    </w:p>
    <w:p w14:paraId="7BCD8C8B">
      <w:pPr>
        <w:autoSpaceDE w:val="0"/>
        <w:autoSpaceDN w:val="0"/>
        <w:adjustRightInd w:val="0"/>
        <w:spacing w:before="100" w:after="100"/>
        <w:ind w:firstLine="2401" w:firstLineChars="800"/>
        <w:jc w:val="left"/>
        <w:rPr>
          <w:rFonts w:ascii="宋体" w:hAnsi="宋体" w:cs="宋体"/>
          <w:b/>
          <w:bCs/>
          <w:sz w:val="30"/>
          <w:szCs w:val="30"/>
        </w:rPr>
      </w:pPr>
    </w:p>
    <w:p w14:paraId="2500822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5A260D67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0F8D8605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6A96622F">
      <w:pPr>
        <w:rPr>
          <w:rFonts w:ascii="黑体" w:hAnsi="黑体" w:eastAsia="黑体" w:cs="黑体"/>
          <w:sz w:val="30"/>
          <w:szCs w:val="30"/>
        </w:rPr>
      </w:pPr>
    </w:p>
    <w:p w14:paraId="7EE4F352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响应性文件</w:t>
      </w:r>
    </w:p>
    <w:p w14:paraId="67A53771">
      <w:pPr>
        <w:rPr>
          <w:rFonts w:ascii="黑体" w:hAnsi="黑体" w:eastAsia="黑体" w:cs="黑体"/>
          <w:sz w:val="30"/>
          <w:szCs w:val="30"/>
        </w:rPr>
      </w:pPr>
    </w:p>
    <w:p w14:paraId="37315704">
      <w:pPr>
        <w:rPr>
          <w:rFonts w:ascii="黑体" w:hAnsi="黑体" w:eastAsia="黑体" w:cs="黑体"/>
          <w:sz w:val="30"/>
          <w:szCs w:val="30"/>
        </w:rPr>
      </w:pPr>
    </w:p>
    <w:p w14:paraId="161CD1ED">
      <w:pPr>
        <w:rPr>
          <w:rFonts w:ascii="黑体" w:hAnsi="黑体" w:eastAsia="黑体" w:cs="黑体"/>
          <w:sz w:val="30"/>
          <w:szCs w:val="30"/>
        </w:rPr>
      </w:pPr>
    </w:p>
    <w:p w14:paraId="23CD4168">
      <w:pPr>
        <w:rPr>
          <w:rFonts w:ascii="黑体" w:hAnsi="黑体" w:eastAsia="黑体" w:cs="黑体"/>
          <w:sz w:val="30"/>
          <w:szCs w:val="30"/>
        </w:rPr>
      </w:pPr>
    </w:p>
    <w:p w14:paraId="52C934AD">
      <w:pPr>
        <w:keepNext/>
        <w:keepLines/>
        <w:numPr>
          <w:ilvl w:val="0"/>
          <w:numId w:val="2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7" w:name="_Toc9978"/>
      <w:bookmarkStart w:id="18" w:name="_Toc30198"/>
      <w:bookmarkStart w:id="19" w:name="_Toc4384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7"/>
      <w:bookmarkEnd w:id="18"/>
      <w:bookmarkEnd w:id="19"/>
    </w:p>
    <w:p w14:paraId="59C3E27B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3BA77824">
      <w:pPr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Theme="minorEastAsia" w:hAnsiTheme="minorEastAsia"/>
          <w:szCs w:val="21"/>
        </w:rPr>
        <w:t>1、我方已仔细研究了(</w:t>
      </w:r>
      <w:r>
        <w:rPr>
          <w:rFonts w:hint="eastAsia" w:asciiTheme="minorEastAsia" w:hAnsiTheme="minorEastAsia"/>
          <w:b/>
          <w:szCs w:val="21"/>
        </w:rPr>
        <w:t>复肥事业部电商运营服务比选采购</w:t>
      </w:r>
      <w:r>
        <w:rPr>
          <w:rFonts w:hint="eastAsia" w:asciiTheme="minorEastAsia" w:hAnsiTheme="minorEastAsia"/>
          <w:szCs w:val="21"/>
        </w:rPr>
        <w:t>) 比选文件(包括补充通知的全部内容，愿意</w:t>
      </w:r>
      <w:r>
        <w:rPr>
          <w:rFonts w:hint="eastAsia" w:cs="Arial" w:asciiTheme="minorEastAsia" w:hAnsiTheme="minorEastAsia"/>
          <w:bCs/>
          <w:szCs w:val="21"/>
        </w:rPr>
        <w:t>以含税人民币大写：</w:t>
      </w:r>
      <w:r>
        <w:rPr>
          <w:rFonts w:hint="eastAsia" w:cs="Arial" w:asciiTheme="minorEastAsia" w:hAnsiTheme="minorEastAsia"/>
          <w:bCs/>
          <w:szCs w:val="21"/>
          <w:u w:val="single"/>
        </w:rPr>
        <w:t xml:space="preserve">          </w:t>
      </w:r>
      <w:r>
        <w:rPr>
          <w:rFonts w:hint="eastAsia" w:cs="Arial" w:asciiTheme="minorEastAsia" w:hAnsiTheme="minorEastAsia"/>
          <w:bCs/>
          <w:szCs w:val="21"/>
        </w:rPr>
        <w:t>元</w:t>
      </w:r>
      <w:r>
        <w:rPr>
          <w:rFonts w:hint="eastAsia"/>
          <w:spacing w:val="-3"/>
          <w:szCs w:val="21"/>
        </w:rPr>
        <w:t>（</w:t>
      </w:r>
      <w:r>
        <w:rPr>
          <w:spacing w:val="-3"/>
          <w:szCs w:val="21"/>
        </w:rPr>
        <w:t>¥</w:t>
      </w:r>
      <w:r>
        <w:rPr>
          <w:rFonts w:hint="eastAsia"/>
          <w:spacing w:val="-3"/>
          <w:szCs w:val="21"/>
        </w:rPr>
        <w:t>：</w:t>
      </w:r>
      <w:r>
        <w:rPr>
          <w:spacing w:val="-3"/>
          <w:szCs w:val="21"/>
          <w:u w:val="single"/>
        </w:rPr>
        <w:tab/>
      </w:r>
      <w:r>
        <w:rPr>
          <w:spacing w:val="-3"/>
          <w:szCs w:val="21"/>
          <w:u w:val="single"/>
        </w:rPr>
        <w:t xml:space="preserve">            </w:t>
      </w:r>
      <w:r>
        <w:rPr>
          <w:rFonts w:hint="eastAsia"/>
          <w:spacing w:val="-3"/>
          <w:szCs w:val="21"/>
        </w:rPr>
        <w:t>元</w:t>
      </w:r>
      <w:r>
        <w:rPr>
          <w:rFonts w:hint="eastAsia"/>
          <w:spacing w:val="-13"/>
          <w:szCs w:val="21"/>
        </w:rPr>
        <w:t>）</w:t>
      </w:r>
      <w:r>
        <w:rPr>
          <w:rFonts w:hint="eastAsia" w:asciiTheme="minorEastAsia" w:hAnsiTheme="minorEastAsia"/>
          <w:bCs/>
          <w:szCs w:val="21"/>
        </w:rPr>
        <w:t>（其中增值</w:t>
      </w:r>
      <w:r>
        <w:rPr>
          <w:rFonts w:hint="eastAsia" w:asciiTheme="minorEastAsia" w:hAnsiTheme="minorEastAsia"/>
          <w:szCs w:val="21"/>
        </w:rPr>
        <w:t>税税率为</w:t>
      </w:r>
      <w:r>
        <w:rPr>
          <w:rFonts w:hint="eastAsia" w:asciiTheme="minorEastAsia" w:hAnsi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/>
          <w:szCs w:val="21"/>
        </w:rPr>
        <w:t>%）的比选总报价，按比选文件规定的条件和要求承担合同规定的全部工作，并承担相关的责任。付款方式：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    </w:t>
      </w:r>
      <w:r>
        <w:rPr>
          <w:rFonts w:hint="eastAsia" w:asciiTheme="minorEastAsia" w:hAnsiTheme="minorEastAsia"/>
          <w:szCs w:val="21"/>
        </w:rPr>
        <w:t>。服务时间：</w:t>
      </w:r>
      <w:r>
        <w:rPr>
          <w:rFonts w:hint="eastAsia" w:asciiTheme="minorEastAsia" w:hAnsiTheme="minorEastAsia"/>
          <w:szCs w:val="21"/>
          <w:u w:val="single"/>
        </w:rPr>
        <w:t>三个月。</w:t>
      </w:r>
    </w:p>
    <w:p w14:paraId="263A08EC">
      <w:pPr>
        <w:pStyle w:val="16"/>
        <w:spacing w:before="120" w:line="400" w:lineRule="exact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附单项报价</w:t>
      </w:r>
    </w:p>
    <w:p w14:paraId="0315B2AC">
      <w:pPr>
        <w:pStyle w:val="16"/>
        <w:spacing w:before="120" w:line="400" w:lineRule="exact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asciiTheme="minorEastAsia" w:hAnsiTheme="minorEastAsia" w:eastAsia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/>
          <w:sz w:val="21"/>
          <w:szCs w:val="21"/>
        </w:rPr>
        <w:t>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3732AC3D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、如我方中标，我方承诺：</w:t>
      </w:r>
    </w:p>
    <w:p w14:paraId="6EE339E5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2ED6B1D1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66CB36F3">
      <w:pPr>
        <w:spacing w:line="560" w:lineRule="exact"/>
        <w:rPr>
          <w:rFonts w:asciiTheme="minorEastAsia" w:hAnsiTheme="minorEastAsia"/>
          <w:szCs w:val="21"/>
        </w:rPr>
      </w:pPr>
    </w:p>
    <w:p w14:paraId="116A0EA5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69A0BCAC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3D4E5FF4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7E375276">
      <w:pPr>
        <w:spacing w:line="400" w:lineRule="exact"/>
        <w:rPr>
          <w:rFonts w:ascii="黑体" w:hAnsi="黑体" w:eastAsia="黑体"/>
          <w:szCs w:val="21"/>
        </w:rPr>
      </w:pPr>
    </w:p>
    <w:p w14:paraId="57AAEE18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39C5BE15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1.对采购文件提出的要求和条件作出明确响应，投标人需要说明的内容若需特殊表达，应先在本表中进行相应说明，再另页应答，否则投标无效。</w:t>
      </w:r>
    </w:p>
    <w:p w14:paraId="1A0A39BF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25EB69C2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35EA1D26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4EBFC0E0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4B48E599">
      <w:pPr>
        <w:widowControl/>
        <w:jc w:val="left"/>
        <w:rPr>
          <w:rFonts w:ascii="宋体" w:hAnsi="宋体" w:cs="宋体"/>
          <w:szCs w:val="21"/>
        </w:rPr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docGrid w:type="lines" w:linePitch="312" w:charSpace="0"/>
        </w:sectPr>
      </w:pPr>
    </w:p>
    <w:p w14:paraId="68522F2F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5D02C0C4">
      <w:pPr>
        <w:pStyle w:val="15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11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946"/>
        <w:gridCol w:w="1711"/>
        <w:gridCol w:w="1366"/>
        <w:gridCol w:w="1367"/>
        <w:gridCol w:w="1578"/>
      </w:tblGrid>
      <w:tr w14:paraId="1C5A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E1D1A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序号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C240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合同签订时间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D61F4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业绩单位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8E0CF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项目内容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87EFA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数量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A2174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5EBB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3D7E7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5AAED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B02AD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A3753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D42CA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D3211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27BE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D624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...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5F096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F9FB6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6309F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6B560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36E8B">
            <w:pPr>
              <w:pStyle w:val="15"/>
              <w:ind w:firstLine="0" w:firstLineChars="0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  <w:tr w14:paraId="2CE34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51D06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合计</w:t>
            </w:r>
          </w:p>
        </w:tc>
        <w:tc>
          <w:tcPr>
            <w:tcW w:w="2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F3632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3288B">
            <w:pPr>
              <w:pStyle w:val="15"/>
              <w:ind w:right="560" w:firstLine="700" w:firstLineChars="350"/>
              <w:jc w:val="lef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家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48216">
            <w:pPr>
              <w:pStyle w:val="15"/>
              <w:ind w:firstLine="0" w:firstLineChars="0"/>
              <w:jc w:val="center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cs="Segoe UI" w:asciiTheme="minorEastAsia" w:hAnsiTheme="minorEastAsia"/>
                <w:kern w:val="0"/>
                <w:sz w:val="20"/>
                <w:szCs w:val="21"/>
              </w:rPr>
              <w:t>/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7F413">
            <w:pPr>
              <w:pStyle w:val="15"/>
              <w:ind w:firstLine="0" w:firstLineChars="0"/>
              <w:jc w:val="righ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4B64">
            <w:pPr>
              <w:pStyle w:val="15"/>
              <w:ind w:firstLine="0" w:firstLineChars="0"/>
              <w:jc w:val="right"/>
              <w:rPr>
                <w:rFonts w:eastAsia="宋体" w:cs="Segoe UI" w:asciiTheme="minorEastAsia" w:hAnsiTheme="minorEastAsia"/>
                <w:kern w:val="0"/>
                <w:sz w:val="20"/>
                <w:szCs w:val="21"/>
              </w:rPr>
            </w:pPr>
          </w:p>
        </w:tc>
      </w:tr>
    </w:tbl>
    <w:p w14:paraId="16C09B25">
      <w:pPr>
        <w:pStyle w:val="15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2AD6E2CF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24A21F95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4A10B5F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9C6C71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37164D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74B00CD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398F528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3A6A47B4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0568FB1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1A41F0E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55147665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08C93B08">
      <w:pPr>
        <w:spacing w:line="360" w:lineRule="auto"/>
        <w:ind w:firstLine="420" w:firstLineChars="200"/>
        <w:jc w:val="center"/>
        <w:rPr>
          <w:rFonts w:ascii="宋体" w:hAnsi="宋体" w:cs="宋体"/>
          <w:b/>
          <w:bCs/>
          <w:szCs w:val="21"/>
        </w:rPr>
      </w:pPr>
    </w:p>
    <w:p w14:paraId="68624BDE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2DDCF09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94EF0A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74E933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7029963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139558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E45B56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9F1D5B8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6EE02A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4EBF436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1C6CB37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61D95F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5765A1EC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（三）资质文件（营业执照）</w:t>
      </w:r>
    </w:p>
    <w:p w14:paraId="0D797AF9">
      <w:pPr>
        <w:spacing w:line="360" w:lineRule="auto"/>
        <w:rPr>
          <w:rFonts w:ascii="宋体" w:hAnsi="宋体"/>
          <w:b/>
          <w:szCs w:val="21"/>
        </w:rPr>
      </w:pPr>
    </w:p>
    <w:p w14:paraId="34FB376B">
      <w:pPr>
        <w:spacing w:line="360" w:lineRule="auto"/>
        <w:rPr>
          <w:rFonts w:ascii="宋体" w:hAnsi="宋体"/>
          <w:b/>
          <w:szCs w:val="21"/>
        </w:rPr>
      </w:pPr>
    </w:p>
    <w:p w14:paraId="13DA0C50">
      <w:pPr>
        <w:spacing w:line="360" w:lineRule="auto"/>
        <w:rPr>
          <w:rFonts w:ascii="宋体" w:hAnsi="宋体"/>
          <w:b/>
          <w:szCs w:val="21"/>
        </w:rPr>
      </w:pPr>
    </w:p>
    <w:p w14:paraId="134C6219">
      <w:pPr>
        <w:spacing w:line="360" w:lineRule="auto"/>
        <w:rPr>
          <w:rFonts w:ascii="宋体" w:hAnsi="宋体"/>
          <w:b/>
          <w:szCs w:val="21"/>
        </w:rPr>
      </w:pPr>
    </w:p>
    <w:p w14:paraId="0415AB0C">
      <w:pPr>
        <w:spacing w:line="360" w:lineRule="auto"/>
        <w:rPr>
          <w:rFonts w:ascii="宋体" w:hAnsi="宋体"/>
          <w:b/>
          <w:szCs w:val="21"/>
        </w:rPr>
      </w:pPr>
    </w:p>
    <w:p w14:paraId="2E499AE5">
      <w:pPr>
        <w:spacing w:line="360" w:lineRule="auto"/>
        <w:rPr>
          <w:rFonts w:ascii="宋体" w:hAnsi="宋体"/>
          <w:b/>
          <w:szCs w:val="21"/>
        </w:rPr>
      </w:pPr>
    </w:p>
    <w:p w14:paraId="5287FDCE">
      <w:pPr>
        <w:spacing w:line="360" w:lineRule="auto"/>
        <w:rPr>
          <w:rFonts w:ascii="宋体" w:hAnsi="宋体"/>
          <w:b/>
          <w:szCs w:val="21"/>
        </w:rPr>
      </w:pPr>
    </w:p>
    <w:p w14:paraId="19FAE76D">
      <w:pPr>
        <w:spacing w:line="360" w:lineRule="auto"/>
        <w:rPr>
          <w:rFonts w:ascii="宋体" w:hAnsi="宋体"/>
          <w:b/>
          <w:szCs w:val="21"/>
        </w:rPr>
      </w:pPr>
    </w:p>
    <w:p w14:paraId="21EF6CAB">
      <w:pPr>
        <w:spacing w:line="360" w:lineRule="auto"/>
        <w:rPr>
          <w:rFonts w:ascii="宋体" w:hAnsi="宋体"/>
          <w:b/>
          <w:szCs w:val="21"/>
        </w:rPr>
      </w:pPr>
    </w:p>
    <w:p w14:paraId="1A473AE3">
      <w:pPr>
        <w:spacing w:line="360" w:lineRule="auto"/>
        <w:rPr>
          <w:rFonts w:ascii="宋体" w:hAnsi="宋体"/>
          <w:b/>
          <w:szCs w:val="21"/>
        </w:rPr>
      </w:pPr>
    </w:p>
    <w:p w14:paraId="7A20C760">
      <w:pPr>
        <w:spacing w:line="360" w:lineRule="auto"/>
        <w:rPr>
          <w:rFonts w:ascii="宋体" w:hAnsi="宋体"/>
          <w:b/>
          <w:szCs w:val="21"/>
        </w:rPr>
      </w:pPr>
    </w:p>
    <w:p w14:paraId="2B24A0A8">
      <w:pPr>
        <w:spacing w:line="360" w:lineRule="auto"/>
        <w:rPr>
          <w:rFonts w:ascii="宋体" w:hAnsi="宋体"/>
          <w:b/>
          <w:szCs w:val="21"/>
        </w:rPr>
      </w:pPr>
    </w:p>
    <w:p w14:paraId="73A1848B">
      <w:pPr>
        <w:spacing w:line="360" w:lineRule="auto"/>
        <w:rPr>
          <w:rFonts w:ascii="宋体" w:hAnsi="宋体"/>
          <w:b/>
          <w:szCs w:val="21"/>
        </w:rPr>
      </w:pPr>
    </w:p>
    <w:p w14:paraId="50126338">
      <w:pPr>
        <w:spacing w:line="360" w:lineRule="auto"/>
        <w:rPr>
          <w:rFonts w:ascii="宋体" w:hAnsi="宋体"/>
          <w:b/>
          <w:szCs w:val="21"/>
        </w:rPr>
      </w:pPr>
    </w:p>
    <w:p w14:paraId="3E9D7C92">
      <w:pPr>
        <w:spacing w:line="360" w:lineRule="auto"/>
        <w:rPr>
          <w:rFonts w:ascii="宋体" w:hAnsi="宋体"/>
          <w:b/>
          <w:szCs w:val="21"/>
        </w:rPr>
      </w:pPr>
    </w:p>
    <w:p w14:paraId="13FC736F">
      <w:pPr>
        <w:spacing w:line="360" w:lineRule="auto"/>
        <w:rPr>
          <w:rFonts w:ascii="宋体" w:hAnsi="宋体"/>
          <w:b/>
          <w:szCs w:val="21"/>
        </w:rPr>
      </w:pPr>
    </w:p>
    <w:p w14:paraId="5E5C0D5B">
      <w:pPr>
        <w:spacing w:line="360" w:lineRule="auto"/>
        <w:rPr>
          <w:rFonts w:ascii="宋体" w:hAnsi="宋体"/>
          <w:b/>
          <w:szCs w:val="21"/>
        </w:rPr>
      </w:pPr>
    </w:p>
    <w:p w14:paraId="765EF4AD">
      <w:pPr>
        <w:spacing w:line="360" w:lineRule="auto"/>
        <w:rPr>
          <w:rFonts w:ascii="宋体" w:hAnsi="宋体"/>
          <w:b/>
          <w:szCs w:val="21"/>
        </w:rPr>
      </w:pPr>
    </w:p>
    <w:p w14:paraId="22E61C99">
      <w:pPr>
        <w:spacing w:line="360" w:lineRule="auto"/>
        <w:rPr>
          <w:rFonts w:ascii="宋体" w:hAnsi="宋体"/>
          <w:b/>
          <w:szCs w:val="21"/>
        </w:rPr>
      </w:pPr>
    </w:p>
    <w:p w14:paraId="4E12F795">
      <w:pPr>
        <w:spacing w:line="360" w:lineRule="auto"/>
        <w:rPr>
          <w:rFonts w:ascii="宋体" w:hAnsi="宋体"/>
          <w:b/>
          <w:szCs w:val="21"/>
        </w:rPr>
      </w:pPr>
    </w:p>
    <w:p w14:paraId="0A7BF3C1">
      <w:pPr>
        <w:spacing w:line="360" w:lineRule="auto"/>
        <w:rPr>
          <w:rFonts w:ascii="宋体" w:hAnsi="宋体"/>
          <w:b/>
          <w:szCs w:val="21"/>
        </w:rPr>
      </w:pPr>
    </w:p>
    <w:p w14:paraId="0879EA61">
      <w:pPr>
        <w:spacing w:line="360" w:lineRule="auto"/>
        <w:rPr>
          <w:rFonts w:ascii="宋体" w:hAnsi="宋体"/>
          <w:b/>
          <w:szCs w:val="21"/>
        </w:rPr>
      </w:pPr>
    </w:p>
    <w:p w14:paraId="24E516EE">
      <w:pPr>
        <w:spacing w:line="360" w:lineRule="auto"/>
        <w:rPr>
          <w:rFonts w:ascii="宋体" w:hAnsi="宋体"/>
          <w:b/>
          <w:szCs w:val="21"/>
        </w:rPr>
      </w:pPr>
    </w:p>
    <w:p w14:paraId="06EF61F6">
      <w:pPr>
        <w:spacing w:line="360" w:lineRule="auto"/>
        <w:rPr>
          <w:rFonts w:ascii="宋体" w:hAnsi="宋体"/>
          <w:b/>
          <w:szCs w:val="21"/>
        </w:rPr>
      </w:pPr>
    </w:p>
    <w:p w14:paraId="681FA040">
      <w:pPr>
        <w:spacing w:line="360" w:lineRule="auto"/>
        <w:rPr>
          <w:rFonts w:ascii="宋体" w:hAnsi="宋体"/>
          <w:b/>
          <w:szCs w:val="21"/>
        </w:rPr>
      </w:pPr>
    </w:p>
    <w:p w14:paraId="3537D3BE">
      <w:pPr>
        <w:spacing w:line="360" w:lineRule="auto"/>
        <w:rPr>
          <w:rFonts w:ascii="宋体" w:hAnsi="宋体"/>
          <w:b/>
          <w:szCs w:val="21"/>
        </w:rPr>
      </w:pPr>
    </w:p>
    <w:p w14:paraId="32FC138E">
      <w:pPr>
        <w:spacing w:line="360" w:lineRule="auto"/>
        <w:rPr>
          <w:rFonts w:ascii="宋体" w:hAnsi="宋体"/>
          <w:b/>
          <w:szCs w:val="21"/>
        </w:rPr>
      </w:pPr>
    </w:p>
    <w:p w14:paraId="1B9FCD9D">
      <w:pPr>
        <w:spacing w:line="360" w:lineRule="auto"/>
        <w:rPr>
          <w:rFonts w:ascii="宋体" w:hAnsi="宋体"/>
          <w:b/>
          <w:szCs w:val="21"/>
        </w:rPr>
      </w:pPr>
    </w:p>
    <w:p w14:paraId="6C652493">
      <w:pPr>
        <w:spacing w:line="360" w:lineRule="auto"/>
        <w:rPr>
          <w:rFonts w:ascii="宋体" w:hAnsi="宋体"/>
          <w:b/>
          <w:szCs w:val="21"/>
        </w:rPr>
      </w:pPr>
    </w:p>
    <w:p w14:paraId="773020D2">
      <w:pPr>
        <w:numPr>
          <w:ilvl w:val="0"/>
          <w:numId w:val="3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：团队人员配置</w:t>
      </w:r>
    </w:p>
    <w:p w14:paraId="4B5FBCAC">
      <w:pPr>
        <w:spacing w:line="360" w:lineRule="auto"/>
        <w:rPr>
          <w:rFonts w:ascii="宋体" w:hAnsi="宋体"/>
          <w:b/>
          <w:szCs w:val="21"/>
        </w:rPr>
      </w:pPr>
    </w:p>
    <w:p w14:paraId="1015AF32">
      <w:pPr>
        <w:spacing w:line="360" w:lineRule="auto"/>
        <w:rPr>
          <w:rFonts w:ascii="宋体" w:hAnsi="宋体"/>
          <w:b/>
          <w:szCs w:val="21"/>
        </w:rPr>
      </w:pPr>
    </w:p>
    <w:p w14:paraId="762344D8">
      <w:pPr>
        <w:spacing w:line="360" w:lineRule="auto"/>
        <w:rPr>
          <w:rFonts w:ascii="宋体" w:hAnsi="宋体"/>
          <w:b/>
          <w:szCs w:val="21"/>
        </w:rPr>
      </w:pPr>
    </w:p>
    <w:p w14:paraId="2125B893">
      <w:pPr>
        <w:spacing w:line="360" w:lineRule="auto"/>
        <w:rPr>
          <w:rFonts w:ascii="宋体" w:hAnsi="宋体"/>
          <w:b/>
          <w:szCs w:val="21"/>
        </w:rPr>
      </w:pPr>
    </w:p>
    <w:p w14:paraId="1BE5F7B4">
      <w:pPr>
        <w:spacing w:line="360" w:lineRule="auto"/>
        <w:rPr>
          <w:rFonts w:ascii="宋体" w:hAnsi="宋体"/>
          <w:b/>
          <w:szCs w:val="21"/>
        </w:rPr>
      </w:pPr>
    </w:p>
    <w:p w14:paraId="3679AC2A">
      <w:pPr>
        <w:spacing w:line="360" w:lineRule="auto"/>
        <w:rPr>
          <w:rFonts w:ascii="宋体" w:hAnsi="宋体"/>
          <w:b/>
          <w:szCs w:val="21"/>
        </w:rPr>
      </w:pPr>
    </w:p>
    <w:p w14:paraId="6EBA6DB5">
      <w:pPr>
        <w:spacing w:line="360" w:lineRule="auto"/>
        <w:rPr>
          <w:rFonts w:ascii="宋体" w:hAnsi="宋体"/>
          <w:b/>
          <w:szCs w:val="21"/>
        </w:rPr>
      </w:pPr>
    </w:p>
    <w:p w14:paraId="0BA08E9B">
      <w:pPr>
        <w:spacing w:line="360" w:lineRule="auto"/>
        <w:rPr>
          <w:rFonts w:ascii="宋体" w:hAnsi="宋体"/>
          <w:b/>
          <w:szCs w:val="21"/>
        </w:rPr>
      </w:pPr>
    </w:p>
    <w:p w14:paraId="79A7F989">
      <w:pPr>
        <w:spacing w:line="360" w:lineRule="auto"/>
        <w:rPr>
          <w:rFonts w:ascii="宋体" w:hAnsi="宋体"/>
          <w:b/>
          <w:szCs w:val="21"/>
        </w:rPr>
      </w:pPr>
    </w:p>
    <w:p w14:paraId="1B0E95BA">
      <w:pPr>
        <w:spacing w:line="360" w:lineRule="auto"/>
        <w:rPr>
          <w:rFonts w:ascii="宋体" w:hAnsi="宋体"/>
          <w:b/>
          <w:szCs w:val="21"/>
        </w:rPr>
      </w:pPr>
    </w:p>
    <w:p w14:paraId="0573CBC0">
      <w:pPr>
        <w:spacing w:line="360" w:lineRule="auto"/>
        <w:rPr>
          <w:rFonts w:ascii="宋体" w:hAnsi="宋体"/>
          <w:b/>
          <w:szCs w:val="21"/>
        </w:rPr>
      </w:pPr>
    </w:p>
    <w:p w14:paraId="4A6ECF9E">
      <w:pPr>
        <w:spacing w:line="360" w:lineRule="auto"/>
        <w:rPr>
          <w:rFonts w:ascii="宋体" w:hAnsi="宋体"/>
          <w:b/>
          <w:szCs w:val="21"/>
        </w:rPr>
      </w:pPr>
    </w:p>
    <w:p w14:paraId="0EB95FE9">
      <w:pPr>
        <w:spacing w:line="360" w:lineRule="auto"/>
        <w:rPr>
          <w:rFonts w:ascii="宋体" w:hAnsi="宋体"/>
          <w:b/>
          <w:szCs w:val="21"/>
        </w:rPr>
      </w:pPr>
    </w:p>
    <w:p w14:paraId="7E1A98CC">
      <w:pPr>
        <w:spacing w:line="360" w:lineRule="auto"/>
        <w:rPr>
          <w:rFonts w:ascii="宋体" w:hAnsi="宋体"/>
          <w:b/>
          <w:szCs w:val="21"/>
        </w:rPr>
      </w:pPr>
    </w:p>
    <w:p w14:paraId="33E5C5BF">
      <w:pPr>
        <w:spacing w:line="360" w:lineRule="auto"/>
        <w:rPr>
          <w:rFonts w:ascii="宋体" w:hAnsi="宋体"/>
          <w:b/>
          <w:szCs w:val="21"/>
        </w:rPr>
      </w:pPr>
    </w:p>
    <w:p w14:paraId="6DC2A24D">
      <w:pPr>
        <w:spacing w:line="360" w:lineRule="auto"/>
        <w:rPr>
          <w:rFonts w:ascii="宋体" w:hAnsi="宋体"/>
          <w:b/>
          <w:szCs w:val="21"/>
        </w:rPr>
      </w:pPr>
    </w:p>
    <w:p w14:paraId="37B03173">
      <w:pPr>
        <w:spacing w:line="360" w:lineRule="auto"/>
        <w:rPr>
          <w:rFonts w:ascii="宋体" w:hAnsi="宋体"/>
          <w:b/>
          <w:szCs w:val="21"/>
        </w:rPr>
      </w:pPr>
    </w:p>
    <w:p w14:paraId="618952E4">
      <w:pPr>
        <w:spacing w:line="360" w:lineRule="auto"/>
        <w:rPr>
          <w:rFonts w:ascii="宋体" w:hAnsi="宋体"/>
          <w:b/>
          <w:szCs w:val="21"/>
        </w:rPr>
      </w:pPr>
    </w:p>
    <w:p w14:paraId="49BAFD5C">
      <w:pPr>
        <w:spacing w:line="360" w:lineRule="auto"/>
        <w:rPr>
          <w:rFonts w:ascii="宋体" w:hAnsi="宋体"/>
          <w:b/>
          <w:szCs w:val="21"/>
        </w:rPr>
      </w:pPr>
    </w:p>
    <w:p w14:paraId="334AD596">
      <w:pPr>
        <w:spacing w:line="360" w:lineRule="auto"/>
        <w:rPr>
          <w:rFonts w:ascii="宋体" w:hAnsi="宋体"/>
          <w:b/>
          <w:szCs w:val="21"/>
        </w:rPr>
      </w:pPr>
    </w:p>
    <w:p w14:paraId="256F1474">
      <w:pPr>
        <w:spacing w:line="360" w:lineRule="auto"/>
        <w:rPr>
          <w:rFonts w:ascii="宋体" w:hAnsi="宋体"/>
          <w:b/>
          <w:szCs w:val="21"/>
        </w:rPr>
      </w:pPr>
    </w:p>
    <w:p w14:paraId="4562A065">
      <w:pPr>
        <w:spacing w:line="360" w:lineRule="auto"/>
        <w:rPr>
          <w:rFonts w:ascii="宋体" w:hAnsi="宋体"/>
          <w:b/>
          <w:szCs w:val="21"/>
        </w:rPr>
      </w:pPr>
    </w:p>
    <w:p w14:paraId="67E45131">
      <w:pPr>
        <w:spacing w:line="360" w:lineRule="auto"/>
        <w:rPr>
          <w:rFonts w:ascii="宋体" w:hAnsi="宋体"/>
          <w:b/>
          <w:szCs w:val="21"/>
        </w:rPr>
      </w:pPr>
    </w:p>
    <w:p w14:paraId="214D75A0">
      <w:pPr>
        <w:spacing w:line="360" w:lineRule="auto"/>
        <w:rPr>
          <w:rFonts w:ascii="宋体" w:hAnsi="宋体"/>
          <w:b/>
          <w:szCs w:val="21"/>
        </w:rPr>
      </w:pPr>
    </w:p>
    <w:p w14:paraId="6055070F">
      <w:pPr>
        <w:spacing w:line="360" w:lineRule="auto"/>
        <w:rPr>
          <w:rFonts w:ascii="宋体" w:hAnsi="宋体"/>
          <w:b/>
          <w:szCs w:val="21"/>
        </w:rPr>
      </w:pPr>
    </w:p>
    <w:p w14:paraId="48232899">
      <w:pPr>
        <w:spacing w:line="360" w:lineRule="auto"/>
        <w:rPr>
          <w:rFonts w:ascii="宋体" w:hAnsi="宋体"/>
          <w:b/>
          <w:szCs w:val="21"/>
        </w:rPr>
      </w:pPr>
    </w:p>
    <w:p w14:paraId="7A640D4F">
      <w:pPr>
        <w:spacing w:line="360" w:lineRule="auto"/>
        <w:rPr>
          <w:rFonts w:ascii="宋体" w:hAnsi="宋体"/>
          <w:b/>
          <w:szCs w:val="21"/>
        </w:rPr>
      </w:pPr>
    </w:p>
    <w:p w14:paraId="1DEC4167">
      <w:pPr>
        <w:spacing w:line="360" w:lineRule="auto"/>
        <w:rPr>
          <w:rFonts w:ascii="宋体" w:hAnsi="宋体"/>
          <w:b/>
          <w:szCs w:val="21"/>
        </w:rPr>
      </w:pPr>
    </w:p>
    <w:p w14:paraId="1DD46044">
      <w:pPr>
        <w:spacing w:line="360" w:lineRule="auto"/>
        <w:rPr>
          <w:rFonts w:ascii="宋体" w:hAnsi="宋体"/>
          <w:b/>
          <w:szCs w:val="21"/>
        </w:rPr>
      </w:pPr>
    </w:p>
    <w:p w14:paraId="5DE31720"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（五）、运营服务方案及效果或财务预测</w:t>
      </w:r>
    </w:p>
    <w:p w14:paraId="7BFE338C">
      <w:pPr>
        <w:spacing w:line="360" w:lineRule="auto"/>
        <w:rPr>
          <w:rFonts w:ascii="宋体" w:hAnsi="宋体"/>
          <w:b/>
          <w:szCs w:val="21"/>
        </w:rPr>
      </w:pPr>
    </w:p>
    <w:p w14:paraId="3A069EC5">
      <w:pPr>
        <w:spacing w:line="360" w:lineRule="auto"/>
        <w:rPr>
          <w:rFonts w:ascii="宋体" w:hAnsi="宋体"/>
          <w:b/>
          <w:szCs w:val="21"/>
        </w:rPr>
      </w:pPr>
    </w:p>
    <w:p w14:paraId="33D46731">
      <w:pPr>
        <w:spacing w:line="360" w:lineRule="auto"/>
        <w:rPr>
          <w:rFonts w:ascii="宋体" w:hAnsi="宋体"/>
          <w:b/>
          <w:szCs w:val="21"/>
        </w:rPr>
      </w:pPr>
    </w:p>
    <w:p w14:paraId="57A928A7">
      <w:pPr>
        <w:spacing w:line="360" w:lineRule="auto"/>
        <w:rPr>
          <w:rFonts w:ascii="宋体" w:hAnsi="宋体"/>
          <w:b/>
          <w:szCs w:val="21"/>
        </w:rPr>
      </w:pPr>
    </w:p>
    <w:p w14:paraId="5E4CAFDA">
      <w:pPr>
        <w:spacing w:line="360" w:lineRule="auto"/>
        <w:rPr>
          <w:rFonts w:ascii="宋体" w:hAnsi="宋体"/>
          <w:b/>
          <w:szCs w:val="21"/>
        </w:rPr>
      </w:pPr>
    </w:p>
    <w:p w14:paraId="099B8E83">
      <w:pPr>
        <w:spacing w:line="360" w:lineRule="auto"/>
        <w:rPr>
          <w:rFonts w:ascii="宋体" w:hAnsi="宋体"/>
          <w:b/>
          <w:szCs w:val="21"/>
        </w:rPr>
      </w:pPr>
    </w:p>
    <w:p w14:paraId="57FD00E6">
      <w:pPr>
        <w:spacing w:line="360" w:lineRule="auto"/>
        <w:rPr>
          <w:rFonts w:ascii="宋体" w:hAnsi="宋体"/>
          <w:b/>
          <w:szCs w:val="21"/>
        </w:rPr>
      </w:pPr>
    </w:p>
    <w:p w14:paraId="1B73E22E">
      <w:pPr>
        <w:spacing w:line="360" w:lineRule="auto"/>
        <w:rPr>
          <w:rFonts w:ascii="宋体" w:hAnsi="宋体"/>
          <w:b/>
          <w:szCs w:val="21"/>
        </w:rPr>
      </w:pPr>
    </w:p>
    <w:p w14:paraId="62ED2B5E">
      <w:pPr>
        <w:spacing w:line="360" w:lineRule="auto"/>
        <w:rPr>
          <w:rFonts w:ascii="宋体" w:hAnsi="宋体"/>
          <w:b/>
          <w:szCs w:val="21"/>
        </w:rPr>
      </w:pPr>
    </w:p>
    <w:p w14:paraId="638FEA14">
      <w:pPr>
        <w:spacing w:line="360" w:lineRule="auto"/>
        <w:rPr>
          <w:rFonts w:ascii="宋体" w:hAnsi="宋体"/>
          <w:b/>
          <w:szCs w:val="21"/>
        </w:rPr>
      </w:pPr>
    </w:p>
    <w:p w14:paraId="3E479276">
      <w:pPr>
        <w:spacing w:line="360" w:lineRule="auto"/>
        <w:rPr>
          <w:rFonts w:ascii="宋体" w:hAnsi="宋体"/>
          <w:b/>
          <w:szCs w:val="21"/>
        </w:rPr>
      </w:pPr>
    </w:p>
    <w:p w14:paraId="478EEC67">
      <w:pPr>
        <w:spacing w:line="360" w:lineRule="auto"/>
        <w:rPr>
          <w:rFonts w:ascii="宋体" w:hAnsi="宋体"/>
          <w:b/>
          <w:szCs w:val="21"/>
        </w:rPr>
      </w:pPr>
    </w:p>
    <w:p w14:paraId="5B769022">
      <w:pPr>
        <w:spacing w:line="360" w:lineRule="auto"/>
        <w:rPr>
          <w:rFonts w:ascii="宋体" w:hAnsi="宋体"/>
          <w:b/>
          <w:szCs w:val="21"/>
        </w:rPr>
      </w:pPr>
    </w:p>
    <w:p w14:paraId="7B1B589A">
      <w:pPr>
        <w:spacing w:line="360" w:lineRule="auto"/>
        <w:rPr>
          <w:rFonts w:ascii="宋体" w:hAnsi="宋体"/>
          <w:b/>
          <w:szCs w:val="21"/>
        </w:rPr>
      </w:pPr>
    </w:p>
    <w:p w14:paraId="7A3B35BE">
      <w:pPr>
        <w:spacing w:line="360" w:lineRule="auto"/>
        <w:rPr>
          <w:rFonts w:ascii="宋体" w:hAnsi="宋体"/>
          <w:b/>
          <w:szCs w:val="21"/>
        </w:rPr>
      </w:pPr>
    </w:p>
    <w:p w14:paraId="1B8C1200">
      <w:pPr>
        <w:spacing w:line="360" w:lineRule="auto"/>
        <w:rPr>
          <w:rFonts w:ascii="宋体" w:hAnsi="宋体"/>
          <w:b/>
          <w:szCs w:val="21"/>
        </w:rPr>
      </w:pPr>
    </w:p>
    <w:p w14:paraId="7CAA9CFD">
      <w:pPr>
        <w:spacing w:line="360" w:lineRule="auto"/>
        <w:rPr>
          <w:rFonts w:ascii="宋体" w:hAnsi="宋体"/>
          <w:b/>
          <w:szCs w:val="21"/>
        </w:rPr>
      </w:pPr>
    </w:p>
    <w:p w14:paraId="6891A823">
      <w:pPr>
        <w:spacing w:line="360" w:lineRule="auto"/>
        <w:rPr>
          <w:rFonts w:ascii="宋体" w:hAnsi="宋体"/>
          <w:b/>
          <w:szCs w:val="21"/>
        </w:rPr>
      </w:pPr>
    </w:p>
    <w:p w14:paraId="61137211">
      <w:pPr>
        <w:spacing w:line="360" w:lineRule="auto"/>
        <w:rPr>
          <w:rFonts w:ascii="宋体" w:hAnsi="宋体"/>
          <w:b/>
          <w:szCs w:val="21"/>
        </w:rPr>
      </w:pPr>
    </w:p>
    <w:p w14:paraId="6B950C03">
      <w:pPr>
        <w:spacing w:line="360" w:lineRule="auto"/>
        <w:rPr>
          <w:rFonts w:ascii="宋体" w:hAnsi="宋体"/>
          <w:b/>
          <w:szCs w:val="21"/>
        </w:rPr>
      </w:pPr>
    </w:p>
    <w:p w14:paraId="254DA5D9">
      <w:pPr>
        <w:spacing w:line="360" w:lineRule="auto"/>
        <w:rPr>
          <w:rFonts w:ascii="宋体" w:hAnsi="宋体"/>
          <w:b/>
          <w:szCs w:val="21"/>
        </w:rPr>
      </w:pPr>
    </w:p>
    <w:p w14:paraId="58FBFC20">
      <w:pPr>
        <w:spacing w:line="360" w:lineRule="auto"/>
        <w:rPr>
          <w:rFonts w:ascii="宋体" w:hAnsi="宋体"/>
          <w:b/>
          <w:szCs w:val="21"/>
        </w:rPr>
      </w:pPr>
    </w:p>
    <w:p w14:paraId="266068DE">
      <w:pPr>
        <w:spacing w:line="360" w:lineRule="auto"/>
        <w:rPr>
          <w:rFonts w:ascii="宋体" w:hAnsi="宋体"/>
          <w:b/>
          <w:szCs w:val="21"/>
        </w:rPr>
      </w:pPr>
    </w:p>
    <w:p w14:paraId="282F67F1">
      <w:pPr>
        <w:spacing w:line="360" w:lineRule="auto"/>
        <w:rPr>
          <w:rFonts w:ascii="宋体" w:hAnsi="宋体"/>
          <w:b/>
          <w:szCs w:val="21"/>
        </w:rPr>
      </w:pPr>
    </w:p>
    <w:p w14:paraId="2B26D760">
      <w:pPr>
        <w:spacing w:line="360" w:lineRule="auto"/>
        <w:rPr>
          <w:rFonts w:ascii="宋体" w:hAnsi="宋体"/>
          <w:b/>
          <w:szCs w:val="21"/>
        </w:rPr>
      </w:pPr>
    </w:p>
    <w:p w14:paraId="31E719C8">
      <w:pPr>
        <w:spacing w:line="360" w:lineRule="auto"/>
        <w:rPr>
          <w:rFonts w:ascii="宋体" w:hAnsi="宋体"/>
          <w:b/>
          <w:szCs w:val="21"/>
        </w:rPr>
      </w:pPr>
    </w:p>
    <w:p w14:paraId="2E9606E1">
      <w:pPr>
        <w:spacing w:line="360" w:lineRule="auto"/>
        <w:rPr>
          <w:rFonts w:ascii="宋体" w:hAnsi="宋体"/>
          <w:b/>
          <w:szCs w:val="21"/>
        </w:rPr>
      </w:pPr>
    </w:p>
    <w:p w14:paraId="73BEC091">
      <w:pPr>
        <w:spacing w:line="360" w:lineRule="auto"/>
        <w:rPr>
          <w:rFonts w:ascii="宋体" w:hAnsi="宋体"/>
          <w:b/>
          <w:szCs w:val="21"/>
        </w:rPr>
      </w:pPr>
    </w:p>
    <w:p w14:paraId="1606477E">
      <w:pPr>
        <w:spacing w:line="360" w:lineRule="auto"/>
        <w:rPr>
          <w:rFonts w:ascii="宋体" w:hAnsi="宋体"/>
          <w:b/>
          <w:szCs w:val="21"/>
        </w:rPr>
      </w:pPr>
    </w:p>
    <w:p w14:paraId="302E0B4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（六）承 诺 书</w:t>
      </w:r>
    </w:p>
    <w:p w14:paraId="3FCF0A6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7AE915E5">
      <w:pPr>
        <w:widowControl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</w:t>
      </w:r>
      <w:r>
        <w:rPr>
          <w:rFonts w:hint="eastAsia" w:ascii="宋体" w:hAnsi="宋体"/>
          <w:szCs w:val="21"/>
          <w:u w:val="single"/>
        </w:rPr>
        <w:t>四川宏达股份有限公司</w:t>
      </w:r>
      <w:r>
        <w:rPr>
          <w:rFonts w:hint="eastAsia" w:asciiTheme="minorEastAsia" w:hAnsiTheme="minorEastAsia"/>
          <w:b/>
          <w:szCs w:val="21"/>
          <w:u w:val="single"/>
        </w:rPr>
        <w:t>复肥事业部电商运营服务比选采购</w:t>
      </w:r>
      <w:r>
        <w:rPr>
          <w:rFonts w:hint="eastAsia" w:ascii="宋体" w:hAnsi="宋体"/>
          <w:szCs w:val="21"/>
        </w:rPr>
        <w:t>的投标，现郑重作出以下承诺：</w:t>
      </w:r>
    </w:p>
    <w:p w14:paraId="7AA4C24A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58A61E6C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53C14E7C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60F8C14E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34D6946B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01BF8911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3F9172E8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556C41CE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67C8C861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</w:t>
      </w:r>
      <w:r>
        <w:rPr>
          <w:rFonts w:ascii="宋体" w:hAnsi="宋体"/>
          <w:szCs w:val="21"/>
        </w:rPr>
        <w:t xml:space="preserve">         </w:t>
      </w:r>
      <w:r>
        <w:rPr>
          <w:rFonts w:hint="eastAsia" w:ascii="宋体" w:hAnsi="宋体"/>
          <w:szCs w:val="21"/>
        </w:rPr>
        <w:t xml:space="preserve">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145A1119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</w:t>
      </w:r>
      <w:r>
        <w:rPr>
          <w:rFonts w:ascii="宋体" w:hAnsi="宋体"/>
          <w:szCs w:val="21"/>
        </w:rPr>
        <w:t xml:space="preserve">       </w:t>
      </w:r>
      <w:r>
        <w:rPr>
          <w:rFonts w:hint="eastAsia" w:ascii="宋体" w:hAnsi="宋体"/>
          <w:szCs w:val="21"/>
        </w:rPr>
        <w:t xml:space="preserve">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2355E7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">
    <w:nsid w:val="1E4272CD"/>
    <w:multiLevelType w:val="singleLevel"/>
    <w:tmpl w:val="1E4272CD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EAD9FAB"/>
    <w:multiLevelType w:val="singleLevel"/>
    <w:tmpl w:val="4EAD9FAB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03"/>
    <w:rsid w:val="000332F7"/>
    <w:rsid w:val="00055BA4"/>
    <w:rsid w:val="00117115"/>
    <w:rsid w:val="00155D90"/>
    <w:rsid w:val="00176EC4"/>
    <w:rsid w:val="00313556"/>
    <w:rsid w:val="0035178C"/>
    <w:rsid w:val="00423E03"/>
    <w:rsid w:val="00482C44"/>
    <w:rsid w:val="00506878"/>
    <w:rsid w:val="005536F2"/>
    <w:rsid w:val="00702A03"/>
    <w:rsid w:val="00794160"/>
    <w:rsid w:val="00856D2A"/>
    <w:rsid w:val="009952BA"/>
    <w:rsid w:val="00A16630"/>
    <w:rsid w:val="00A87A4F"/>
    <w:rsid w:val="00A9598B"/>
    <w:rsid w:val="00B30DDA"/>
    <w:rsid w:val="00B97B03"/>
    <w:rsid w:val="00BC66A4"/>
    <w:rsid w:val="00C027FF"/>
    <w:rsid w:val="00C950CB"/>
    <w:rsid w:val="00CC7420"/>
    <w:rsid w:val="00D21A84"/>
    <w:rsid w:val="00D95D9B"/>
    <w:rsid w:val="00DD4902"/>
    <w:rsid w:val="00EA7E4E"/>
    <w:rsid w:val="00EE392C"/>
    <w:rsid w:val="00F82A2E"/>
    <w:rsid w:val="00F86CDA"/>
    <w:rsid w:val="00FE245D"/>
    <w:rsid w:val="0FFC0FF8"/>
    <w:rsid w:val="17822888"/>
    <w:rsid w:val="19BE57FB"/>
    <w:rsid w:val="30E7105A"/>
    <w:rsid w:val="3F37363D"/>
    <w:rsid w:val="4E054E4F"/>
    <w:rsid w:val="7B671E18"/>
    <w:rsid w:val="7DDB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link w:val="13"/>
    <w:semiHidden/>
    <w:unhideWhenUsed/>
    <w:qFormat/>
    <w:uiPriority w:val="99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14"/>
    <w:qFormat/>
    <w:uiPriority w:val="99"/>
    <w:pPr>
      <w:wordWrap w:val="0"/>
      <w:spacing w:after="60"/>
      <w:jc w:val="center"/>
    </w:pPr>
    <w:rPr>
      <w:sz w:val="24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3">
    <w:name w:val="正文文本 字符"/>
    <w:basedOn w:val="12"/>
    <w:link w:val="5"/>
    <w:semiHidden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14">
    <w:name w:val="副标题 字符"/>
    <w:basedOn w:val="12"/>
    <w:link w:val="8"/>
    <w:qFormat/>
    <w:uiPriority w:val="99"/>
    <w:rPr>
      <w:sz w:val="24"/>
    </w:rPr>
  </w:style>
  <w:style w:type="paragraph" w:customStyle="1" w:styleId="15">
    <w:name w:val="样式 小四 行距: 1.5 倍行距"/>
    <w:basedOn w:val="1"/>
    <w:qFormat/>
    <w:uiPriority w:val="99"/>
    <w:pPr>
      <w:ind w:firstLine="480" w:firstLineChars="200"/>
    </w:pPr>
    <w:rPr>
      <w:rFonts w:cs="宋体"/>
    </w:rPr>
  </w:style>
  <w:style w:type="paragraph" w:customStyle="1" w:styleId="16">
    <w:name w:val="p0"/>
    <w:basedOn w:val="1"/>
    <w:qFormat/>
    <w:uiPriority w:val="99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页眉 字符"/>
    <w:basedOn w:val="12"/>
    <w:link w:val="7"/>
    <w:qFormat/>
    <w:uiPriority w:val="99"/>
    <w:rPr>
      <w:kern w:val="2"/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3897</Words>
  <Characters>4208</Characters>
  <Lines>36</Lines>
  <Paragraphs>10</Paragraphs>
  <TotalTime>48</TotalTime>
  <ScaleCrop>false</ScaleCrop>
  <LinksUpToDate>false</LinksUpToDate>
  <CharactersWithSpaces>4766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2026-03-06T08:48:00Z</dcterms:created>
  <dc:creator>李伟</dc:creator>
  <cp:lastModifiedBy>Russ</cp:lastModifiedBy>
  <dcterms:modified xsi:type="dcterms:W3CDTF">2026-08-13T01:44:56Z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E0E4CFD2D46C430EA4DA55188F6C61C0_13</vt:lpwstr>
  </property>
</Properties>
</file>