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插板阀采购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编号：SFLHG-GKBX-2026-HW90</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30</w:t>
      </w:r>
      <w:bookmarkStart w:id="4" w:name="_GoBack"/>
      <w:bookmarkEnd w:id="4"/>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四川宏达股份公司插板阀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编号：SFLHG-GKBX-2025-HW90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宏达股份什邡磷化工分公司因生产技改需要，需采购插板阀4台，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电动调节插板阀</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020"/>
        <w:gridCol w:w="3750"/>
        <w:gridCol w:w="790"/>
        <w:gridCol w:w="2420"/>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02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75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w:t>
            </w:r>
          </w:p>
        </w:tc>
        <w:tc>
          <w:tcPr>
            <w:tcW w:w="79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242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02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电动调节插板阀（HV-0107）</w:t>
            </w:r>
          </w:p>
        </w:tc>
        <w:tc>
          <w:tcPr>
            <w:tcW w:w="3750" w:type="dxa"/>
            <w:tcBorders>
              <w:right w:val="single" w:color="auto" w:sz="4" w:space="0"/>
            </w:tcBorders>
            <w:noWrap w:val="0"/>
            <w:vAlign w:val="center"/>
          </w:tcPr>
          <w:p w14:paraId="724A85F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公称通径：宽700mm*高900mm ；公称压力PN16；阀体阀芯阀座阀杆阀板材质316L； 泄漏等级ANSI B16.104 </w:t>
            </w:r>
            <w:r>
              <w:rPr>
                <w:rFonts w:hint="eastAsia" w:ascii="黑体" w:hAnsi="黑体" w:eastAsia="黑体" w:cs="黑体"/>
                <w:i w:val="0"/>
                <w:iCs w:val="0"/>
                <w:color w:val="auto"/>
                <w:kern w:val="0"/>
                <w:sz w:val="21"/>
                <w:szCs w:val="21"/>
                <w:u w:val="none"/>
                <w:lang w:val="en-US" w:eastAsia="zh-CN" w:bidi="ar"/>
              </w:rPr>
              <w:fldChar w:fldCharType="begin"/>
            </w:r>
            <w:r>
              <w:rPr>
                <w:rFonts w:hint="eastAsia" w:ascii="黑体" w:hAnsi="黑体" w:eastAsia="黑体" w:cs="黑体"/>
                <w:i w:val="0"/>
                <w:iCs w:val="0"/>
                <w:color w:val="auto"/>
                <w:kern w:val="0"/>
                <w:sz w:val="21"/>
                <w:szCs w:val="21"/>
                <w:u w:val="none"/>
                <w:lang w:val="en-US" w:eastAsia="zh-CN" w:bidi="ar"/>
              </w:rPr>
              <w:instrText xml:space="preserve"> = 3 \* ROMAN \* MERGEFORMAT </w:instrText>
            </w:r>
            <w:r>
              <w:rPr>
                <w:rFonts w:hint="eastAsia" w:ascii="黑体" w:hAnsi="黑体" w:eastAsia="黑体" w:cs="黑体"/>
                <w:i w:val="0"/>
                <w:iCs w:val="0"/>
                <w:color w:val="auto"/>
                <w:kern w:val="0"/>
                <w:sz w:val="21"/>
                <w:szCs w:val="21"/>
                <w:u w:val="none"/>
                <w:lang w:val="en-US" w:eastAsia="zh-CN" w:bidi="ar"/>
              </w:rPr>
              <w:fldChar w:fldCharType="separate"/>
            </w:r>
            <w:r>
              <w:rPr>
                <w:rFonts w:hint="eastAsia" w:ascii="黑体" w:hAnsi="黑体" w:eastAsia="黑体" w:cs="黑体"/>
                <w:i w:val="0"/>
                <w:iCs w:val="0"/>
                <w:color w:val="auto"/>
                <w:kern w:val="0"/>
                <w:sz w:val="21"/>
                <w:szCs w:val="21"/>
                <w:u w:val="none"/>
                <w:lang w:val="en-US" w:eastAsia="zh-CN" w:bidi="ar"/>
              </w:rPr>
              <w:t>III</w:t>
            </w:r>
            <w:r>
              <w:rPr>
                <w:rFonts w:hint="eastAsia" w:ascii="黑体" w:hAnsi="黑体" w:eastAsia="黑体" w:cs="黑体"/>
                <w:i w:val="0"/>
                <w:iCs w:val="0"/>
                <w:color w:val="auto"/>
                <w:kern w:val="0"/>
                <w:sz w:val="21"/>
                <w:szCs w:val="21"/>
                <w:u w:val="none"/>
                <w:lang w:val="en-US" w:eastAsia="zh-CN" w:bidi="ar"/>
              </w:rPr>
              <w:fldChar w:fldCharType="end"/>
            </w:r>
            <w:r>
              <w:rPr>
                <w:rFonts w:hint="eastAsia" w:ascii="黑体" w:hAnsi="黑体" w:eastAsia="黑体" w:cs="黑体"/>
                <w:i w:val="0"/>
                <w:iCs w:val="0"/>
                <w:color w:val="auto"/>
                <w:kern w:val="0"/>
                <w:sz w:val="21"/>
                <w:szCs w:val="21"/>
                <w:u w:val="none"/>
                <w:lang w:val="en-US" w:eastAsia="zh-CN" w:bidi="ar"/>
              </w:rPr>
              <w:t xml:space="preserve"> ；配套智能调节型执行机构</w:t>
            </w:r>
          </w:p>
        </w:tc>
        <w:tc>
          <w:tcPr>
            <w:tcW w:w="790"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420"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动力厂/后期雨水切换</w:t>
            </w:r>
          </w:p>
        </w:tc>
      </w:tr>
      <w:tr w14:paraId="15458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01F5DD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2020" w:type="dxa"/>
            <w:tcBorders>
              <w:left w:val="single" w:color="auto" w:sz="4" w:space="0"/>
            </w:tcBorders>
            <w:shd w:val="clear" w:color="auto" w:fill="auto"/>
            <w:noWrap w:val="0"/>
            <w:vAlign w:val="center"/>
          </w:tcPr>
          <w:p w14:paraId="338C9EC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bidi="ar-SA"/>
              </w:rPr>
            </w:pPr>
            <w:r>
              <w:rPr>
                <w:rFonts w:hint="eastAsia" w:ascii="黑体" w:hAnsi="黑体" w:eastAsia="黑体" w:cs="黑体"/>
                <w:i w:val="0"/>
                <w:iCs w:val="0"/>
                <w:color w:val="auto"/>
                <w:kern w:val="0"/>
                <w:sz w:val="21"/>
                <w:szCs w:val="21"/>
                <w:u w:val="none"/>
                <w:lang w:val="en-US" w:eastAsia="zh-CN" w:bidi="ar"/>
              </w:rPr>
              <w:t>电动调节插板阀（HV-0109A）</w:t>
            </w:r>
          </w:p>
        </w:tc>
        <w:tc>
          <w:tcPr>
            <w:tcW w:w="3750" w:type="dxa"/>
            <w:tcBorders>
              <w:right w:val="single" w:color="auto" w:sz="4" w:space="0"/>
            </w:tcBorders>
            <w:shd w:val="clear" w:color="auto" w:fill="auto"/>
            <w:noWrap w:val="0"/>
            <w:vAlign w:val="center"/>
          </w:tcPr>
          <w:p w14:paraId="173E058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公称通径：宽800mm*高600mm ；公称压力PN16；阀体阀芯阀座阀杆阀板材质316L； 泄漏等级ANSI B16.104 </w:t>
            </w:r>
            <w:r>
              <w:rPr>
                <w:rFonts w:hint="eastAsia" w:ascii="黑体" w:hAnsi="黑体" w:eastAsia="黑体" w:cs="黑体"/>
                <w:i w:val="0"/>
                <w:iCs w:val="0"/>
                <w:color w:val="auto"/>
                <w:kern w:val="0"/>
                <w:sz w:val="21"/>
                <w:szCs w:val="21"/>
                <w:u w:val="none"/>
                <w:lang w:val="en-US" w:eastAsia="zh-CN" w:bidi="ar"/>
              </w:rPr>
              <w:fldChar w:fldCharType="begin"/>
            </w:r>
            <w:r>
              <w:rPr>
                <w:rFonts w:hint="eastAsia" w:ascii="黑体" w:hAnsi="黑体" w:eastAsia="黑体" w:cs="黑体"/>
                <w:i w:val="0"/>
                <w:iCs w:val="0"/>
                <w:color w:val="auto"/>
                <w:kern w:val="0"/>
                <w:sz w:val="21"/>
                <w:szCs w:val="21"/>
                <w:u w:val="none"/>
                <w:lang w:val="en-US" w:eastAsia="zh-CN" w:bidi="ar"/>
              </w:rPr>
              <w:instrText xml:space="preserve"> = 3 \* ROMAN \* MERGEFORMAT </w:instrText>
            </w:r>
            <w:r>
              <w:rPr>
                <w:rFonts w:hint="eastAsia" w:ascii="黑体" w:hAnsi="黑体" w:eastAsia="黑体" w:cs="黑体"/>
                <w:i w:val="0"/>
                <w:iCs w:val="0"/>
                <w:color w:val="auto"/>
                <w:kern w:val="0"/>
                <w:sz w:val="21"/>
                <w:szCs w:val="21"/>
                <w:u w:val="none"/>
                <w:lang w:val="en-US" w:eastAsia="zh-CN" w:bidi="ar"/>
              </w:rPr>
              <w:fldChar w:fldCharType="separate"/>
            </w:r>
            <w:r>
              <w:rPr>
                <w:rFonts w:hint="eastAsia" w:ascii="黑体" w:hAnsi="黑体" w:eastAsia="黑体" w:cs="黑体"/>
                <w:i w:val="0"/>
                <w:iCs w:val="0"/>
                <w:color w:val="auto"/>
                <w:kern w:val="0"/>
                <w:sz w:val="21"/>
                <w:szCs w:val="21"/>
                <w:u w:val="none"/>
                <w:lang w:val="en-US" w:eastAsia="zh-CN" w:bidi="ar"/>
              </w:rPr>
              <w:t>III</w:t>
            </w:r>
            <w:r>
              <w:rPr>
                <w:rFonts w:hint="eastAsia" w:ascii="黑体" w:hAnsi="黑体" w:eastAsia="黑体" w:cs="黑体"/>
                <w:i w:val="0"/>
                <w:iCs w:val="0"/>
                <w:color w:val="auto"/>
                <w:kern w:val="0"/>
                <w:sz w:val="21"/>
                <w:szCs w:val="21"/>
                <w:u w:val="none"/>
                <w:lang w:val="en-US" w:eastAsia="zh-CN" w:bidi="ar"/>
              </w:rPr>
              <w:fldChar w:fldCharType="end"/>
            </w:r>
            <w:r>
              <w:rPr>
                <w:rFonts w:hint="eastAsia" w:ascii="黑体" w:hAnsi="黑体" w:eastAsia="黑体" w:cs="黑体"/>
                <w:i w:val="0"/>
                <w:iCs w:val="0"/>
                <w:color w:val="auto"/>
                <w:kern w:val="0"/>
                <w:sz w:val="21"/>
                <w:szCs w:val="21"/>
                <w:u w:val="none"/>
                <w:lang w:val="en-US" w:eastAsia="zh-CN" w:bidi="ar"/>
              </w:rPr>
              <w:t xml:space="preserve"> ；配套智能调节型执行机构</w:t>
            </w:r>
          </w:p>
        </w:tc>
        <w:tc>
          <w:tcPr>
            <w:tcW w:w="790" w:type="dxa"/>
            <w:tcBorders>
              <w:right w:val="single" w:color="auto" w:sz="4" w:space="0"/>
            </w:tcBorders>
            <w:shd w:val="clear" w:color="auto" w:fill="auto"/>
            <w:noWrap w:val="0"/>
            <w:vAlign w:val="center"/>
          </w:tcPr>
          <w:p w14:paraId="6C05045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1台</w:t>
            </w:r>
          </w:p>
        </w:tc>
        <w:tc>
          <w:tcPr>
            <w:tcW w:w="2420" w:type="dxa"/>
            <w:tcBorders>
              <w:right w:val="single" w:color="auto" w:sz="4" w:space="0"/>
            </w:tcBorders>
            <w:shd w:val="clear" w:color="auto" w:fill="auto"/>
            <w:noWrap w:val="0"/>
            <w:vAlign w:val="center"/>
          </w:tcPr>
          <w:p w14:paraId="4FACB94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动力厂/后期雨水切换</w:t>
            </w:r>
          </w:p>
        </w:tc>
      </w:tr>
      <w:tr w14:paraId="4D92C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5A7C88C3">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2020" w:type="dxa"/>
            <w:tcBorders>
              <w:left w:val="single" w:color="auto" w:sz="4" w:space="0"/>
            </w:tcBorders>
            <w:noWrap w:val="0"/>
            <w:vAlign w:val="center"/>
          </w:tcPr>
          <w:p w14:paraId="10D191E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电动调节插板阀（HV-0109B）</w:t>
            </w:r>
          </w:p>
        </w:tc>
        <w:tc>
          <w:tcPr>
            <w:tcW w:w="3750" w:type="dxa"/>
            <w:tcBorders>
              <w:right w:val="single" w:color="auto" w:sz="4" w:space="0"/>
            </w:tcBorders>
            <w:noWrap w:val="0"/>
            <w:vAlign w:val="center"/>
          </w:tcPr>
          <w:p w14:paraId="7D3CE85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公称通径：宽800mm*高800mm ；公称压力PN16；阀体阀芯阀座阀杆阀板材质316L； 泄漏等级ANSI B16.104 </w:t>
            </w:r>
            <w:r>
              <w:rPr>
                <w:rFonts w:hint="eastAsia" w:ascii="黑体" w:hAnsi="黑体" w:eastAsia="黑体" w:cs="黑体"/>
                <w:i w:val="0"/>
                <w:iCs w:val="0"/>
                <w:color w:val="auto"/>
                <w:kern w:val="0"/>
                <w:sz w:val="21"/>
                <w:szCs w:val="21"/>
                <w:u w:val="none"/>
                <w:lang w:val="en-US" w:eastAsia="zh-CN" w:bidi="ar"/>
              </w:rPr>
              <w:fldChar w:fldCharType="begin"/>
            </w:r>
            <w:r>
              <w:rPr>
                <w:rFonts w:hint="eastAsia" w:ascii="黑体" w:hAnsi="黑体" w:eastAsia="黑体" w:cs="黑体"/>
                <w:i w:val="0"/>
                <w:iCs w:val="0"/>
                <w:color w:val="auto"/>
                <w:kern w:val="0"/>
                <w:sz w:val="21"/>
                <w:szCs w:val="21"/>
                <w:u w:val="none"/>
                <w:lang w:val="en-US" w:eastAsia="zh-CN" w:bidi="ar"/>
              </w:rPr>
              <w:instrText xml:space="preserve"> = 3 \* ROMAN \* MERGEFORMAT </w:instrText>
            </w:r>
            <w:r>
              <w:rPr>
                <w:rFonts w:hint="eastAsia" w:ascii="黑体" w:hAnsi="黑体" w:eastAsia="黑体" w:cs="黑体"/>
                <w:i w:val="0"/>
                <w:iCs w:val="0"/>
                <w:color w:val="auto"/>
                <w:kern w:val="0"/>
                <w:sz w:val="21"/>
                <w:szCs w:val="21"/>
                <w:u w:val="none"/>
                <w:lang w:val="en-US" w:eastAsia="zh-CN" w:bidi="ar"/>
              </w:rPr>
              <w:fldChar w:fldCharType="separate"/>
            </w:r>
            <w:r>
              <w:rPr>
                <w:rFonts w:hint="eastAsia" w:ascii="黑体" w:hAnsi="黑体" w:eastAsia="黑体" w:cs="黑体"/>
                <w:i w:val="0"/>
                <w:iCs w:val="0"/>
                <w:color w:val="auto"/>
                <w:kern w:val="0"/>
                <w:sz w:val="21"/>
                <w:szCs w:val="21"/>
                <w:u w:val="none"/>
                <w:lang w:val="en-US" w:eastAsia="zh-CN" w:bidi="ar"/>
              </w:rPr>
              <w:t>III</w:t>
            </w:r>
            <w:r>
              <w:rPr>
                <w:rFonts w:hint="eastAsia" w:ascii="黑体" w:hAnsi="黑体" w:eastAsia="黑体" w:cs="黑体"/>
                <w:i w:val="0"/>
                <w:iCs w:val="0"/>
                <w:color w:val="auto"/>
                <w:kern w:val="0"/>
                <w:sz w:val="21"/>
                <w:szCs w:val="21"/>
                <w:u w:val="none"/>
                <w:lang w:val="en-US" w:eastAsia="zh-CN" w:bidi="ar"/>
              </w:rPr>
              <w:fldChar w:fldCharType="end"/>
            </w:r>
            <w:r>
              <w:rPr>
                <w:rFonts w:hint="eastAsia" w:ascii="黑体" w:hAnsi="黑体" w:eastAsia="黑体" w:cs="黑体"/>
                <w:i w:val="0"/>
                <w:iCs w:val="0"/>
                <w:color w:val="auto"/>
                <w:kern w:val="0"/>
                <w:sz w:val="21"/>
                <w:szCs w:val="21"/>
                <w:u w:val="none"/>
                <w:lang w:val="en-US" w:eastAsia="zh-CN" w:bidi="ar"/>
              </w:rPr>
              <w:t xml:space="preserve"> ；配套智能调节型执行机构</w:t>
            </w:r>
          </w:p>
        </w:tc>
        <w:tc>
          <w:tcPr>
            <w:tcW w:w="790" w:type="dxa"/>
            <w:tcBorders>
              <w:right w:val="single" w:color="auto" w:sz="4" w:space="0"/>
            </w:tcBorders>
            <w:noWrap w:val="0"/>
            <w:vAlign w:val="center"/>
          </w:tcPr>
          <w:p w14:paraId="016A88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420" w:type="dxa"/>
            <w:tcBorders>
              <w:right w:val="single" w:color="auto" w:sz="4" w:space="0"/>
            </w:tcBorders>
            <w:noWrap w:val="0"/>
            <w:vAlign w:val="center"/>
          </w:tcPr>
          <w:p w14:paraId="5742110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动力厂/后期雨水切换</w:t>
            </w:r>
          </w:p>
        </w:tc>
      </w:tr>
      <w:tr w14:paraId="5B43A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shd w:val="clear" w:color="auto" w:fill="auto"/>
            <w:noWrap w:val="0"/>
            <w:vAlign w:val="center"/>
          </w:tcPr>
          <w:p w14:paraId="01AF49E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rPr>
              <w:t>3</w:t>
            </w:r>
          </w:p>
        </w:tc>
        <w:tc>
          <w:tcPr>
            <w:tcW w:w="2020" w:type="dxa"/>
            <w:tcBorders>
              <w:left w:val="single" w:color="auto" w:sz="4" w:space="0"/>
            </w:tcBorders>
            <w:shd w:val="clear" w:color="auto" w:fill="auto"/>
            <w:noWrap w:val="0"/>
            <w:vAlign w:val="center"/>
          </w:tcPr>
          <w:p w14:paraId="7D2ABB9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电动调节插板阀（HV-0108）</w:t>
            </w:r>
          </w:p>
        </w:tc>
        <w:tc>
          <w:tcPr>
            <w:tcW w:w="3750" w:type="dxa"/>
            <w:tcBorders>
              <w:right w:val="single" w:color="auto" w:sz="4" w:space="0"/>
            </w:tcBorders>
            <w:shd w:val="clear" w:color="auto" w:fill="auto"/>
            <w:noWrap w:val="0"/>
            <w:vAlign w:val="center"/>
          </w:tcPr>
          <w:p w14:paraId="0119148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公称通径：宽1200mm*高850mm ；公称压力PN16；阀体阀芯阀座阀杆阀板材质316L； 泄漏等级ANSI B16.104 </w:t>
            </w:r>
            <w:r>
              <w:rPr>
                <w:rFonts w:hint="eastAsia" w:ascii="黑体" w:hAnsi="黑体" w:eastAsia="黑体" w:cs="黑体"/>
                <w:i w:val="0"/>
                <w:iCs w:val="0"/>
                <w:color w:val="auto"/>
                <w:kern w:val="0"/>
                <w:sz w:val="21"/>
                <w:szCs w:val="21"/>
                <w:u w:val="none"/>
                <w:lang w:val="en-US" w:eastAsia="zh-CN" w:bidi="ar"/>
              </w:rPr>
              <w:fldChar w:fldCharType="begin"/>
            </w:r>
            <w:r>
              <w:rPr>
                <w:rFonts w:hint="eastAsia" w:ascii="黑体" w:hAnsi="黑体" w:eastAsia="黑体" w:cs="黑体"/>
                <w:i w:val="0"/>
                <w:iCs w:val="0"/>
                <w:color w:val="auto"/>
                <w:kern w:val="0"/>
                <w:sz w:val="21"/>
                <w:szCs w:val="21"/>
                <w:u w:val="none"/>
                <w:lang w:val="en-US" w:eastAsia="zh-CN" w:bidi="ar"/>
              </w:rPr>
              <w:instrText xml:space="preserve"> = 3 \* ROMAN \* MERGEFORMAT </w:instrText>
            </w:r>
            <w:r>
              <w:rPr>
                <w:rFonts w:hint="eastAsia" w:ascii="黑体" w:hAnsi="黑体" w:eastAsia="黑体" w:cs="黑体"/>
                <w:i w:val="0"/>
                <w:iCs w:val="0"/>
                <w:color w:val="auto"/>
                <w:kern w:val="0"/>
                <w:sz w:val="21"/>
                <w:szCs w:val="21"/>
                <w:u w:val="none"/>
                <w:lang w:val="en-US" w:eastAsia="zh-CN" w:bidi="ar"/>
              </w:rPr>
              <w:fldChar w:fldCharType="separate"/>
            </w:r>
            <w:r>
              <w:rPr>
                <w:rFonts w:hint="eastAsia" w:ascii="黑体" w:hAnsi="黑体" w:eastAsia="黑体" w:cs="黑体"/>
                <w:i w:val="0"/>
                <w:iCs w:val="0"/>
                <w:color w:val="auto"/>
                <w:kern w:val="0"/>
                <w:sz w:val="21"/>
                <w:szCs w:val="21"/>
                <w:u w:val="none"/>
                <w:lang w:val="en-US" w:eastAsia="zh-CN" w:bidi="ar"/>
              </w:rPr>
              <w:t>III</w:t>
            </w:r>
            <w:r>
              <w:rPr>
                <w:rFonts w:hint="eastAsia" w:ascii="黑体" w:hAnsi="黑体" w:eastAsia="黑体" w:cs="黑体"/>
                <w:i w:val="0"/>
                <w:iCs w:val="0"/>
                <w:color w:val="auto"/>
                <w:kern w:val="0"/>
                <w:sz w:val="21"/>
                <w:szCs w:val="21"/>
                <w:u w:val="none"/>
                <w:lang w:val="en-US" w:eastAsia="zh-CN" w:bidi="ar"/>
              </w:rPr>
              <w:fldChar w:fldCharType="end"/>
            </w:r>
            <w:r>
              <w:rPr>
                <w:rFonts w:hint="eastAsia" w:ascii="黑体" w:hAnsi="黑体" w:eastAsia="黑体" w:cs="黑体"/>
                <w:i w:val="0"/>
                <w:iCs w:val="0"/>
                <w:color w:val="auto"/>
                <w:kern w:val="0"/>
                <w:sz w:val="21"/>
                <w:szCs w:val="21"/>
                <w:u w:val="none"/>
                <w:lang w:val="en-US" w:eastAsia="zh-CN" w:bidi="ar"/>
              </w:rPr>
              <w:t xml:space="preserve"> ；配套智能调节型执行机构</w:t>
            </w:r>
          </w:p>
        </w:tc>
        <w:tc>
          <w:tcPr>
            <w:tcW w:w="790" w:type="dxa"/>
            <w:tcBorders>
              <w:right w:val="single" w:color="auto" w:sz="4" w:space="0"/>
            </w:tcBorders>
            <w:shd w:val="clear" w:color="auto" w:fill="auto"/>
            <w:noWrap w:val="0"/>
            <w:vAlign w:val="center"/>
          </w:tcPr>
          <w:p w14:paraId="5556DDE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2420" w:type="dxa"/>
            <w:tcBorders>
              <w:right w:val="single" w:color="auto" w:sz="4" w:space="0"/>
            </w:tcBorders>
            <w:shd w:val="clear" w:color="auto" w:fill="auto"/>
            <w:noWrap w:val="0"/>
            <w:vAlign w:val="center"/>
          </w:tcPr>
          <w:p w14:paraId="136C34E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动力厂/后期雨水切换</w:t>
            </w:r>
          </w:p>
        </w:tc>
      </w:tr>
      <w:tr w14:paraId="6AD36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9710" w:type="dxa"/>
            <w:gridSpan w:val="5"/>
            <w:tcBorders>
              <w:right w:val="single" w:color="auto" w:sz="4" w:space="0"/>
            </w:tcBorders>
            <w:noWrap w:val="0"/>
            <w:vAlign w:val="center"/>
          </w:tcPr>
          <w:p w14:paraId="26099288">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具体参数详见数据表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40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控制阀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2026年7月31日10时 00 分至 2026年8月4日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递交截止时间：2026年8月4日10时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w:t>
      </w:r>
    </w:p>
    <w:p w14:paraId="52A15149">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②比选申请人需提供特种设备生产许可证（压力管道元件制造）、型式试验报告等资质文件。</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插板阀规格型号不限。</w:t>
      </w:r>
    </w:p>
    <w:p w14:paraId="4D244DAF">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技术规格书。比选申请人根据控制阀数据表要求，提供技术规格书，注明控制阀规格型号、阀体阀芯阀座材质、执行机构规格型号及力矩大小、泄漏等级等相关参数。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30</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46E3001C">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第二章   电动调节插板阀</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4384"/>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特种设备生产许可证（压力管道元件制造）、型式试验报告等资质文件。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3612B39D">
      <w:pPr>
        <w:numPr>
          <w:ilvl w:val="0"/>
          <w:numId w:val="2"/>
        </w:num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插板阀规格型号不限。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F684F18F"/>
    <w:multiLevelType w:val="singleLevel"/>
    <w:tmpl w:val="F684F18F"/>
    <w:lvl w:ilvl="0" w:tentative="0">
      <w:start w:val="3"/>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A350AE"/>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CE855E9"/>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6EE3317"/>
    <w:rsid w:val="57193C9E"/>
    <w:rsid w:val="57541431"/>
    <w:rsid w:val="576C2775"/>
    <w:rsid w:val="586048F0"/>
    <w:rsid w:val="588549CE"/>
    <w:rsid w:val="58AE7DA1"/>
    <w:rsid w:val="58DD7D9A"/>
    <w:rsid w:val="59AD4E28"/>
    <w:rsid w:val="5B1D65E8"/>
    <w:rsid w:val="5BA87625"/>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735204"/>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4675</Words>
  <Characters>5046</Characters>
  <Lines>16</Lines>
  <Paragraphs>4</Paragraphs>
  <TotalTime>49</TotalTime>
  <ScaleCrop>false</ScaleCrop>
  <LinksUpToDate>false</LinksUpToDate>
  <CharactersWithSpaces>5959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2026-07-30T13:39:19Z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