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140E7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</w:p>
    <w:p w14:paraId="23A98ED4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四川宏达股份有限公司</w:t>
      </w:r>
    </w:p>
    <w:p w14:paraId="644908A8">
      <w:pPr>
        <w:autoSpaceDE w:val="0"/>
        <w:autoSpaceDN w:val="0"/>
        <w:adjustRightInd w:val="0"/>
        <w:spacing w:before="100" w:after="100"/>
        <w:jc w:val="center"/>
        <w:rPr>
          <w:rFonts w:hint="eastAsia" w:ascii="宋体" w:hAnsi="宋体" w:cs="宋体"/>
          <w:b/>
          <w:bCs/>
          <w:sz w:val="30"/>
          <w:szCs w:val="30"/>
          <w:lang w:val="en-US" w:eastAsia="zh-CN"/>
        </w:rPr>
      </w:pPr>
    </w:p>
    <w:p w14:paraId="5A1A9F6E">
      <w:pPr>
        <w:autoSpaceDE w:val="0"/>
        <w:autoSpaceDN w:val="0"/>
        <w:adjustRightInd w:val="0"/>
        <w:spacing w:before="100" w:after="100"/>
        <w:jc w:val="center"/>
        <w:rPr>
          <w:rFonts w:hint="eastAsia" w:ascii="黑体" w:hAnsi="黑体" w:eastAsia="黑体" w:cs="宋体"/>
          <w:kern w:val="0"/>
          <w:sz w:val="30"/>
          <w:szCs w:val="30"/>
          <w:lang w:val="en-US" w:eastAsia="zh-CN"/>
        </w:rPr>
      </w:pPr>
    </w:p>
    <w:p w14:paraId="65035E7E">
      <w:pPr>
        <w:autoSpaceDE w:val="0"/>
        <w:autoSpaceDN w:val="0"/>
        <w:adjustRightInd w:val="0"/>
        <w:spacing w:before="100" w:after="100"/>
        <w:jc w:val="center"/>
        <w:rPr>
          <w:rFonts w:hint="eastAsia" w:ascii="黑体" w:hAnsi="黑体" w:eastAsia="黑体" w:cs="宋体"/>
          <w:kern w:val="0"/>
          <w:sz w:val="30"/>
          <w:szCs w:val="30"/>
          <w:lang w:val="en-US" w:eastAsia="zh-CN"/>
        </w:rPr>
      </w:pPr>
    </w:p>
    <w:p w14:paraId="653EB204">
      <w:pPr>
        <w:autoSpaceDE w:val="0"/>
        <w:autoSpaceDN w:val="0"/>
        <w:adjustRightInd w:val="0"/>
        <w:spacing w:before="100" w:after="100"/>
        <w:jc w:val="center"/>
        <w:rPr>
          <w:rFonts w:hint="eastAsia" w:ascii="黑体" w:hAnsi="黑体" w:eastAsia="黑体" w:cs="宋体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kern w:val="0"/>
          <w:sz w:val="30"/>
          <w:szCs w:val="30"/>
          <w:lang w:val="en-US" w:eastAsia="zh-CN"/>
        </w:rPr>
        <w:t>硫酸30万/吨二吸塔装置及“1302”装置（</w:t>
      </w:r>
    </w:p>
    <w:p w14:paraId="32FCDFDA">
      <w:pPr>
        <w:autoSpaceDE w:val="0"/>
        <w:autoSpaceDN w:val="0"/>
        <w:adjustRightInd w:val="0"/>
        <w:spacing w:before="100" w:after="100"/>
        <w:jc w:val="center"/>
        <w:rPr>
          <w:rFonts w:hint="eastAsia" w:ascii="黑体" w:hAnsi="黑体" w:eastAsia="黑体" w:cs="宋体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kern w:val="0"/>
          <w:sz w:val="30"/>
          <w:szCs w:val="30"/>
          <w:lang w:val="en-US" w:eastAsia="zh-CN"/>
        </w:rPr>
        <w:t>300t/a氯化法钛白粉工业生产试验装置）</w:t>
      </w:r>
    </w:p>
    <w:p w14:paraId="0FC92DCC">
      <w:pPr>
        <w:widowControl/>
        <w:ind w:firstLine="3600" w:firstLineChars="1200"/>
        <w:jc w:val="both"/>
        <w:rPr>
          <w:rFonts w:hint="eastAsia" w:ascii="黑体" w:hAnsi="黑体" w:eastAsia="黑体" w:cs="宋体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kern w:val="0"/>
          <w:sz w:val="30"/>
          <w:szCs w:val="30"/>
          <w:lang w:val="en-US" w:eastAsia="zh-CN"/>
        </w:rPr>
        <w:t>拆除项目</w:t>
      </w:r>
    </w:p>
    <w:p w14:paraId="359A63B7">
      <w:pPr>
        <w:widowControl/>
        <w:ind w:firstLine="3600" w:firstLineChars="1200"/>
        <w:jc w:val="both"/>
        <w:rPr>
          <w:rFonts w:hint="eastAsia" w:ascii="黑体" w:hAnsi="黑体" w:eastAsia="黑体" w:cs="宋体"/>
          <w:kern w:val="0"/>
          <w:sz w:val="30"/>
          <w:szCs w:val="30"/>
          <w:lang w:val="en-US" w:eastAsia="zh-CN"/>
        </w:rPr>
      </w:pPr>
    </w:p>
    <w:p w14:paraId="1334983D">
      <w:pPr>
        <w:widowControl/>
        <w:ind w:firstLine="3600" w:firstLineChars="1200"/>
        <w:jc w:val="both"/>
        <w:rPr>
          <w:rFonts w:hint="eastAsia" w:ascii="黑体" w:hAnsi="黑体" w:eastAsia="黑体" w:cs="宋体"/>
          <w:kern w:val="0"/>
          <w:sz w:val="30"/>
          <w:szCs w:val="30"/>
          <w:lang w:val="en-US" w:eastAsia="zh-CN"/>
        </w:rPr>
      </w:pPr>
    </w:p>
    <w:p w14:paraId="0CB97FCD">
      <w:pPr>
        <w:widowControl/>
        <w:ind w:firstLine="3614" w:firstLineChars="1200"/>
        <w:jc w:val="both"/>
        <w:rPr>
          <w:rFonts w:hint="eastAsia" w:asciiTheme="minorEastAsia" w:hAnsiTheme="minorEastAsia"/>
          <w:b/>
          <w:kern w:val="0"/>
          <w:sz w:val="30"/>
          <w:szCs w:val="30"/>
        </w:rPr>
      </w:pPr>
    </w:p>
    <w:p w14:paraId="633EACE7">
      <w:pPr>
        <w:widowControl/>
        <w:ind w:firstLine="3614" w:firstLineChars="1200"/>
        <w:jc w:val="both"/>
        <w:rPr>
          <w:rFonts w:hint="eastAsia" w:asciiTheme="minorEastAsia" w:hAnsiTheme="minorEastAsia"/>
          <w:b/>
          <w:kern w:val="0"/>
          <w:sz w:val="30"/>
          <w:szCs w:val="30"/>
        </w:rPr>
      </w:pPr>
    </w:p>
    <w:p w14:paraId="0C22056A">
      <w:pPr>
        <w:widowControl/>
        <w:ind w:firstLine="3614" w:firstLineChars="1200"/>
        <w:jc w:val="both"/>
        <w:rPr>
          <w:rFonts w:hint="eastAsia" w:asciiTheme="minorEastAsia" w:hAnsiTheme="minorEastAsia"/>
          <w:b/>
          <w:kern w:val="0"/>
          <w:sz w:val="30"/>
          <w:szCs w:val="30"/>
        </w:rPr>
      </w:pPr>
    </w:p>
    <w:p w14:paraId="735B2158">
      <w:pPr>
        <w:widowControl/>
        <w:ind w:firstLine="3614" w:firstLineChars="1200"/>
        <w:jc w:val="both"/>
        <w:rPr>
          <w:rFonts w:hint="eastAsia" w:asciiTheme="minorEastAsia" w:hAnsiTheme="minorEastAsia"/>
          <w:b/>
          <w:kern w:val="0"/>
          <w:sz w:val="30"/>
          <w:szCs w:val="30"/>
        </w:rPr>
      </w:pPr>
    </w:p>
    <w:p w14:paraId="5C95A965">
      <w:pPr>
        <w:widowControl/>
        <w:ind w:firstLine="4337" w:firstLineChars="1200"/>
        <w:jc w:val="both"/>
        <w:rPr>
          <w:rFonts w:hint="eastAsia" w:asciiTheme="minorEastAsia" w:hAnsiTheme="minorEastAsia"/>
          <w:b/>
          <w:kern w:val="0"/>
          <w:sz w:val="36"/>
          <w:szCs w:val="36"/>
        </w:rPr>
      </w:pPr>
      <w:r>
        <w:rPr>
          <w:rFonts w:hint="eastAsia" w:asciiTheme="minorEastAsia" w:hAnsiTheme="minorEastAsia"/>
          <w:b/>
          <w:kern w:val="0"/>
          <w:sz w:val="36"/>
          <w:szCs w:val="36"/>
        </w:rPr>
        <w:t>比选文件</w:t>
      </w:r>
    </w:p>
    <w:p w14:paraId="20ACD115">
      <w:pPr>
        <w:pStyle w:val="6"/>
        <w:ind w:left="0" w:leftChars="0" w:firstLine="3313" w:firstLineChars="1100"/>
        <w:jc w:val="both"/>
        <w:rPr>
          <w:rFonts w:hint="eastAsia" w:ascii="黑体" w:hAnsi="黑体" w:eastAsia="黑体" w:cs="宋体"/>
          <w:b/>
          <w:color w:val="auto"/>
          <w:kern w:val="0"/>
          <w:sz w:val="30"/>
          <w:szCs w:val="30"/>
        </w:rPr>
      </w:pPr>
    </w:p>
    <w:p w14:paraId="1C00A175">
      <w:pPr>
        <w:pStyle w:val="6"/>
        <w:ind w:left="0" w:leftChars="0" w:firstLine="3313" w:firstLineChars="1100"/>
        <w:jc w:val="both"/>
        <w:rPr>
          <w:color w:val="auto"/>
          <w:sz w:val="30"/>
          <w:szCs w:val="30"/>
        </w:rPr>
      </w:pP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</w:rPr>
        <w:t>编号：SFLHG-GKBX-2026-FW94</w:t>
      </w:r>
    </w:p>
    <w:p w14:paraId="44EE0E2B">
      <w:pPr>
        <w:autoSpaceDE w:val="0"/>
        <w:autoSpaceDN w:val="0"/>
        <w:adjustRightInd w:val="0"/>
        <w:spacing w:line="360" w:lineRule="auto"/>
        <w:jc w:val="center"/>
        <w:rPr>
          <w:rFonts w:hint="eastAsia" w:asciiTheme="minorEastAsia" w:hAnsiTheme="minorEastAsia"/>
          <w:sz w:val="30"/>
          <w:szCs w:val="30"/>
          <w:lang w:val="zh-CN"/>
        </w:rPr>
      </w:pPr>
    </w:p>
    <w:p w14:paraId="43CEFFE2">
      <w:pPr>
        <w:autoSpaceDE w:val="0"/>
        <w:autoSpaceDN w:val="0"/>
        <w:adjustRightInd w:val="0"/>
        <w:spacing w:line="360" w:lineRule="auto"/>
        <w:rPr>
          <w:rFonts w:hint="eastAsia" w:cs="黑体" w:asciiTheme="minorEastAsia" w:hAnsiTheme="minorEastAsia"/>
          <w:sz w:val="30"/>
          <w:szCs w:val="30"/>
          <w:lang w:val="zh-CN"/>
        </w:rPr>
      </w:pPr>
    </w:p>
    <w:p w14:paraId="3C9D5072">
      <w:pPr>
        <w:jc w:val="center"/>
        <w:rPr>
          <w:rFonts w:hint="eastAsia" w:cs="黑体" w:asciiTheme="minorEastAsia" w:hAnsiTheme="minorEastAsia"/>
          <w:sz w:val="30"/>
          <w:szCs w:val="30"/>
          <w:lang w:val="zh-CN"/>
        </w:rPr>
      </w:pPr>
    </w:p>
    <w:p w14:paraId="4DBDDF9B">
      <w:pPr>
        <w:jc w:val="center"/>
        <w:rPr>
          <w:rFonts w:hint="eastAsia" w:cs="黑体" w:asciiTheme="minorEastAsia" w:hAnsiTheme="minorEastAsia"/>
          <w:sz w:val="30"/>
          <w:szCs w:val="30"/>
          <w:lang w:val="zh-CN"/>
        </w:rPr>
      </w:pPr>
    </w:p>
    <w:p w14:paraId="534BFCB6">
      <w:pPr>
        <w:jc w:val="center"/>
        <w:rPr>
          <w:rFonts w:hint="eastAsia" w:cs="黑体" w:asciiTheme="minorEastAsia" w:hAnsiTheme="minorEastAsia"/>
          <w:sz w:val="30"/>
          <w:szCs w:val="30"/>
          <w:lang w:val="zh-CN"/>
        </w:rPr>
      </w:pPr>
    </w:p>
    <w:p w14:paraId="78E435BA">
      <w:pPr>
        <w:jc w:val="center"/>
        <w:rPr>
          <w:rFonts w:hint="eastAsia" w:cs="黑体" w:asciiTheme="minorEastAsia" w:hAnsiTheme="minorEastAsia"/>
          <w:sz w:val="30"/>
          <w:szCs w:val="30"/>
          <w:lang w:val="zh-CN"/>
        </w:rPr>
      </w:pPr>
    </w:p>
    <w:p w14:paraId="061681F3">
      <w:pPr>
        <w:jc w:val="center"/>
        <w:rPr>
          <w:rFonts w:hint="eastAsia" w:cs="黑体" w:asciiTheme="minorEastAsia" w:hAnsiTheme="minorEastAsia"/>
          <w:sz w:val="30"/>
          <w:szCs w:val="30"/>
          <w:lang w:val="zh-CN"/>
        </w:rPr>
      </w:pPr>
    </w:p>
    <w:p w14:paraId="3EBA674D">
      <w:pPr>
        <w:spacing w:line="480" w:lineRule="auto"/>
        <w:ind w:right="1050" w:rightChars="500"/>
        <w:jc w:val="center"/>
        <w:rPr>
          <w:rFonts w:hint="eastAsia"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  <w:lang w:val="en-US" w:eastAsia="zh-CN"/>
        </w:rPr>
        <w:t xml:space="preserve">      </w:t>
      </w: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4E476A9B">
      <w:pPr>
        <w:autoSpaceDE w:val="0"/>
        <w:autoSpaceDN w:val="0"/>
        <w:adjustRightInd w:val="0"/>
        <w:spacing w:line="480" w:lineRule="auto"/>
        <w:jc w:val="center"/>
        <w:rPr>
          <w:rFonts w:hint="eastAsia"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 xml:space="preserve">    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26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8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4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125F42CE">
      <w:pPr>
        <w:widowControl/>
        <w:shd w:val="clear" w:color="auto" w:fill="FFFFFF"/>
        <w:spacing w:line="400" w:lineRule="exact"/>
        <w:ind w:firstLine="371"/>
        <w:jc w:val="center"/>
        <w:rPr>
          <w:rFonts w:hint="eastAsia" w:ascii="黑体" w:hAnsi="黑体" w:eastAsia="黑体" w:cs="宋体"/>
          <w:b/>
          <w:color w:val="333333"/>
          <w:kern w:val="0"/>
          <w:sz w:val="24"/>
          <w:szCs w:val="24"/>
        </w:rPr>
      </w:pPr>
      <w:r>
        <w:rPr>
          <w:rFonts w:hint="eastAsia" w:ascii="黑体" w:hAnsi="黑体" w:eastAsia="黑体" w:cs="宋体"/>
          <w:b/>
          <w:color w:val="333333"/>
          <w:kern w:val="0"/>
          <w:sz w:val="24"/>
          <w:szCs w:val="24"/>
        </w:rPr>
        <w:t>四川宏达股份有限公司</w:t>
      </w:r>
    </w:p>
    <w:p w14:paraId="289851D3">
      <w:pPr>
        <w:widowControl/>
        <w:shd w:val="clear" w:color="auto" w:fill="FFFFFF"/>
        <w:spacing w:line="400" w:lineRule="exact"/>
        <w:ind w:firstLine="371"/>
        <w:jc w:val="center"/>
        <w:rPr>
          <w:rFonts w:hint="eastAsia" w:ascii="黑体" w:hAnsi="黑体" w:eastAsia="黑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硫酸30万/吨二吸塔装置及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“</w:t>
      </w:r>
      <w:r>
        <w:rPr>
          <w:rFonts w:hint="eastAsia" w:ascii="黑体" w:hAnsi="黑体" w:eastAsia="黑体" w:cs="宋体"/>
          <w:kern w:val="0"/>
          <w:sz w:val="24"/>
          <w:szCs w:val="24"/>
        </w:rPr>
        <w:t>1302”装置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（</w:t>
      </w:r>
      <w:r>
        <w:rPr>
          <w:rFonts w:hint="eastAsia" w:ascii="黑体" w:hAnsi="黑体" w:eastAsia="黑体" w:cs="宋体"/>
          <w:kern w:val="0"/>
          <w:sz w:val="24"/>
          <w:szCs w:val="24"/>
        </w:rPr>
        <w:t>300t/a氯化法钛白粉工业生产试验装置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）</w:t>
      </w:r>
    </w:p>
    <w:p w14:paraId="2F019941">
      <w:pPr>
        <w:widowControl/>
        <w:shd w:val="clear" w:color="auto" w:fill="FFFFFF"/>
        <w:spacing w:line="400" w:lineRule="exact"/>
        <w:ind w:firstLine="371"/>
        <w:jc w:val="center"/>
        <w:rPr>
          <w:rFonts w:hint="eastAsia" w:ascii="黑体" w:hAnsi="黑体" w:eastAsia="黑体" w:cs="宋体"/>
          <w:b/>
          <w:color w:val="333333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拆除项目</w:t>
      </w:r>
      <w:r>
        <w:rPr>
          <w:rFonts w:hint="eastAsia" w:ascii="黑体" w:hAnsi="黑体" w:eastAsia="黑体" w:cs="宋体"/>
          <w:b/>
          <w:color w:val="333333"/>
          <w:kern w:val="0"/>
          <w:sz w:val="24"/>
          <w:szCs w:val="24"/>
        </w:rPr>
        <w:t>服务比选文件</w:t>
      </w:r>
    </w:p>
    <w:p w14:paraId="1BF2A824">
      <w:pPr>
        <w:pStyle w:val="6"/>
        <w:ind w:firstLine="643"/>
        <w:jc w:val="center"/>
        <w:rPr>
          <w:sz w:val="24"/>
          <w:szCs w:val="24"/>
        </w:rPr>
      </w:pPr>
      <w:r>
        <w:rPr>
          <w:rFonts w:hint="eastAsia" w:ascii="黑体" w:hAnsi="黑体" w:eastAsia="黑体" w:cs="宋体"/>
          <w:b/>
          <w:kern w:val="0"/>
          <w:sz w:val="24"/>
          <w:szCs w:val="24"/>
        </w:rPr>
        <w:t>编号：SFLHG-GKBX-2026-FW94</w:t>
      </w:r>
    </w:p>
    <w:p w14:paraId="71F18A15">
      <w:pPr>
        <w:spacing w:line="360" w:lineRule="exact"/>
        <w:rPr>
          <w:rFonts w:hint="eastAsia" w:ascii="黑体" w:hAnsi="黑体" w:eastAsia="黑体" w:cs="Times New Roman"/>
          <w:b/>
          <w:sz w:val="24"/>
          <w:szCs w:val="24"/>
        </w:rPr>
      </w:pPr>
      <w:r>
        <w:rPr>
          <w:rFonts w:hint="eastAsia" w:ascii="黑体" w:hAnsi="黑体" w:eastAsia="黑体" w:cs="Times New Roman"/>
          <w:b/>
          <w:sz w:val="24"/>
          <w:szCs w:val="24"/>
        </w:rPr>
        <w:t>各单位：</w:t>
      </w:r>
    </w:p>
    <w:p w14:paraId="1A37B2E6">
      <w:pPr>
        <w:spacing w:line="360" w:lineRule="exact"/>
        <w:ind w:firstLine="480" w:firstLineChars="200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四川宏达股份有限公司磷化工分公司因生产需要，需对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该两套</w:t>
      </w:r>
      <w:r>
        <w:rPr>
          <w:rFonts w:hint="eastAsia" w:ascii="黑体" w:hAnsi="黑体" w:eastAsia="黑体" w:cs="宋体"/>
          <w:kern w:val="0"/>
          <w:sz w:val="24"/>
          <w:szCs w:val="24"/>
        </w:rPr>
        <w:t>装置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的</w:t>
      </w:r>
      <w:r>
        <w:rPr>
          <w:rFonts w:hint="eastAsia" w:ascii="黑体" w:hAnsi="黑体" w:eastAsia="黑体" w:cs="宋体"/>
          <w:kern w:val="0"/>
          <w:sz w:val="24"/>
          <w:szCs w:val="24"/>
        </w:rPr>
        <w:t>房屋及设备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进行</w:t>
      </w:r>
      <w:r>
        <w:rPr>
          <w:rFonts w:hint="eastAsia" w:ascii="黑体" w:hAnsi="黑体" w:eastAsia="黑体" w:cs="宋体"/>
          <w:kern w:val="0"/>
          <w:sz w:val="24"/>
          <w:szCs w:val="24"/>
        </w:rPr>
        <w:t>拆除，本着“公开、公平、公正”的原则，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现对该撤除项目</w:t>
      </w:r>
      <w:r>
        <w:rPr>
          <w:rFonts w:hint="eastAsia" w:ascii="黑体" w:hAnsi="黑体" w:eastAsia="黑体" w:cs="宋体"/>
          <w:kern w:val="0"/>
          <w:sz w:val="24"/>
          <w:szCs w:val="24"/>
        </w:rPr>
        <w:t>进行公开比选。欢迎贵公司前来报价，现将相关事项公告如下：</w:t>
      </w:r>
    </w:p>
    <w:p w14:paraId="360A21F2">
      <w:pPr>
        <w:numPr>
          <w:ilvl w:val="0"/>
          <w:numId w:val="1"/>
        </w:numPr>
        <w:spacing w:line="36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标的物：拆除内容</w:t>
      </w:r>
    </w:p>
    <w:p w14:paraId="6781A18A">
      <w:pPr>
        <w:spacing w:line="360" w:lineRule="exact"/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硫酸30万/吨二吸塔装置及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“</w:t>
      </w:r>
      <w:r>
        <w:rPr>
          <w:rFonts w:hint="eastAsia" w:ascii="黑体" w:hAnsi="黑体" w:eastAsia="黑体" w:cs="宋体"/>
          <w:kern w:val="0"/>
          <w:sz w:val="24"/>
          <w:szCs w:val="24"/>
        </w:rPr>
        <w:t>1302”装置(300t/a氯化法钛白粉工业生产试验装置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，</w:t>
      </w:r>
      <w:r>
        <w:rPr>
          <w:rFonts w:hint="eastAsia" w:ascii="黑体" w:hAnsi="黑体" w:eastAsia="黑体" w:cs="宋体"/>
          <w:kern w:val="0"/>
          <w:sz w:val="24"/>
          <w:szCs w:val="24"/>
        </w:rPr>
        <w:t>全钢结构及设备）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进行拆除。</w:t>
      </w:r>
    </w:p>
    <w:p w14:paraId="2C6F8D82">
      <w:pPr>
        <w:numPr>
          <w:ilvl w:val="0"/>
          <w:numId w:val="2"/>
        </w:numPr>
        <w:spacing w:line="360" w:lineRule="exact"/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硫酸30万/吨二吸塔装置：拆除的废旧钢材转运至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四川宏达股份公司内部指定地方；拆除的瓷砖和瓷环填料进行清洗，中标方提供清洗设备，招标方只提供水源，清洗干净后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转运至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四川宏达股份公司内部指定地方。</w:t>
      </w:r>
    </w:p>
    <w:p w14:paraId="2081366B">
      <w:pPr>
        <w:spacing w:line="360" w:lineRule="exact"/>
        <w:rPr>
          <w:rFonts w:hint="default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2、</w:t>
      </w:r>
      <w:r>
        <w:rPr>
          <w:rFonts w:hint="eastAsia" w:ascii="黑体" w:hAnsi="黑体" w:eastAsia="黑体" w:cs="宋体"/>
          <w:kern w:val="0"/>
          <w:sz w:val="24"/>
          <w:szCs w:val="24"/>
        </w:rPr>
        <w:t>1302”装置(300t/a氯化法钛白粉工业生产试验装置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，</w:t>
      </w:r>
      <w:r>
        <w:rPr>
          <w:rFonts w:hint="eastAsia" w:ascii="黑体" w:hAnsi="黑体" w:eastAsia="黑体" w:cs="宋体"/>
          <w:kern w:val="0"/>
          <w:sz w:val="24"/>
          <w:szCs w:val="24"/>
        </w:rPr>
        <w:t>全钢结构及设备）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拆除，拆除物资并转运至四川宏达股份公司内部指定地方。</w:t>
      </w:r>
    </w:p>
    <w:p w14:paraId="26020BB8">
      <w:pPr>
        <w:spacing w:line="360" w:lineRule="exact"/>
        <w:rPr>
          <w:rFonts w:hint="default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二、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比选地点</w:t>
      </w:r>
      <w:r>
        <w:rPr>
          <w:rFonts w:hint="eastAsia" w:ascii="黑体" w:hAnsi="黑体" w:eastAsia="黑体" w:cs="宋体"/>
          <w:kern w:val="0"/>
          <w:sz w:val="24"/>
          <w:szCs w:val="24"/>
        </w:rPr>
        <w:t>：四川宏达股份有限公司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磷化工分公司（什邡市洛水镇）</w:t>
      </w:r>
    </w:p>
    <w:p w14:paraId="690B36C5">
      <w:pPr>
        <w:spacing w:line="36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三、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资质</w:t>
      </w:r>
      <w:r>
        <w:rPr>
          <w:rFonts w:hint="eastAsia" w:ascii="黑体" w:hAnsi="黑体" w:eastAsia="黑体" w:cs="宋体"/>
          <w:kern w:val="0"/>
          <w:sz w:val="24"/>
          <w:szCs w:val="24"/>
        </w:rPr>
        <w:t>要求：</w:t>
      </w:r>
    </w:p>
    <w:p w14:paraId="08FA939C">
      <w:pPr>
        <w:spacing w:line="360" w:lineRule="exact"/>
        <w:rPr>
          <w:rFonts w:hint="eastAsia" w:ascii="黑体" w:hAnsi="黑体" w:eastAsia="黑体" w:cs="宋体"/>
          <w:kern w:val="0"/>
          <w:sz w:val="24"/>
          <w:szCs w:val="24"/>
          <w:lang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3.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1、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有效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营业执照</w:t>
      </w:r>
    </w:p>
    <w:p w14:paraId="2CC93A4B">
      <w:pPr>
        <w:spacing w:line="360" w:lineRule="exact"/>
        <w:rPr>
          <w:rFonts w:hint="default" w:ascii="黑体" w:hAnsi="黑体" w:eastAsia="黑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color w:val="auto"/>
          <w:kern w:val="0"/>
          <w:sz w:val="24"/>
          <w:szCs w:val="24"/>
          <w:lang w:val="en-US" w:eastAsia="zh-CN"/>
        </w:rPr>
        <w:t>3.2、石油化工工程施工总承包三级及三级以上资质</w:t>
      </w:r>
    </w:p>
    <w:p w14:paraId="1E17E578">
      <w:pPr>
        <w:spacing w:line="360" w:lineRule="exact"/>
        <w:rPr>
          <w:rFonts w:hint="default" w:ascii="黑体" w:hAnsi="黑体" w:eastAsia="黑体" w:cs="宋体"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color w:val="auto"/>
          <w:kern w:val="0"/>
          <w:sz w:val="24"/>
          <w:szCs w:val="24"/>
          <w:lang w:val="en-US" w:eastAsia="zh-CN"/>
        </w:rPr>
        <w:t>3.3、安全生产许可证</w:t>
      </w:r>
    </w:p>
    <w:p w14:paraId="329ACF6D">
      <w:pPr>
        <w:spacing w:line="360" w:lineRule="exact"/>
        <w:rPr>
          <w:rFonts w:hint="eastAsia" w:ascii="黑体" w:hAnsi="黑体" w:eastAsia="黑体" w:cs="宋体"/>
          <w:kern w:val="0"/>
          <w:sz w:val="24"/>
          <w:szCs w:val="24"/>
          <w:lang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四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、开工必备资料：介质置换、钝化、清洗、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施工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方案。</w:t>
      </w:r>
    </w:p>
    <w:p w14:paraId="74648C5B">
      <w:pPr>
        <w:spacing w:line="36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五</w:t>
      </w:r>
      <w:r>
        <w:rPr>
          <w:rFonts w:hint="eastAsia" w:ascii="黑体" w:hAnsi="黑体" w:eastAsia="黑体" w:cs="宋体"/>
          <w:kern w:val="0"/>
          <w:sz w:val="24"/>
          <w:szCs w:val="24"/>
        </w:rPr>
        <w:t>、施工地点：四川宏达股份有限公司什邡市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洛水</w:t>
      </w:r>
      <w:r>
        <w:rPr>
          <w:rFonts w:hint="eastAsia" w:ascii="黑体" w:hAnsi="黑体" w:eastAsia="黑体" w:cs="宋体"/>
          <w:kern w:val="0"/>
          <w:sz w:val="24"/>
          <w:szCs w:val="24"/>
        </w:rPr>
        <w:t>镇。</w:t>
      </w:r>
    </w:p>
    <w:p w14:paraId="31EAB669">
      <w:pPr>
        <w:spacing w:line="420" w:lineRule="exact"/>
        <w:rPr>
          <w:rFonts w:hint="eastAsia" w:ascii="黑体" w:hAnsi="黑体" w:eastAsia="黑体" w:cs="Times New Roman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六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完工时间</w:t>
      </w:r>
      <w:r>
        <w:rPr>
          <w:rFonts w:hint="eastAsia" w:ascii="黑体" w:hAnsi="黑体" w:eastAsia="黑体" w:cs="宋体"/>
          <w:kern w:val="0"/>
          <w:sz w:val="24"/>
          <w:szCs w:val="24"/>
        </w:rPr>
        <w:t>：</w:t>
      </w:r>
      <w:r>
        <w:rPr>
          <w:rFonts w:hint="eastAsia" w:ascii="黑体" w:hAnsi="黑体" w:eastAsia="黑体" w:cs="Times New Roman"/>
          <w:sz w:val="24"/>
          <w:szCs w:val="24"/>
        </w:rPr>
        <w:t>合同生效之日起</w:t>
      </w:r>
      <w:r>
        <w:rPr>
          <w:rFonts w:hint="eastAsia" w:ascii="黑体" w:hAnsi="黑体" w:eastAsia="黑体" w:cs="Times New Roman"/>
          <w:sz w:val="24"/>
          <w:szCs w:val="24"/>
          <w:lang w:val="en-US" w:eastAsia="zh-CN"/>
        </w:rPr>
        <w:t>30</w:t>
      </w:r>
      <w:r>
        <w:rPr>
          <w:rFonts w:hint="eastAsia" w:ascii="黑体" w:hAnsi="黑体" w:eastAsia="黑体" w:cs="Times New Roman"/>
          <w:sz w:val="24"/>
          <w:szCs w:val="24"/>
        </w:rPr>
        <w:t>个自然日内。</w:t>
      </w:r>
    </w:p>
    <w:p w14:paraId="594DB42D">
      <w:pPr>
        <w:spacing w:line="42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七</w:t>
      </w:r>
      <w:r>
        <w:rPr>
          <w:rFonts w:hint="eastAsia" w:ascii="黑体" w:hAnsi="黑体" w:eastAsia="黑体" w:cs="宋体"/>
          <w:kern w:val="0"/>
          <w:sz w:val="24"/>
          <w:szCs w:val="24"/>
        </w:rPr>
        <w:t>、 安全与环保责任</w:t>
      </w:r>
    </w:p>
    <w:p w14:paraId="25027D7C">
      <w:pPr>
        <w:spacing w:line="42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ascii="Calibri" w:hAnsi="Calibri" w:eastAsia="黑体" w:cs="Calibri"/>
          <w:kern w:val="0"/>
          <w:sz w:val="24"/>
          <w:szCs w:val="24"/>
        </w:rPr>
        <w:t>①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方必须配备专职安全管理人员在施工现场负责安全和环保工作。</w:t>
      </w:r>
      <w:r>
        <w:rPr>
          <w:rFonts w:hint="eastAsia" w:ascii="黑体" w:hAnsi="黑体" w:eastAsia="黑体" w:cs="宋体"/>
          <w:kern w:val="0"/>
          <w:sz w:val="24"/>
          <w:szCs w:val="24"/>
        </w:rPr>
        <w:br w:type="textWrapping"/>
      </w:r>
      <w:r>
        <w:rPr>
          <w:rFonts w:ascii="Calibri" w:hAnsi="Calibri" w:eastAsia="黑体" w:cs="Calibri"/>
          <w:kern w:val="0"/>
          <w:sz w:val="24"/>
          <w:szCs w:val="24"/>
        </w:rPr>
        <w:t>②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方作业人员必须按规定穿戴好劳动保护用品。</w:t>
      </w:r>
      <w:r>
        <w:rPr>
          <w:rFonts w:hint="eastAsia" w:ascii="黑体" w:hAnsi="黑体" w:eastAsia="黑体" w:cs="宋体"/>
          <w:kern w:val="0"/>
          <w:sz w:val="24"/>
          <w:szCs w:val="24"/>
        </w:rPr>
        <w:br w:type="textWrapping"/>
      </w:r>
      <w:r>
        <w:rPr>
          <w:rFonts w:ascii="Calibri" w:hAnsi="Calibri" w:eastAsia="黑体" w:cs="Calibri"/>
          <w:kern w:val="0"/>
          <w:sz w:val="24"/>
          <w:szCs w:val="24"/>
        </w:rPr>
        <w:t>③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方在作业过程中应充分保护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招标方其他</w:t>
      </w:r>
      <w:r>
        <w:rPr>
          <w:rFonts w:hint="eastAsia" w:ascii="黑体" w:hAnsi="黑体" w:eastAsia="黑体" w:cs="宋体"/>
          <w:kern w:val="0"/>
          <w:sz w:val="24"/>
          <w:szCs w:val="24"/>
        </w:rPr>
        <w:t>设备及设施，若对招标方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其他</w:t>
      </w:r>
      <w:r>
        <w:rPr>
          <w:rFonts w:hint="eastAsia" w:ascii="黑体" w:hAnsi="黑体" w:eastAsia="黑体" w:cs="宋体"/>
          <w:kern w:val="0"/>
          <w:sz w:val="24"/>
          <w:szCs w:val="24"/>
        </w:rPr>
        <w:t>设备及设施造成损坏，由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方全额赔偿给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招标方</w:t>
      </w:r>
      <w:r>
        <w:rPr>
          <w:rFonts w:hint="eastAsia" w:ascii="黑体" w:hAnsi="黑体" w:eastAsia="黑体" w:cs="宋体"/>
          <w:kern w:val="0"/>
          <w:sz w:val="24"/>
          <w:szCs w:val="24"/>
        </w:rPr>
        <w:t>。</w:t>
      </w:r>
      <w:r>
        <w:rPr>
          <w:rFonts w:hint="eastAsia" w:ascii="黑体" w:hAnsi="黑体" w:eastAsia="黑体" w:cs="宋体"/>
          <w:kern w:val="0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kern w:val="0"/>
          <w:sz w:val="24"/>
          <w:szCs w:val="24"/>
        </w:rPr>
        <w:t>④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方在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实施</w:t>
      </w:r>
      <w:r>
        <w:rPr>
          <w:rFonts w:hint="eastAsia" w:ascii="黑体" w:hAnsi="黑体" w:eastAsia="黑体" w:cs="宋体"/>
          <w:kern w:val="0"/>
          <w:sz w:val="24"/>
          <w:szCs w:val="24"/>
        </w:rPr>
        <w:t>过程中发生安全、环保事故（包括人身伤害、财产损失、环境污染等），由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方承担全部责任和损失。若因此给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招标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方或第三方造成经济损失，由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方承担全额赔偿责任。</w:t>
      </w:r>
      <w:r>
        <w:rPr>
          <w:rFonts w:hint="eastAsia" w:ascii="黑体" w:hAnsi="黑体" w:eastAsia="黑体" w:cs="宋体"/>
          <w:kern w:val="0"/>
          <w:sz w:val="24"/>
          <w:szCs w:val="24"/>
        </w:rPr>
        <w:br w:type="textWrapping"/>
      </w:r>
      <w:r>
        <w:rPr>
          <w:rFonts w:hint="eastAsia" w:ascii="黑体" w:hAnsi="黑体" w:eastAsia="黑体" w:cs="黑体"/>
          <w:kern w:val="0"/>
          <w:sz w:val="24"/>
          <w:szCs w:val="24"/>
        </w:rPr>
        <w:t>⑤</w:t>
      </w:r>
      <w:r>
        <w:rPr>
          <w:rFonts w:hint="eastAsia" w:ascii="黑体" w:hAnsi="黑体" w:eastAsia="黑体" w:cs="宋体"/>
          <w:kern w:val="0"/>
          <w:sz w:val="24"/>
          <w:szCs w:val="24"/>
        </w:rPr>
        <w:t>、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中标</w:t>
      </w:r>
      <w:r>
        <w:rPr>
          <w:rFonts w:hint="eastAsia" w:ascii="黑体" w:hAnsi="黑体" w:eastAsia="黑体" w:cs="宋体"/>
          <w:kern w:val="0"/>
          <w:sz w:val="24"/>
          <w:szCs w:val="24"/>
        </w:rPr>
        <w:t>方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施工</w:t>
      </w:r>
      <w:r>
        <w:rPr>
          <w:rFonts w:hint="eastAsia" w:ascii="黑体" w:hAnsi="黑体" w:eastAsia="黑体" w:cs="宋体"/>
          <w:kern w:val="0"/>
          <w:sz w:val="24"/>
          <w:szCs w:val="24"/>
        </w:rPr>
        <w:t>人员应在指定的区域内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进行</w:t>
      </w:r>
      <w:r>
        <w:rPr>
          <w:rFonts w:hint="eastAsia" w:ascii="黑体" w:hAnsi="黑体" w:eastAsia="黑体" w:cs="宋体"/>
          <w:kern w:val="0"/>
          <w:sz w:val="24"/>
          <w:szCs w:val="24"/>
        </w:rPr>
        <w:t>作业，不得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无故</w:t>
      </w:r>
      <w:r>
        <w:rPr>
          <w:rFonts w:hint="eastAsia" w:ascii="黑体" w:hAnsi="黑体" w:eastAsia="黑体" w:cs="宋体"/>
          <w:kern w:val="0"/>
          <w:sz w:val="24"/>
          <w:szCs w:val="24"/>
        </w:rPr>
        <w:t>进入其他生产区域。</w:t>
      </w:r>
    </w:p>
    <w:p w14:paraId="5BF8CD50">
      <w:pPr>
        <w:spacing w:line="42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八</w:t>
      </w:r>
      <w:r>
        <w:rPr>
          <w:rFonts w:hint="eastAsia" w:ascii="黑体" w:hAnsi="黑体" w:eastAsia="黑体" w:cs="宋体"/>
          <w:kern w:val="0"/>
          <w:sz w:val="24"/>
          <w:szCs w:val="24"/>
        </w:rPr>
        <w:t xml:space="preserve">、付款方式及发票： </w:t>
      </w:r>
    </w:p>
    <w:p w14:paraId="602899A3">
      <w:pPr>
        <w:pStyle w:val="13"/>
        <w:widowControl/>
        <w:shd w:val="clear" w:color="auto" w:fill="FFFFFF"/>
        <w:jc w:val="lef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①付款方式：拆除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转运</w:t>
      </w:r>
      <w:r>
        <w:rPr>
          <w:rFonts w:hint="eastAsia" w:ascii="黑体" w:hAnsi="黑体" w:eastAsia="黑体" w:cs="宋体"/>
          <w:kern w:val="0"/>
          <w:sz w:val="24"/>
          <w:szCs w:val="24"/>
        </w:rPr>
        <w:t>完成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后</w:t>
      </w:r>
      <w:r>
        <w:rPr>
          <w:rFonts w:hint="eastAsia" w:ascii="黑体" w:hAnsi="黑体" w:eastAsia="黑体" w:cs="宋体"/>
          <w:kern w:val="0"/>
          <w:sz w:val="24"/>
          <w:szCs w:val="24"/>
        </w:rPr>
        <w:t>，经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招标方对拆除场地现场</w:t>
      </w:r>
      <w:r>
        <w:rPr>
          <w:rFonts w:hint="eastAsia" w:ascii="黑体" w:hAnsi="黑体" w:eastAsia="黑体" w:cs="宋体"/>
          <w:kern w:val="0"/>
          <w:sz w:val="24"/>
          <w:szCs w:val="24"/>
        </w:rPr>
        <w:t>验收合格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后，中标方开具有效发票后，招标方一次性</w:t>
      </w:r>
      <w:r>
        <w:rPr>
          <w:rFonts w:hint="eastAsia" w:ascii="黑体" w:hAnsi="黑体" w:eastAsia="黑体" w:cs="宋体"/>
          <w:kern w:val="0"/>
          <w:sz w:val="24"/>
          <w:szCs w:val="24"/>
        </w:rPr>
        <w:t>付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清全</w:t>
      </w:r>
      <w:r>
        <w:rPr>
          <w:rFonts w:hint="eastAsia" w:ascii="黑体" w:hAnsi="黑体" w:eastAsia="黑体" w:cs="宋体"/>
          <w:kern w:val="0"/>
          <w:sz w:val="24"/>
          <w:szCs w:val="24"/>
        </w:rPr>
        <w:t>款。</w:t>
      </w:r>
    </w:p>
    <w:p w14:paraId="670BC04A">
      <w:pPr>
        <w:spacing w:line="420" w:lineRule="exac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黑体"/>
          <w:kern w:val="0"/>
          <w:sz w:val="24"/>
          <w:szCs w:val="24"/>
        </w:rPr>
        <w:t>②</w:t>
      </w:r>
      <w:r>
        <w:rPr>
          <w:rFonts w:hint="eastAsia" w:ascii="黑体" w:hAnsi="黑体" w:eastAsia="黑体" w:cs="宋体"/>
          <w:kern w:val="0"/>
          <w:sz w:val="24"/>
          <w:szCs w:val="24"/>
        </w:rPr>
        <w:t>一票制，供应商开具全额增值税专用发票。</w:t>
      </w:r>
    </w:p>
    <w:p w14:paraId="679657DF">
      <w:pPr>
        <w:spacing w:line="420" w:lineRule="exact"/>
        <w:outlineLvl w:val="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  <w:lang w:val="en-US" w:eastAsia="zh-CN"/>
        </w:rPr>
        <w:t>九</w:t>
      </w:r>
      <w:r>
        <w:rPr>
          <w:rFonts w:hint="eastAsia" w:ascii="黑体" w:hAnsi="黑体" w:eastAsia="黑体" w:cs="黑体"/>
          <w:sz w:val="24"/>
          <w:szCs w:val="24"/>
        </w:rPr>
        <w:t>、比选文件的获取</w:t>
      </w:r>
    </w:p>
    <w:p w14:paraId="65B085CB">
      <w:pPr>
        <w:spacing w:line="420" w:lineRule="exact"/>
        <w:outlineLvl w:val="0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获取方式为：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2026年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8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月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13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日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23时59分</w:t>
      </w:r>
      <w:r>
        <w:rPr>
          <w:rFonts w:hint="eastAsia" w:ascii="黑体" w:hAnsi="黑体" w:eastAsia="黑体" w:cs="黑体"/>
          <w:color w:val="auto"/>
          <w:sz w:val="24"/>
          <w:szCs w:val="24"/>
        </w:rPr>
        <w:t>前，</w:t>
      </w:r>
      <w:r>
        <w:rPr>
          <w:rFonts w:hint="eastAsia" w:ascii="黑体" w:hAnsi="黑体" w:eastAsia="黑体" w:cs="黑体"/>
          <w:sz w:val="24"/>
          <w:szCs w:val="24"/>
        </w:rPr>
        <w:t xml:space="preserve">通过四川宏达股份有限公司集采中心招投标平台(以下简称“ 宏达股份集采平台”）（http://jc.sichuanhongda.com/）进行注册并登录后参与投标并下载比选文件。 </w:t>
      </w:r>
    </w:p>
    <w:p w14:paraId="4399A0D3">
      <w:pPr>
        <w:spacing w:line="420" w:lineRule="exact"/>
        <w:rPr>
          <w:rFonts w:hint="eastAsia"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  <w:lang w:val="en-US" w:eastAsia="zh-CN"/>
        </w:rPr>
        <w:t>十</w:t>
      </w:r>
      <w:r>
        <w:rPr>
          <w:rFonts w:hint="eastAsia" w:ascii="黑体" w:hAnsi="黑体" w:eastAsia="黑体" w:cs="仿宋_GB2312"/>
          <w:sz w:val="24"/>
          <w:szCs w:val="24"/>
        </w:rPr>
        <w:t>、响应性文件的递交</w:t>
      </w:r>
    </w:p>
    <w:p w14:paraId="4CD096D5">
      <w:pPr>
        <w:spacing w:line="420" w:lineRule="exact"/>
        <w:rPr>
          <w:rFonts w:hint="eastAsia"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</w:rPr>
        <w:t>递交截止时</w:t>
      </w:r>
      <w:r>
        <w:rPr>
          <w:rFonts w:hint="eastAsia" w:ascii="黑体" w:hAnsi="黑体" w:eastAsia="黑体" w:cs="仿宋_GB2312"/>
          <w:color w:val="auto"/>
          <w:sz w:val="24"/>
          <w:szCs w:val="24"/>
        </w:rPr>
        <w:t>间：2026年</w:t>
      </w:r>
      <w:r>
        <w:rPr>
          <w:rFonts w:hint="eastAsia" w:ascii="黑体" w:hAnsi="黑体" w:eastAsia="黑体" w:cs="仿宋_GB2312"/>
          <w:color w:val="auto"/>
          <w:sz w:val="24"/>
          <w:szCs w:val="24"/>
          <w:lang w:val="en-US" w:eastAsia="zh-CN"/>
        </w:rPr>
        <w:t xml:space="preserve"> 8</w:t>
      </w:r>
      <w:r>
        <w:rPr>
          <w:rFonts w:hint="eastAsia" w:ascii="黑体" w:hAnsi="黑体" w:eastAsia="黑体" w:cs="仿宋_GB2312"/>
          <w:color w:val="auto"/>
          <w:sz w:val="24"/>
          <w:szCs w:val="24"/>
        </w:rPr>
        <w:t>月</w:t>
      </w:r>
      <w:r>
        <w:rPr>
          <w:rFonts w:hint="eastAsia" w:ascii="黑体" w:hAnsi="黑体" w:eastAsia="黑体" w:cs="仿宋_GB2312"/>
          <w:color w:val="auto"/>
          <w:sz w:val="24"/>
          <w:szCs w:val="24"/>
          <w:lang w:val="en-US" w:eastAsia="zh-CN"/>
        </w:rPr>
        <w:t>14</w:t>
      </w:r>
      <w:r>
        <w:rPr>
          <w:rFonts w:hint="eastAsia" w:ascii="黑体" w:hAnsi="黑体" w:eastAsia="黑体" w:cs="仿宋_GB2312"/>
          <w:color w:val="auto"/>
          <w:sz w:val="24"/>
          <w:szCs w:val="24"/>
        </w:rPr>
        <w:t>日 10时 00 分。</w:t>
      </w:r>
      <w:r>
        <w:rPr>
          <w:rFonts w:hint="eastAsia" w:ascii="黑体" w:hAnsi="黑体" w:eastAsia="黑体" w:cs="黑体"/>
          <w:kern w:val="0"/>
          <w:sz w:val="24"/>
          <w:szCs w:val="24"/>
        </w:rPr>
        <w:t>比选申请人按本比选文件第二章响应性文件格式制作报价文件，</w:t>
      </w:r>
      <w:r>
        <w:rPr>
          <w:rFonts w:hint="eastAsia" w:ascii="黑体" w:hAnsi="黑体" w:eastAsia="黑体" w:cs="黑体"/>
          <w:sz w:val="24"/>
          <w:szCs w:val="24"/>
        </w:rPr>
        <w:t>注明</w:t>
      </w:r>
      <w:r>
        <w:rPr>
          <w:rFonts w:hint="eastAsia" w:ascii="黑体" w:hAnsi="黑体" w:eastAsia="黑体" w:cs="黑体"/>
          <w:kern w:val="0"/>
          <w:sz w:val="24"/>
          <w:szCs w:val="24"/>
        </w:rPr>
        <w:t>标的物名称、</w:t>
      </w:r>
      <w:r>
        <w:rPr>
          <w:rFonts w:hint="eastAsia" w:ascii="黑体" w:hAnsi="黑体" w:eastAsia="黑体" w:cs="黑体"/>
          <w:sz w:val="24"/>
          <w:szCs w:val="24"/>
        </w:rPr>
        <w:t>规格型号、数量、单价（含税价）、合计金额、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完工时间</w:t>
      </w:r>
      <w:r>
        <w:rPr>
          <w:rFonts w:hint="eastAsia" w:ascii="黑体" w:hAnsi="黑体" w:eastAsia="黑体" w:cs="黑体"/>
          <w:sz w:val="24"/>
          <w:szCs w:val="24"/>
        </w:rPr>
        <w:t>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20C027F6">
      <w:pPr>
        <w:spacing w:line="420" w:lineRule="exact"/>
        <w:rPr>
          <w:rFonts w:hint="eastAsia"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十一</w:t>
      </w:r>
      <w:r>
        <w:rPr>
          <w:rFonts w:hint="eastAsia" w:ascii="黑体" w:hAnsi="黑体" w:eastAsia="黑体" w:cs="仿宋_GB2312"/>
          <w:sz w:val="24"/>
          <w:szCs w:val="24"/>
        </w:rPr>
        <w:t>、响应性文件的要求</w:t>
      </w:r>
    </w:p>
    <w:p w14:paraId="43D65021">
      <w:pPr>
        <w:spacing w:line="420" w:lineRule="exact"/>
        <w:rPr>
          <w:rFonts w:hint="eastAsia" w:ascii="黑体" w:hAnsi="黑体" w:eastAsia="黑体" w:cs="仿宋_GB2312"/>
          <w:sz w:val="24"/>
          <w:szCs w:val="24"/>
        </w:rPr>
      </w:pPr>
      <w:r>
        <w:rPr>
          <w:rFonts w:hint="eastAsia" w:ascii="黑体" w:hAnsi="黑体" w:eastAsia="黑体" w:cs="仿宋_GB2312"/>
          <w:sz w:val="24"/>
          <w:szCs w:val="24"/>
        </w:rPr>
        <w:t>①比选申请人需提供</w:t>
      </w:r>
      <w:bookmarkStart w:id="0" w:name="OLE_LINK4"/>
      <w:bookmarkStart w:id="1" w:name="OLE_LINK3"/>
      <w:r>
        <w:rPr>
          <w:rFonts w:hint="eastAsia" w:ascii="黑体" w:hAnsi="黑体" w:eastAsia="黑体" w:cs="仿宋_GB2312"/>
          <w:sz w:val="24"/>
          <w:szCs w:val="24"/>
        </w:rPr>
        <w:t>营业执照（三证合一）</w:t>
      </w:r>
      <w:bookmarkEnd w:id="0"/>
      <w:bookmarkEnd w:id="1"/>
      <w:r>
        <w:rPr>
          <w:rFonts w:hint="eastAsia" w:ascii="黑体" w:hAnsi="黑体" w:eastAsia="黑体" w:cs="仿宋_GB2312"/>
          <w:sz w:val="24"/>
          <w:szCs w:val="24"/>
        </w:rPr>
        <w:t>。</w:t>
      </w:r>
    </w:p>
    <w:p w14:paraId="673A5C96">
      <w:pPr>
        <w:spacing w:line="420" w:lineRule="exact"/>
        <w:rPr>
          <w:rFonts w:hint="default" w:ascii="黑体" w:hAnsi="黑体" w:eastAsia="黑体" w:cs="仿宋_GB2312"/>
          <w:sz w:val="24"/>
          <w:szCs w:val="24"/>
          <w:lang w:val="en-US" w:eastAsia="zh-CN"/>
        </w:rPr>
      </w:pPr>
      <w:r>
        <w:rPr>
          <w:rFonts w:hint="eastAsia" w:ascii="黑体" w:hAnsi="黑体" w:eastAsia="黑体" w:cs="仿宋_GB2312"/>
          <w:sz w:val="24"/>
          <w:szCs w:val="24"/>
        </w:rPr>
        <w:t>②</w:t>
      </w:r>
      <w:r>
        <w:rPr>
          <w:rFonts w:hint="eastAsia" w:ascii="黑体" w:hAnsi="黑体" w:eastAsia="黑体" w:cs="仿宋_GB2312"/>
          <w:sz w:val="24"/>
          <w:szCs w:val="24"/>
          <w:lang w:val="en-US" w:eastAsia="zh-CN"/>
        </w:rPr>
        <w:t>资质资料及安全生产许可证</w:t>
      </w:r>
    </w:p>
    <w:p w14:paraId="0A042160">
      <w:pPr>
        <w:numPr>
          <w:ilvl w:val="0"/>
          <w:numId w:val="0"/>
        </w:numPr>
        <w:spacing w:line="420" w:lineRule="exact"/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十二、投标保证金：贰万元，中标后自动转为履约保证金</w:t>
      </w:r>
    </w:p>
    <w:p w14:paraId="27B67FFF">
      <w:pPr>
        <w:numPr>
          <w:ilvl w:val="0"/>
          <w:numId w:val="0"/>
        </w:numPr>
        <w:spacing w:line="420" w:lineRule="exact"/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汇款至：</w:t>
      </w:r>
    </w:p>
    <w:p w14:paraId="01668D76">
      <w:pPr>
        <w:numPr>
          <w:ilvl w:val="0"/>
          <w:numId w:val="0"/>
        </w:numPr>
        <w:spacing w:line="420" w:lineRule="exact"/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单位：四川宏达股份有限公司</w:t>
      </w:r>
    </w:p>
    <w:p w14:paraId="4238CBBA">
      <w:pPr>
        <w:numPr>
          <w:ilvl w:val="0"/>
          <w:numId w:val="0"/>
        </w:numPr>
        <w:spacing w:line="420" w:lineRule="exact"/>
        <w:rPr>
          <w:rFonts w:hint="default" w:ascii="黑体" w:hAnsi="黑体" w:eastAsia="黑体" w:cs="Segoe UI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开户行：中国银行什邡亭江西路支行</w:t>
      </w:r>
    </w:p>
    <w:p w14:paraId="51455A9E">
      <w:pPr>
        <w:numPr>
          <w:ilvl w:val="0"/>
          <w:numId w:val="0"/>
        </w:numPr>
        <w:spacing w:line="420" w:lineRule="exact"/>
        <w:rPr>
          <w:rFonts w:hint="default" w:ascii="黑体" w:hAnsi="黑体" w:eastAsia="黑体" w:cs="Segoe UI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账号：121203636202</w:t>
      </w:r>
    </w:p>
    <w:p w14:paraId="60848D44">
      <w:pPr>
        <w:numPr>
          <w:ilvl w:val="0"/>
          <w:numId w:val="0"/>
        </w:numPr>
        <w:spacing w:line="420" w:lineRule="exact"/>
        <w:ind w:leftChars="0"/>
        <w:rPr>
          <w:rFonts w:hint="eastAsia" w:ascii="黑体" w:hAnsi="黑体" w:eastAsia="黑体" w:cs="Segoe UI"/>
          <w:kern w:val="0"/>
          <w:sz w:val="24"/>
          <w:szCs w:val="24"/>
          <w:lang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十三</w:t>
      </w: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、</w:t>
      </w:r>
      <w:r>
        <w:rPr>
          <w:rFonts w:hint="eastAsia" w:ascii="黑体" w:hAnsi="黑体" w:eastAsia="黑体" w:cs="Segoe UI"/>
          <w:kern w:val="0"/>
          <w:sz w:val="24"/>
          <w:szCs w:val="24"/>
        </w:rPr>
        <w:t>本项目</w:t>
      </w:r>
      <w:r>
        <w:rPr>
          <w:rFonts w:hint="eastAsia" w:ascii="黑体" w:hAnsi="黑体" w:eastAsia="黑体" w:cs="Segoe UI"/>
          <w:kern w:val="0"/>
          <w:sz w:val="24"/>
          <w:szCs w:val="24"/>
          <w:lang w:val="en-US" w:eastAsia="zh-CN"/>
        </w:rPr>
        <w:t>在满足招标人要求下，采取</w:t>
      </w:r>
      <w:r>
        <w:rPr>
          <w:rFonts w:hint="eastAsia" w:ascii="黑体" w:hAnsi="黑体" w:eastAsia="黑体" w:cs="Segoe UI"/>
          <w:kern w:val="0"/>
          <w:sz w:val="24"/>
          <w:szCs w:val="24"/>
        </w:rPr>
        <w:t>最低价法进行比选</w:t>
      </w:r>
      <w:r>
        <w:rPr>
          <w:rFonts w:hint="eastAsia" w:ascii="黑体" w:hAnsi="黑体" w:eastAsia="黑体" w:cs="Segoe UI"/>
          <w:kern w:val="0"/>
          <w:sz w:val="24"/>
          <w:szCs w:val="24"/>
          <w:lang w:eastAsia="zh-CN"/>
        </w:rPr>
        <w:t>。</w:t>
      </w:r>
    </w:p>
    <w:p w14:paraId="54C6D59C">
      <w:pPr>
        <w:numPr>
          <w:ilvl w:val="0"/>
          <w:numId w:val="0"/>
        </w:numPr>
        <w:spacing w:line="420" w:lineRule="exact"/>
        <w:ind w:leftChars="0"/>
        <w:rPr>
          <w:rFonts w:hint="default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十四、投</w:t>
      </w:r>
      <w:r>
        <w:rPr>
          <w:rFonts w:hint="eastAsia" w:ascii="黑体" w:hAnsi="黑体" w:eastAsia="黑体" w:cs="宋体"/>
          <w:kern w:val="0"/>
          <w:sz w:val="24"/>
          <w:szCs w:val="24"/>
        </w:rPr>
        <w:t>报价文件前，供应商方须自愿前来我公司进行实地考查或咨询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，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确定拆除范围及要求，否则将视为自动放弃权利。</w:t>
      </w:r>
    </w:p>
    <w:p w14:paraId="6C326582">
      <w:pPr>
        <w:spacing w:line="420" w:lineRule="exact"/>
        <w:rPr>
          <w:rFonts w:hint="default" w:ascii="黑体" w:hAnsi="黑体" w:eastAsia="黑体" w:cs="宋体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现场联系人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王成刚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：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15928309339</w:t>
      </w:r>
    </w:p>
    <w:p w14:paraId="0826FCE2">
      <w:pPr>
        <w:spacing w:line="420" w:lineRule="exact"/>
        <w:rPr>
          <w:rFonts w:hint="eastAsia" w:ascii="黑体" w:hAnsi="黑体" w:eastAsia="黑体" w:cs="宋体"/>
          <w:kern w:val="0"/>
          <w:sz w:val="24"/>
          <w:szCs w:val="24"/>
          <w:lang w:eastAsia="zh-CN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商务联系人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曾伟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：13881082126</w:t>
      </w:r>
    </w:p>
    <w:p w14:paraId="5891C484">
      <w:pPr>
        <w:adjustRightInd w:val="0"/>
        <w:spacing w:line="420" w:lineRule="exact"/>
        <w:jc w:val="lef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 xml:space="preserve">地 址：四川省德阳市什邡市洛水镇                 </w:t>
      </w:r>
    </w:p>
    <w:p w14:paraId="1E4B6F7D">
      <w:pPr>
        <w:adjustRightInd w:val="0"/>
        <w:spacing w:line="420" w:lineRule="exact"/>
        <w:ind w:firstLine="4800" w:firstLineChars="2000"/>
        <w:jc w:val="left"/>
        <w:rPr>
          <w:rFonts w:hint="eastAsia" w:ascii="黑体" w:hAnsi="黑体" w:eastAsia="黑体" w:cs="宋体"/>
          <w:kern w:val="0"/>
          <w:sz w:val="24"/>
          <w:szCs w:val="24"/>
        </w:rPr>
      </w:pPr>
    </w:p>
    <w:p w14:paraId="547FDA69">
      <w:pPr>
        <w:adjustRightInd w:val="0"/>
        <w:spacing w:line="420" w:lineRule="exact"/>
        <w:ind w:firstLine="4800" w:firstLineChars="2000"/>
        <w:jc w:val="left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四川宏达股份有限公司</w:t>
      </w:r>
    </w:p>
    <w:p w14:paraId="20267C28">
      <w:pPr>
        <w:spacing w:line="420" w:lineRule="exact"/>
        <w:ind w:firstLine="5040" w:firstLineChars="2100"/>
        <w:rPr>
          <w:rFonts w:hint="eastAsia" w:ascii="黑体" w:hAnsi="黑体" w:eastAsia="黑体" w:cs="宋体"/>
          <w:kern w:val="0"/>
          <w:sz w:val="24"/>
          <w:szCs w:val="24"/>
        </w:rPr>
      </w:pPr>
      <w:r>
        <w:rPr>
          <w:rFonts w:hint="eastAsia" w:ascii="黑体" w:hAnsi="黑体" w:eastAsia="黑体" w:cs="宋体"/>
          <w:kern w:val="0"/>
          <w:sz w:val="24"/>
          <w:szCs w:val="24"/>
        </w:rPr>
        <w:t>2026年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8</w:t>
      </w:r>
      <w:r>
        <w:rPr>
          <w:rFonts w:hint="eastAsia" w:ascii="黑体" w:hAnsi="黑体" w:eastAsia="黑体" w:cs="宋体"/>
          <w:kern w:val="0"/>
          <w:sz w:val="24"/>
          <w:szCs w:val="24"/>
        </w:rPr>
        <w:t>月</w:t>
      </w: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4</w:t>
      </w:r>
      <w:r>
        <w:rPr>
          <w:rFonts w:hint="eastAsia" w:ascii="黑体" w:hAnsi="黑体" w:eastAsia="黑体" w:cs="宋体"/>
          <w:kern w:val="0"/>
          <w:sz w:val="24"/>
          <w:szCs w:val="24"/>
        </w:rPr>
        <w:t>日</w:t>
      </w:r>
    </w:p>
    <w:p w14:paraId="5E0E5E9C">
      <w:pPr>
        <w:spacing w:line="420" w:lineRule="exact"/>
        <w:rPr>
          <w:rFonts w:hint="eastAsia" w:ascii="黑体" w:hAnsi="黑体" w:eastAsia="黑体" w:cs="宋体"/>
          <w:b/>
          <w:kern w:val="0"/>
          <w:sz w:val="24"/>
          <w:szCs w:val="24"/>
        </w:rPr>
      </w:pPr>
    </w:p>
    <w:p w14:paraId="04CDC4C9">
      <w:pPr>
        <w:ind w:firstLine="4080" w:firstLineChars="1700"/>
        <w:jc w:val="both"/>
        <w:rPr>
          <w:rFonts w:hint="eastAsia" w:ascii="黑体" w:hAnsi="宋体" w:eastAsia="黑体"/>
          <w:sz w:val="24"/>
          <w:szCs w:val="24"/>
        </w:rPr>
      </w:pPr>
    </w:p>
    <w:p w14:paraId="04838CFD">
      <w:pPr>
        <w:ind w:firstLine="4080" w:firstLineChars="1700"/>
        <w:jc w:val="both"/>
        <w:rPr>
          <w:rFonts w:hint="eastAsia" w:ascii="黑体" w:hAnsi="宋体" w:eastAsia="黑体"/>
          <w:sz w:val="24"/>
          <w:szCs w:val="24"/>
        </w:rPr>
      </w:pPr>
    </w:p>
    <w:p w14:paraId="5DDDF5A0">
      <w:pPr>
        <w:ind w:firstLine="4080" w:firstLineChars="1700"/>
        <w:jc w:val="both"/>
        <w:rPr>
          <w:rFonts w:hint="eastAsia" w:ascii="黑体" w:hAnsi="宋体" w:eastAsia="黑体"/>
          <w:sz w:val="24"/>
          <w:szCs w:val="24"/>
        </w:rPr>
      </w:pPr>
    </w:p>
    <w:p w14:paraId="060574AC">
      <w:pPr>
        <w:ind w:firstLine="4080" w:firstLineChars="1700"/>
        <w:jc w:val="both"/>
        <w:rPr>
          <w:rFonts w:hint="eastAsia" w:ascii="黑体" w:hAnsi="宋体" w:eastAsia="黑体"/>
          <w:sz w:val="24"/>
          <w:szCs w:val="24"/>
        </w:rPr>
      </w:pPr>
    </w:p>
    <w:p w14:paraId="3B5A185B">
      <w:pPr>
        <w:ind w:firstLine="4080" w:firstLineChars="1700"/>
        <w:jc w:val="both"/>
        <w:rPr>
          <w:rFonts w:hint="eastAsia" w:ascii="黑体" w:hAnsi="宋体" w:eastAsia="黑体"/>
          <w:sz w:val="24"/>
          <w:szCs w:val="24"/>
        </w:rPr>
      </w:pPr>
    </w:p>
    <w:p w14:paraId="7F4E361D">
      <w:pPr>
        <w:ind w:firstLine="4080" w:firstLineChars="1700"/>
        <w:jc w:val="both"/>
        <w:rPr>
          <w:rFonts w:hint="eastAsia" w:ascii="黑体" w:hAnsi="宋体" w:eastAsia="黑体"/>
          <w:sz w:val="24"/>
          <w:szCs w:val="24"/>
        </w:rPr>
      </w:pPr>
      <w:r>
        <w:rPr>
          <w:rFonts w:hint="eastAsia" w:ascii="黑体" w:hAnsi="宋体" w:eastAsia="黑体"/>
          <w:sz w:val="24"/>
          <w:szCs w:val="24"/>
        </w:rPr>
        <w:t xml:space="preserve">第二章 </w:t>
      </w:r>
    </w:p>
    <w:p w14:paraId="79F26A43">
      <w:pPr>
        <w:ind w:firstLine="480" w:firstLineChars="200"/>
        <w:jc w:val="center"/>
        <w:rPr>
          <w:rFonts w:hint="eastAsia" w:ascii="黑体" w:hAnsi="宋体" w:eastAsia="黑体"/>
          <w:sz w:val="24"/>
          <w:szCs w:val="24"/>
        </w:rPr>
      </w:pPr>
    </w:p>
    <w:p w14:paraId="3E56622B">
      <w:pPr>
        <w:ind w:firstLine="3520" w:firstLineChars="1100"/>
        <w:jc w:val="both"/>
        <w:rPr>
          <w:rFonts w:hint="eastAsia"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1FBD648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480" w:firstLineChars="200"/>
        <w:jc w:val="left"/>
        <w:textAlignment w:val="bottom"/>
        <w:rPr>
          <w:rFonts w:hint="eastAsia" w:ascii="黑体" w:hAnsi="黑体" w:eastAsia="黑体" w:cs="宋体"/>
          <w:sz w:val="24"/>
          <w:szCs w:val="24"/>
          <w:u w:val="single"/>
        </w:rPr>
      </w:pPr>
    </w:p>
    <w:p w14:paraId="73112F29">
      <w:pPr>
        <w:ind w:firstLine="480" w:firstLineChars="200"/>
        <w:jc w:val="center"/>
        <w:rPr>
          <w:rFonts w:hint="eastAsia" w:ascii="黑体" w:hAnsi="黑体" w:eastAsia="黑体" w:cs="宋体"/>
          <w:kern w:val="0"/>
          <w:sz w:val="24"/>
          <w:szCs w:val="24"/>
          <w:lang w:eastAsia="zh-CN"/>
        </w:rPr>
      </w:pPr>
    </w:p>
    <w:p w14:paraId="2CBC3648">
      <w:pPr>
        <w:ind w:firstLine="480" w:firstLineChars="200"/>
        <w:jc w:val="center"/>
        <w:rPr>
          <w:rFonts w:hint="eastAsia" w:ascii="黑体" w:hAnsi="黑体" w:eastAsia="黑体" w:cs="宋体"/>
          <w:kern w:val="0"/>
          <w:sz w:val="24"/>
          <w:szCs w:val="24"/>
          <w:lang w:eastAsia="zh-CN"/>
        </w:rPr>
      </w:pPr>
    </w:p>
    <w:p w14:paraId="65AA4AA9">
      <w:pPr>
        <w:ind w:firstLine="482" w:firstLineChars="200"/>
        <w:jc w:val="center"/>
        <w:rPr>
          <w:rFonts w:hint="eastAsia" w:ascii="黑体" w:hAnsi="黑体" w:eastAsia="黑体" w:cs="宋体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硫酸30万/吨二吸塔及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“</w:t>
      </w:r>
      <w:r>
        <w:rPr>
          <w:rFonts w:hint="eastAsia" w:ascii="黑体" w:hAnsi="黑体" w:eastAsia="黑体" w:cs="宋体"/>
          <w:kern w:val="0"/>
          <w:sz w:val="24"/>
          <w:szCs w:val="24"/>
        </w:rPr>
        <w:t>1302”装置(300t/a氯化法钛白粉工业生产试验装置</w:t>
      </w:r>
      <w:r>
        <w:rPr>
          <w:rFonts w:hint="eastAsia" w:ascii="黑体" w:hAnsi="黑体" w:eastAsia="黑体" w:cs="宋体"/>
          <w:kern w:val="0"/>
          <w:sz w:val="24"/>
          <w:szCs w:val="24"/>
          <w:lang w:eastAsia="zh-CN"/>
        </w:rPr>
        <w:t>）</w:t>
      </w:r>
    </w:p>
    <w:p w14:paraId="1DFB08C0">
      <w:pPr>
        <w:ind w:firstLine="480" w:firstLineChars="200"/>
        <w:jc w:val="center"/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</w:pPr>
    </w:p>
    <w:p w14:paraId="1EAC5BA4">
      <w:pPr>
        <w:ind w:firstLine="480" w:firstLineChars="200"/>
        <w:jc w:val="center"/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</w:pPr>
    </w:p>
    <w:p w14:paraId="68E091D3">
      <w:pPr>
        <w:ind w:firstLine="480" w:firstLineChars="200"/>
        <w:jc w:val="center"/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</w:pPr>
    </w:p>
    <w:p w14:paraId="2D17E5B7">
      <w:pPr>
        <w:ind w:firstLine="480" w:firstLineChars="200"/>
        <w:jc w:val="center"/>
        <w:rPr>
          <w:rFonts w:hint="default" w:ascii="黑体" w:eastAsia="黑体"/>
          <w:sz w:val="24"/>
          <w:szCs w:val="24"/>
          <w:lang w:val="en-US"/>
        </w:rPr>
      </w:pPr>
      <w:r>
        <w:rPr>
          <w:rFonts w:hint="eastAsia" w:ascii="黑体" w:hAnsi="黑体" w:eastAsia="黑体" w:cs="宋体"/>
          <w:kern w:val="0"/>
          <w:sz w:val="24"/>
          <w:szCs w:val="24"/>
          <w:lang w:val="en-US" w:eastAsia="zh-CN"/>
        </w:rPr>
        <w:t>拆除项目</w:t>
      </w:r>
    </w:p>
    <w:p w14:paraId="1249E0D5">
      <w:pPr>
        <w:ind w:firstLine="480" w:firstLineChars="200"/>
        <w:jc w:val="center"/>
        <w:rPr>
          <w:rFonts w:ascii="黑体" w:eastAsia="黑体"/>
          <w:sz w:val="24"/>
          <w:szCs w:val="24"/>
        </w:rPr>
      </w:pPr>
    </w:p>
    <w:p w14:paraId="2BB6C48D">
      <w:pPr>
        <w:jc w:val="center"/>
        <w:rPr>
          <w:rFonts w:hint="eastAsia" w:ascii="楷体_GB2312" w:eastAsia="楷体_GB2312"/>
          <w:sz w:val="24"/>
          <w:szCs w:val="24"/>
        </w:rPr>
      </w:pPr>
    </w:p>
    <w:p w14:paraId="73F832D4">
      <w:pPr>
        <w:jc w:val="center"/>
        <w:rPr>
          <w:rFonts w:hint="eastAsia" w:ascii="楷体_GB2312" w:eastAsia="楷体_GB2312"/>
          <w:sz w:val="24"/>
          <w:szCs w:val="24"/>
        </w:rPr>
      </w:pPr>
    </w:p>
    <w:p w14:paraId="0717F417">
      <w:pPr>
        <w:jc w:val="center"/>
        <w:rPr>
          <w:rFonts w:hint="eastAsia" w:ascii="楷体_GB2312" w:eastAsia="楷体_GB2312"/>
          <w:sz w:val="24"/>
          <w:szCs w:val="24"/>
        </w:rPr>
      </w:pPr>
    </w:p>
    <w:p w14:paraId="59BE8E8D">
      <w:pPr>
        <w:jc w:val="center"/>
        <w:rPr>
          <w:rFonts w:hint="eastAsia" w:ascii="楷体_GB2312" w:eastAsia="楷体_GB2312"/>
          <w:sz w:val="24"/>
          <w:szCs w:val="24"/>
        </w:rPr>
      </w:pPr>
    </w:p>
    <w:p w14:paraId="76A32FC4">
      <w:pPr>
        <w:jc w:val="center"/>
        <w:rPr>
          <w:rFonts w:hint="eastAsia" w:ascii="楷体_GB2312" w:eastAsia="楷体_GB2312"/>
          <w:sz w:val="24"/>
          <w:szCs w:val="24"/>
        </w:rPr>
      </w:pPr>
    </w:p>
    <w:p w14:paraId="6536D8AF">
      <w:pPr>
        <w:jc w:val="center"/>
        <w:rPr>
          <w:rFonts w:hint="eastAsia" w:ascii="楷体_GB2312" w:eastAsia="楷体_GB2312"/>
          <w:sz w:val="24"/>
          <w:szCs w:val="24"/>
        </w:rPr>
      </w:pPr>
    </w:p>
    <w:p w14:paraId="21B6DAD0">
      <w:pPr>
        <w:jc w:val="center"/>
        <w:rPr>
          <w:rFonts w:hint="eastAsia" w:ascii="楷体_GB2312" w:eastAsia="楷体_GB2312"/>
          <w:sz w:val="24"/>
          <w:szCs w:val="24"/>
        </w:rPr>
      </w:pPr>
    </w:p>
    <w:p w14:paraId="2B656AD7">
      <w:pPr>
        <w:jc w:val="center"/>
        <w:rPr>
          <w:rFonts w:hint="eastAsia" w:ascii="楷体_GB2312" w:eastAsia="楷体_GB2312"/>
          <w:sz w:val="24"/>
          <w:szCs w:val="24"/>
        </w:rPr>
      </w:pPr>
    </w:p>
    <w:p w14:paraId="31E9CDD8">
      <w:pPr>
        <w:jc w:val="center"/>
        <w:rPr>
          <w:rFonts w:hint="eastAsia" w:ascii="楷体_GB2312" w:eastAsia="楷体_GB2312"/>
          <w:sz w:val="24"/>
          <w:szCs w:val="24"/>
        </w:rPr>
      </w:pPr>
    </w:p>
    <w:p w14:paraId="67684FF8">
      <w:pPr>
        <w:jc w:val="center"/>
        <w:rPr>
          <w:rFonts w:hint="eastAsia" w:ascii="楷体_GB2312" w:eastAsia="楷体_GB2312"/>
          <w:sz w:val="24"/>
          <w:szCs w:val="24"/>
        </w:rPr>
      </w:pPr>
    </w:p>
    <w:p w14:paraId="044D4685">
      <w:pPr>
        <w:jc w:val="center"/>
        <w:rPr>
          <w:rFonts w:ascii="楷体_GB2312" w:eastAsia="楷体_GB2312"/>
          <w:sz w:val="44"/>
          <w:szCs w:val="44"/>
        </w:rPr>
      </w:pPr>
      <w:r>
        <w:rPr>
          <w:rFonts w:hint="eastAsia" w:ascii="楷体_GB2312" w:eastAsia="楷体_GB2312"/>
          <w:sz w:val="44"/>
          <w:szCs w:val="44"/>
        </w:rPr>
        <w:t>响应性文件</w:t>
      </w:r>
    </w:p>
    <w:p w14:paraId="4D7DDEC4">
      <w:pPr>
        <w:ind w:firstLine="480" w:firstLineChars="200"/>
        <w:jc w:val="center"/>
        <w:rPr>
          <w:rFonts w:hint="eastAsia" w:ascii="黑体" w:hAnsi="宋体" w:eastAsia="黑体"/>
          <w:sz w:val="24"/>
          <w:szCs w:val="24"/>
        </w:rPr>
      </w:pPr>
    </w:p>
    <w:p w14:paraId="62C88CE2">
      <w:pPr>
        <w:ind w:firstLine="480" w:firstLineChars="200"/>
        <w:rPr>
          <w:rFonts w:hint="eastAsia" w:ascii="黑体" w:hAnsi="宋体" w:eastAsia="黑体"/>
          <w:sz w:val="24"/>
          <w:szCs w:val="24"/>
        </w:rPr>
      </w:pPr>
    </w:p>
    <w:p w14:paraId="7CE8BF0B">
      <w:pPr>
        <w:ind w:firstLine="480" w:firstLineChars="200"/>
        <w:rPr>
          <w:rFonts w:hint="eastAsia" w:ascii="黑体" w:hAnsi="宋体" w:eastAsia="黑体"/>
          <w:sz w:val="24"/>
          <w:szCs w:val="24"/>
        </w:rPr>
      </w:pPr>
    </w:p>
    <w:p w14:paraId="1088509D">
      <w:pPr>
        <w:ind w:firstLine="480" w:firstLineChars="200"/>
        <w:rPr>
          <w:rFonts w:hint="eastAsia" w:ascii="楷体_GB2312" w:hAnsi="宋体" w:eastAsia="楷体_GB2312"/>
          <w:sz w:val="24"/>
          <w:szCs w:val="24"/>
        </w:rPr>
      </w:pPr>
    </w:p>
    <w:p w14:paraId="1E173624">
      <w:pPr>
        <w:ind w:firstLine="480" w:firstLineChars="200"/>
        <w:rPr>
          <w:rFonts w:hint="eastAsia" w:ascii="楷体_GB2312" w:hAnsi="宋体" w:eastAsia="楷体_GB2312"/>
          <w:sz w:val="24"/>
          <w:szCs w:val="24"/>
        </w:rPr>
      </w:pPr>
    </w:p>
    <w:p w14:paraId="11BF9385">
      <w:pPr>
        <w:ind w:firstLine="480" w:firstLineChars="200"/>
        <w:rPr>
          <w:rFonts w:hint="eastAsia" w:ascii="楷体_GB2312" w:hAnsi="宋体" w:eastAsia="楷体_GB2312"/>
          <w:sz w:val="24"/>
          <w:szCs w:val="24"/>
        </w:rPr>
      </w:pPr>
    </w:p>
    <w:p w14:paraId="5B266891">
      <w:pPr>
        <w:spacing w:line="440" w:lineRule="exact"/>
        <w:ind w:firstLine="3360" w:firstLineChars="1400"/>
        <w:jc w:val="left"/>
        <w:rPr>
          <w:rFonts w:hint="eastAsia" w:ascii="楷体_GB2312" w:hAnsi="宋体" w:eastAsia="楷体_GB2312"/>
          <w:sz w:val="24"/>
          <w:szCs w:val="24"/>
        </w:rPr>
      </w:pPr>
    </w:p>
    <w:p w14:paraId="652BFFD1">
      <w:pPr>
        <w:spacing w:line="440" w:lineRule="exact"/>
        <w:ind w:firstLine="3360" w:firstLineChars="1400"/>
        <w:jc w:val="left"/>
        <w:rPr>
          <w:rFonts w:hint="eastAsia" w:ascii="楷体_GB2312" w:hAnsi="宋体" w:eastAsia="楷体_GB2312"/>
          <w:sz w:val="24"/>
          <w:szCs w:val="24"/>
        </w:rPr>
      </w:pPr>
    </w:p>
    <w:p w14:paraId="3FB19C8D">
      <w:pPr>
        <w:spacing w:line="440" w:lineRule="exact"/>
        <w:ind w:firstLine="3360" w:firstLineChars="1400"/>
        <w:jc w:val="left"/>
        <w:rPr>
          <w:rFonts w:hint="eastAsia" w:ascii="楷体_GB2312" w:hAnsi="宋体" w:eastAsia="楷体_GB2312"/>
          <w:sz w:val="24"/>
          <w:szCs w:val="24"/>
        </w:rPr>
      </w:pPr>
    </w:p>
    <w:p w14:paraId="33F84D95">
      <w:pPr>
        <w:spacing w:line="440" w:lineRule="exact"/>
        <w:ind w:firstLine="3360" w:firstLineChars="1400"/>
        <w:jc w:val="left"/>
        <w:rPr>
          <w:rFonts w:hint="eastAsia" w:ascii="楷体_GB2312" w:hAnsi="宋体" w:eastAsia="楷体_GB2312"/>
          <w:sz w:val="24"/>
          <w:szCs w:val="24"/>
        </w:rPr>
      </w:pPr>
    </w:p>
    <w:p w14:paraId="7DB451E1">
      <w:pPr>
        <w:spacing w:line="440" w:lineRule="exact"/>
        <w:ind w:firstLine="3000" w:firstLineChars="1000"/>
        <w:jc w:val="left"/>
        <w:rPr>
          <w:rFonts w:hint="eastAsia" w:asciiTheme="minorEastAsia" w:hAnsiTheme="minorEastAsia" w:eastAsiaTheme="minorEastAsia" w:cstheme="minorEastAsia"/>
          <w:sz w:val="30"/>
          <w:szCs w:val="30"/>
        </w:rPr>
      </w:pPr>
      <w:bookmarkStart w:id="5" w:name="_GoBack"/>
      <w:bookmarkEnd w:id="5"/>
      <w:r>
        <w:rPr>
          <w:rFonts w:hint="eastAsia" w:asciiTheme="minorEastAsia" w:hAnsiTheme="minorEastAsia" w:eastAsiaTheme="minorEastAsia" w:cstheme="minorEastAsia"/>
          <w:sz w:val="30"/>
          <w:szCs w:val="30"/>
        </w:rPr>
        <w:t>供应商名称：（盖单位章）</w:t>
      </w:r>
      <w:bookmarkStart w:id="2" w:name="_Toc4384"/>
      <w:bookmarkStart w:id="3" w:name="_Toc9978"/>
      <w:bookmarkStart w:id="4" w:name="_Toc30198"/>
    </w:p>
    <w:p w14:paraId="5D98F01D">
      <w:pPr>
        <w:spacing w:line="440" w:lineRule="exact"/>
        <w:jc w:val="left"/>
        <w:rPr>
          <w:rFonts w:hint="eastAsia" w:asciiTheme="minorEastAsia" w:hAnsiTheme="minorEastAsia" w:eastAsiaTheme="minorEastAsia" w:cstheme="minorEastAsia"/>
          <w:b/>
          <w:bCs/>
          <w:kern w:val="44"/>
          <w:sz w:val="30"/>
          <w:szCs w:val="30"/>
          <w:lang w:val="zh-CN"/>
        </w:rPr>
      </w:pPr>
    </w:p>
    <w:p w14:paraId="49ED74F8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</w:pPr>
    </w:p>
    <w:p w14:paraId="7E57038C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</w:pPr>
    </w:p>
    <w:p w14:paraId="6F08666C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</w:pPr>
    </w:p>
    <w:p w14:paraId="6C079C2E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</w:pPr>
    </w:p>
    <w:p w14:paraId="31A42056">
      <w:pPr>
        <w:spacing w:line="440" w:lineRule="exact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</w:pPr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  <w:t>一、</w:t>
      </w:r>
      <w:r>
        <w:rPr>
          <w:rFonts w:hint="eastAsia" w:cs="黑体" w:asciiTheme="minorEastAsia" w:hAnsiTheme="minorEastAsia"/>
          <w:b/>
          <w:bCs/>
          <w:kern w:val="44"/>
          <w:sz w:val="24"/>
          <w:szCs w:val="24"/>
        </w:rPr>
        <w:t>报价</w:t>
      </w:r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  <w:t>函</w:t>
      </w:r>
      <w:bookmarkEnd w:id="2"/>
      <w:bookmarkEnd w:id="3"/>
      <w:bookmarkEnd w:id="4"/>
    </w:p>
    <w:p w14:paraId="70AE5D9E">
      <w:pPr>
        <w:spacing w:line="560" w:lineRule="exact"/>
        <w:rPr>
          <w:rFonts w:hint="default" w:asciiTheme="minorEastAsia" w:hAnsiTheme="minorEastAsia" w:eastAsiaTheme="minorEastAsia"/>
          <w:sz w:val="24"/>
          <w:szCs w:val="24"/>
          <w:u w:val="single"/>
          <w:lang w:val="en-US" w:eastAsia="zh-CN"/>
        </w:rPr>
      </w:pP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1、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(比选</w:t>
      </w:r>
      <w:r>
        <w:rPr>
          <w:rFonts w:hint="eastAsia" w:cs="宋体" w:asciiTheme="minorEastAsia" w:hAnsiTheme="minorEastAsia"/>
          <w:kern w:val="0"/>
          <w:sz w:val="24"/>
          <w:szCs w:val="24"/>
          <w:lang w:val="en-US" w:eastAsia="zh-CN"/>
        </w:rPr>
        <w:t>单位</w:t>
      </w:r>
      <w:r>
        <w:rPr>
          <w:rFonts w:hint="eastAsia" w:cs="宋体" w:asciiTheme="minorEastAsia" w:hAnsiTheme="minorEastAsia"/>
          <w:kern w:val="0"/>
          <w:sz w:val="24"/>
          <w:szCs w:val="24"/>
        </w:rPr>
        <w:t>名称)</w:t>
      </w:r>
      <w:r>
        <w:rPr>
          <w:rFonts w:hint="eastAsia" w:asciiTheme="minorEastAsia" w:hAnsiTheme="minorEastAsia"/>
          <w:sz w:val="24"/>
          <w:szCs w:val="24"/>
        </w:rPr>
        <w:t>：</w:t>
      </w:r>
      <w:r>
        <w:rPr>
          <w:rFonts w:hint="eastAsia" w:asciiTheme="minorEastAsia" w:hAnsiTheme="minorEastAsia"/>
          <w:sz w:val="24"/>
          <w:szCs w:val="24"/>
          <w:u w:val="single"/>
          <w:lang w:val="en-US" w:eastAsia="zh-CN"/>
        </w:rPr>
        <w:t xml:space="preserve">                   </w:t>
      </w:r>
    </w:p>
    <w:p w14:paraId="79C9F89E">
      <w:pPr>
        <w:pStyle w:val="53"/>
        <w:numPr>
          <w:ilvl w:val="0"/>
          <w:numId w:val="0"/>
        </w:numPr>
        <w:adjustRightInd w:val="0"/>
        <w:snapToGrid w:val="0"/>
        <w:spacing w:line="560" w:lineRule="exact"/>
        <w:ind w:firstLine="480" w:firstLineChars="200"/>
        <w:jc w:val="both"/>
        <w:rPr>
          <w:rFonts w:hint="eastAsia" w:asciiTheme="minorEastAsia" w:hAnsiTheme="minorEastAsia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我方已仔细研究了</w:t>
      </w:r>
      <w:r>
        <w:rPr>
          <w:rFonts w:hint="eastAsia" w:asciiTheme="minorEastAsia" w:hAnsi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硫酸30万/吨二吸塔及</w:t>
      </w:r>
      <w:r>
        <w:rPr>
          <w:rFonts w:hint="eastAsia" w:ascii="黑体" w:hAnsi="黑体" w:eastAsia="黑体" w:cs="宋体"/>
          <w:kern w:val="0"/>
          <w:sz w:val="24"/>
          <w:szCs w:val="24"/>
        </w:rPr>
        <w:t>1302”装置(300t/a氯化法钛白粉工业生产试验装置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拆除项目的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比选文件全部内容，</w:t>
      </w:r>
      <w:r>
        <w:rPr>
          <w:rFonts w:hint="eastAsia" w:asciiTheme="minorEastAsia" w:hAnsiTheme="minorEastAsia"/>
          <w:color w:val="auto"/>
          <w:sz w:val="24"/>
          <w:szCs w:val="24"/>
          <w:lang w:val="en-US" w:eastAsia="zh-CN"/>
        </w:rPr>
        <w:t>我公司收取拆除费</w:t>
      </w:r>
      <w:r>
        <w:rPr>
          <w:rFonts w:hint="eastAsia" w:cs="Arial" w:asciiTheme="minorEastAsia" w:hAnsiTheme="minorEastAsia"/>
          <w:bCs/>
          <w:color w:val="auto"/>
          <w:sz w:val="24"/>
          <w:szCs w:val="24"/>
        </w:rPr>
        <w:t>：</w:t>
      </w:r>
      <w:r>
        <w:rPr>
          <w:rFonts w:hint="eastAsia" w:cs="Arial" w:asciiTheme="minorEastAsia" w:hAnsiTheme="minorEastAsia"/>
          <w:bCs/>
          <w:color w:val="auto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cs="Arial" w:asciiTheme="minorEastAsia" w:hAnsiTheme="minorEastAsia"/>
          <w:bCs/>
          <w:color w:val="auto"/>
          <w:sz w:val="24"/>
          <w:szCs w:val="24"/>
        </w:rPr>
        <w:t>元</w:t>
      </w:r>
      <w:r>
        <w:rPr>
          <w:rFonts w:eastAsia="宋体"/>
          <w:color w:val="auto"/>
          <w:spacing w:val="-3"/>
          <w:sz w:val="24"/>
          <w:szCs w:val="24"/>
        </w:rPr>
        <w:t>（</w:t>
      </w:r>
      <w:r>
        <w:rPr>
          <w:rFonts w:hint="eastAsia" w:eastAsia="宋体"/>
          <w:color w:val="auto"/>
          <w:spacing w:val="-3"/>
          <w:sz w:val="24"/>
          <w:szCs w:val="24"/>
          <w:lang w:val="en-US" w:eastAsia="zh-CN"/>
        </w:rPr>
        <w:t>大写</w:t>
      </w:r>
      <w:r>
        <w:rPr>
          <w:rFonts w:hint="eastAsia" w:eastAsia="宋体"/>
          <w:color w:val="auto"/>
          <w:spacing w:val="-3"/>
          <w:sz w:val="24"/>
          <w:szCs w:val="24"/>
        </w:rPr>
        <w:t>：</w:t>
      </w:r>
      <w:r>
        <w:rPr>
          <w:rFonts w:hint="eastAsia" w:eastAsia="宋体"/>
          <w:color w:val="auto"/>
          <w:spacing w:val="-3"/>
          <w:sz w:val="24"/>
          <w:szCs w:val="24"/>
          <w:u w:val="single"/>
          <w:lang w:val="en-US" w:eastAsia="zh-CN"/>
        </w:rPr>
        <w:t xml:space="preserve">     </w:t>
      </w:r>
      <w:r>
        <w:rPr>
          <w:rFonts w:eastAsia="宋体"/>
          <w:color w:val="auto"/>
          <w:spacing w:val="-3"/>
          <w:sz w:val="24"/>
          <w:szCs w:val="24"/>
          <w:u w:val="single"/>
        </w:rPr>
        <w:tab/>
      </w:r>
      <w:r>
        <w:rPr>
          <w:rFonts w:eastAsia="宋体"/>
          <w:color w:val="auto"/>
          <w:spacing w:val="-3"/>
          <w:sz w:val="24"/>
          <w:szCs w:val="24"/>
        </w:rPr>
        <w:t>元</w:t>
      </w:r>
      <w:r>
        <w:rPr>
          <w:rFonts w:eastAsia="宋体"/>
          <w:color w:val="auto"/>
          <w:spacing w:val="-13"/>
          <w:sz w:val="24"/>
          <w:szCs w:val="24"/>
        </w:rPr>
        <w:t>）</w:t>
      </w:r>
      <w:r>
        <w:rPr>
          <w:rFonts w:hint="eastAsia" w:eastAsia="宋体"/>
          <w:color w:val="auto"/>
          <w:spacing w:val="-13"/>
          <w:sz w:val="24"/>
          <w:szCs w:val="24"/>
          <w:lang w:val="en-US" w:eastAsia="zh-CN"/>
        </w:rPr>
        <w:t>为</w:t>
      </w:r>
      <w:r>
        <w:rPr>
          <w:rFonts w:hint="eastAsia" w:asciiTheme="minorEastAsia" w:hAnsiTheme="minorEastAsia"/>
          <w:color w:val="auto"/>
          <w:sz w:val="24"/>
          <w:szCs w:val="24"/>
        </w:rPr>
        <w:t>比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选报价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总价（含税包干价）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开具增值税专用发票，税率</w:t>
      </w:r>
      <w:r>
        <w:rPr>
          <w:rFonts w:hint="eastAsia" w:asciiTheme="minorEastAsia" w:hAnsiTheme="minorEastAsia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%</w:t>
      </w:r>
      <w:r>
        <w:rPr>
          <w:rFonts w:hint="eastAsia" w:asciiTheme="minorEastAsia" w:hAnsiTheme="minorEastAsia"/>
          <w:color w:val="000000" w:themeColor="text1"/>
          <w:sz w:val="24"/>
          <w:szCs w:val="24"/>
          <w:u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完工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期限按比选文件规定的条件和要求承担合同规定的全部工作，并承担相关的责任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和施工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场地验收</w:t>
      </w:r>
      <w:r>
        <w:rPr>
          <w:rFonts w:hint="eastAsia" w:asciiTheme="minorEastAsia" w:hAnsi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要求。</w:t>
      </w:r>
    </w:p>
    <w:p w14:paraId="03B8FF97">
      <w:pPr>
        <w:widowControl/>
        <w:numPr>
          <w:ilvl w:val="0"/>
          <w:numId w:val="2"/>
        </w:numPr>
        <w:spacing w:line="560" w:lineRule="exact"/>
        <w:ind w:left="0" w:leftChars="0" w:firstLine="0" w:firstLineChars="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我公司承诺在投标有效期</w:t>
      </w:r>
      <w:r>
        <w:rPr>
          <w:rFonts w:hint="eastAsia" w:asciiTheme="minorEastAsia" w:hAnsiTheme="minorEastAsia"/>
          <w:sz w:val="24"/>
          <w:szCs w:val="24"/>
          <w:u w:val="single"/>
        </w:rPr>
        <w:t>30</w:t>
      </w:r>
      <w:r>
        <w:rPr>
          <w:rFonts w:hint="eastAsia" w:asciiTheme="minorEastAsia" w:hAnsiTheme="minorEastAsia"/>
          <w:sz w:val="24"/>
          <w:szCs w:val="24"/>
        </w:rPr>
        <w:t>日历天内不修改、撤销比选文件。</w:t>
      </w:r>
    </w:p>
    <w:p w14:paraId="399FF986">
      <w:pPr>
        <w:widowControl/>
        <w:numPr>
          <w:ilvl w:val="0"/>
          <w:numId w:val="2"/>
        </w:numPr>
        <w:spacing w:line="560" w:lineRule="exact"/>
        <w:ind w:left="0" w:leftChars="0" w:firstLine="0" w:firstLineChars="0"/>
        <w:rPr>
          <w:rFonts w:hint="default" w:asciiTheme="minorEastAsia" w:hAnsiTheme="minorEastAsia"/>
          <w:sz w:val="24"/>
          <w:szCs w:val="24"/>
          <w:u w:val="single"/>
          <w:lang w:val="en-US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投标联系人及电话：</w:t>
      </w:r>
      <w:r>
        <w:rPr>
          <w:rFonts w:hint="eastAsia" w:asciiTheme="minorEastAsia" w:hAnsiTheme="minorEastAsia"/>
          <w:sz w:val="24"/>
          <w:szCs w:val="24"/>
          <w:u w:val="single"/>
          <w:lang w:val="en-US" w:eastAsia="zh-CN"/>
        </w:rPr>
        <w:t xml:space="preserve">                       </w:t>
      </w:r>
    </w:p>
    <w:p w14:paraId="102D5A30">
      <w:pPr>
        <w:spacing w:line="560" w:lineRule="exac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/>
          <w:sz w:val="24"/>
          <w:szCs w:val="24"/>
        </w:rPr>
        <w:t>如我方中标，我方承诺：</w:t>
      </w:r>
    </w:p>
    <w:p w14:paraId="6FC1F07A">
      <w:pPr>
        <w:spacing w:line="560" w:lineRule="exac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（1）在签订合同时不向你方提出附加条件；</w:t>
      </w:r>
    </w:p>
    <w:p w14:paraId="44E244CA">
      <w:pPr>
        <w:pStyle w:val="37"/>
        <w:spacing w:before="120" w:line="500" w:lineRule="exac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（2）在合同约定的期限内完成合同规定的全部义务。</w:t>
      </w:r>
    </w:p>
    <w:p w14:paraId="67A392D8">
      <w:pPr>
        <w:pStyle w:val="37"/>
        <w:spacing w:before="120" w:line="500" w:lineRule="exact"/>
        <w:rPr>
          <w:rFonts w:hint="eastAsia" w:ascii="宋体" w:hAnsi="宋体"/>
          <w:sz w:val="24"/>
          <w:szCs w:val="24"/>
        </w:rPr>
      </w:pPr>
      <w:r>
        <w:rPr>
          <w:rFonts w:hint="eastAsia" w:eastAsiaTheme="minorEastAsia" w:cstheme="minorBidi"/>
          <w:kern w:val="2"/>
          <w:sz w:val="24"/>
          <w:szCs w:val="24"/>
        </w:rPr>
        <w:t>备注：</w:t>
      </w:r>
      <w:r>
        <w:rPr>
          <w:rFonts w:hint="eastAsia" w:ascii="宋体" w:hAnsi="宋体"/>
          <w:sz w:val="24"/>
          <w:szCs w:val="24"/>
        </w:rPr>
        <w:t>报价包含税金，</w:t>
      </w:r>
      <w:r>
        <w:rPr>
          <w:rFonts w:hint="eastAsia"/>
          <w:sz w:val="24"/>
          <w:szCs w:val="24"/>
          <w:lang w:val="en-US" w:eastAsia="zh-CN"/>
        </w:rPr>
        <w:t>拆除</w:t>
      </w:r>
      <w:r>
        <w:rPr>
          <w:rFonts w:hint="eastAsia" w:ascii="宋体" w:hAnsi="宋体"/>
          <w:sz w:val="24"/>
          <w:szCs w:val="24"/>
        </w:rPr>
        <w:t>、吊装、</w:t>
      </w:r>
      <w:r>
        <w:rPr>
          <w:rFonts w:hint="eastAsia"/>
          <w:sz w:val="24"/>
          <w:szCs w:val="24"/>
          <w:lang w:val="en-US" w:eastAsia="zh-CN"/>
        </w:rPr>
        <w:t>转</w:t>
      </w:r>
      <w:r>
        <w:rPr>
          <w:rFonts w:hint="eastAsia" w:ascii="宋体" w:hAnsi="宋体"/>
          <w:sz w:val="24"/>
          <w:szCs w:val="24"/>
        </w:rPr>
        <w:t>运费、保险等等所有费用，</w:t>
      </w:r>
    </w:p>
    <w:p w14:paraId="08AB4694">
      <w:pPr>
        <w:tabs>
          <w:tab w:val="left" w:pos="6120"/>
          <w:tab w:val="left" w:pos="6510"/>
          <w:tab w:val="left" w:pos="12495"/>
        </w:tabs>
        <w:spacing w:line="360" w:lineRule="auto"/>
        <w:ind w:firstLine="2640" w:firstLineChars="1100"/>
        <w:jc w:val="left"/>
        <w:rPr>
          <w:rFonts w:hint="eastAsia" w:ascii="宋体" w:hAnsi="宋体"/>
          <w:sz w:val="24"/>
          <w:szCs w:val="24"/>
        </w:rPr>
      </w:pPr>
    </w:p>
    <w:p w14:paraId="4E2E6FB3">
      <w:pPr>
        <w:tabs>
          <w:tab w:val="left" w:pos="6120"/>
          <w:tab w:val="left" w:pos="6510"/>
          <w:tab w:val="left" w:pos="12495"/>
        </w:tabs>
        <w:spacing w:line="360" w:lineRule="auto"/>
        <w:ind w:firstLine="3120" w:firstLineChars="13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投标人名称</w:t>
      </w:r>
      <w:r>
        <w:rPr>
          <w:rFonts w:hint="eastAsia" w:ascii="宋体" w:hAnsi="宋体"/>
          <w:sz w:val="24"/>
          <w:szCs w:val="24"/>
          <w:lang w:eastAsia="zh-CN"/>
        </w:rPr>
        <w:t>：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（全称并加盖公章）       </w:t>
      </w:r>
    </w:p>
    <w:p w14:paraId="0822A53C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707DE1AD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57AC9AE9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307F795D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53B5F98F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1B7EA3B1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27D7B006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53086559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0F38EB45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5C58FCBB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670F6688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03F0AA34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1240942A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6B017446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7340EFE0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</w:p>
    <w:p w14:paraId="1D2C1F11">
      <w:pPr>
        <w:numPr>
          <w:ilvl w:val="0"/>
          <w:numId w:val="0"/>
        </w:numPr>
        <w:spacing w:line="440" w:lineRule="exact"/>
        <w:ind w:leftChars="0"/>
        <w:jc w:val="left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  <w:t>二、响应文件</w:t>
      </w:r>
    </w:p>
    <w:p w14:paraId="4B42E84A">
      <w:pPr>
        <w:numPr>
          <w:ilvl w:val="0"/>
          <w:numId w:val="0"/>
        </w:numPr>
        <w:spacing w:line="440" w:lineRule="exact"/>
        <w:ind w:leftChars="0"/>
        <w:jc w:val="left"/>
        <w:rPr>
          <w:rFonts w:hint="default" w:cs="黑体" w:asciiTheme="minorEastAsia" w:hAnsiTheme="minorEastAsia"/>
          <w:b w:val="0"/>
          <w:bCs w:val="0"/>
          <w:kern w:val="44"/>
          <w:sz w:val="24"/>
          <w:szCs w:val="24"/>
          <w:lang w:val="en-US" w:eastAsia="zh-CN"/>
        </w:rPr>
      </w:pPr>
      <w:r>
        <w:rPr>
          <w:rFonts w:hint="eastAsia" w:cs="黑体" w:asciiTheme="minorEastAsia" w:hAnsiTheme="minorEastAsia"/>
          <w:b w:val="0"/>
          <w:bCs w:val="0"/>
          <w:kern w:val="44"/>
          <w:sz w:val="24"/>
          <w:szCs w:val="24"/>
          <w:lang w:val="en-US" w:eastAsia="zh-CN"/>
        </w:rPr>
        <w:t>1、营业执照、资质文件及安全生产许可证、投标保证金银行回单</w:t>
      </w:r>
    </w:p>
    <w:p w14:paraId="7B56DFED">
      <w:pPr>
        <w:pStyle w:val="37"/>
        <w:spacing w:before="120" w:line="500" w:lineRule="exact"/>
        <w:rPr>
          <w:rFonts w:hint="eastAsia" w:eastAsiaTheme="minorEastAsia" w:cstheme="minorBidi"/>
          <w:b w:val="0"/>
          <w:bCs w:val="0"/>
          <w:kern w:val="2"/>
          <w:sz w:val="24"/>
          <w:szCs w:val="24"/>
          <w:lang w:val="en-US" w:eastAsia="zh-CN"/>
        </w:rPr>
      </w:pPr>
    </w:p>
    <w:p w14:paraId="4F905324">
      <w:pPr>
        <w:pStyle w:val="37"/>
        <w:spacing w:before="120" w:line="500" w:lineRule="exact"/>
        <w:rPr>
          <w:rFonts w:hint="eastAsia" w:eastAsiaTheme="minorEastAsia" w:cstheme="minorBidi"/>
          <w:b w:val="0"/>
          <w:bCs w:val="0"/>
          <w:kern w:val="2"/>
          <w:sz w:val="24"/>
          <w:szCs w:val="24"/>
          <w:u w:val="single"/>
        </w:rPr>
      </w:pPr>
      <w:r>
        <w:rPr>
          <w:rFonts w:hint="eastAsia" w:eastAsiaTheme="minorEastAsia" w:cstheme="minorBidi"/>
          <w:b w:val="0"/>
          <w:bCs w:val="0"/>
          <w:kern w:val="2"/>
          <w:sz w:val="24"/>
          <w:szCs w:val="24"/>
          <w:lang w:val="en-US" w:eastAsia="zh-CN"/>
        </w:rPr>
        <w:t>2、</w:t>
      </w:r>
      <w:r>
        <w:rPr>
          <w:rFonts w:hint="eastAsia" w:eastAsiaTheme="minorEastAsia" w:cstheme="minorBidi"/>
          <w:b w:val="0"/>
          <w:bCs w:val="0"/>
          <w:kern w:val="2"/>
          <w:sz w:val="24"/>
          <w:szCs w:val="24"/>
        </w:rPr>
        <w:t>付款方式：</w:t>
      </w:r>
      <w:r>
        <w:rPr>
          <w:rFonts w:hint="eastAsia" w:cstheme="minorBidi"/>
          <w:b w:val="0"/>
          <w:bCs w:val="0"/>
          <w:kern w:val="2"/>
          <w:sz w:val="24"/>
          <w:szCs w:val="24"/>
          <w:u w:val="single"/>
          <w:lang w:val="en-US" w:eastAsia="zh-CN"/>
        </w:rPr>
        <w:t>完成验收后，中标人开具全额增值税发票后，招标人一次性付清</w:t>
      </w:r>
    </w:p>
    <w:p w14:paraId="64BED354">
      <w:pPr>
        <w:spacing w:line="560" w:lineRule="exact"/>
        <w:rPr>
          <w:rFonts w:hint="eastAsia" w:cstheme="minorBidi"/>
          <w:b w:val="0"/>
          <w:bCs w:val="0"/>
          <w:kern w:val="2"/>
          <w:sz w:val="24"/>
          <w:szCs w:val="24"/>
          <w:lang w:val="en-US" w:eastAsia="zh-CN"/>
        </w:rPr>
      </w:pPr>
    </w:p>
    <w:p w14:paraId="72CDAEA7">
      <w:pPr>
        <w:spacing w:line="560" w:lineRule="exact"/>
        <w:rPr>
          <w:rFonts w:hint="eastAsia" w:cstheme="minorBidi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cstheme="minorBidi"/>
          <w:b w:val="0"/>
          <w:bCs w:val="0"/>
          <w:kern w:val="2"/>
          <w:sz w:val="24"/>
          <w:szCs w:val="24"/>
          <w:lang w:val="en-US" w:eastAsia="zh-CN"/>
        </w:rPr>
        <w:t>3、</w:t>
      </w:r>
      <w:r>
        <w:rPr>
          <w:rFonts w:hint="eastAsia" w:eastAsiaTheme="minorEastAsia" w:cstheme="minorBidi"/>
          <w:b w:val="0"/>
          <w:bCs w:val="0"/>
          <w:kern w:val="2"/>
          <w:sz w:val="24"/>
          <w:szCs w:val="24"/>
        </w:rPr>
        <w:t>完成工期：</w:t>
      </w:r>
      <w:r>
        <w:rPr>
          <w:rFonts w:hint="eastAsia" w:cstheme="minorBidi"/>
          <w:b w:val="0"/>
          <w:bCs w:val="0"/>
          <w:kern w:val="2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cstheme="minorBidi"/>
          <w:b w:val="0"/>
          <w:bCs w:val="0"/>
          <w:kern w:val="2"/>
          <w:sz w:val="24"/>
          <w:szCs w:val="24"/>
          <w:lang w:val="en-US" w:eastAsia="zh-CN"/>
        </w:rPr>
        <w:t xml:space="preserve">   </w:t>
      </w:r>
    </w:p>
    <w:p w14:paraId="5AADA6F0">
      <w:pPr>
        <w:spacing w:line="560" w:lineRule="exact"/>
        <w:rPr>
          <w:rFonts w:hint="eastAsia" w:asciiTheme="minorEastAsia" w:hAnsiTheme="minorEastAsia"/>
          <w:b w:val="0"/>
          <w:bCs w:val="0"/>
          <w:sz w:val="24"/>
          <w:szCs w:val="24"/>
          <w:lang w:val="en-US" w:eastAsia="zh-CN"/>
        </w:rPr>
      </w:pPr>
    </w:p>
    <w:p w14:paraId="571A6EF5">
      <w:pPr>
        <w:spacing w:line="560" w:lineRule="exact"/>
        <w:rPr>
          <w:rFonts w:hint="eastAsia" w:asciiTheme="minorEastAsia" w:hAnsiTheme="minorEastAsia" w:eastAsia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/>
          <w:b w:val="0"/>
          <w:bCs w:val="0"/>
          <w:sz w:val="24"/>
          <w:szCs w:val="24"/>
        </w:rPr>
        <w:t>其他补充说明</w:t>
      </w:r>
      <w:r>
        <w:rPr>
          <w:rFonts w:hint="eastAsia" w:asciiTheme="minorEastAsia" w:hAnsiTheme="minorEastAsia"/>
          <w:b w:val="0"/>
          <w:bCs w:val="0"/>
          <w:sz w:val="24"/>
          <w:szCs w:val="24"/>
          <w:lang w:eastAsia="zh-CN"/>
        </w:rPr>
        <w:t>：</w:t>
      </w:r>
    </w:p>
    <w:p w14:paraId="1D77F084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 w14:paraId="55B574EA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                        </w:t>
      </w:r>
    </w:p>
    <w:p w14:paraId="656E4BB3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 w14:paraId="486DF6BC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 w14:paraId="1DC9CFAE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 w14:paraId="49A8855D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 w14:paraId="60223DD0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 w14:paraId="219D39BE">
      <w:pPr>
        <w:tabs>
          <w:tab w:val="left" w:pos="6120"/>
          <w:tab w:val="left" w:pos="6510"/>
          <w:tab w:val="left" w:pos="12495"/>
        </w:tabs>
        <w:spacing w:line="360" w:lineRule="auto"/>
        <w:ind w:firstLine="4560" w:firstLineChars="190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日 期:      年    月    日   </w:t>
      </w:r>
    </w:p>
    <w:p w14:paraId="0C2B6D61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</w:rPr>
        <w:sectPr>
          <w:footerReference r:id="rId6" w:type="default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09247457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</w:pPr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en-US" w:eastAsia="zh-CN"/>
        </w:rPr>
        <w:t>三、</w:t>
      </w:r>
      <w:r>
        <w:rPr>
          <w:rFonts w:hint="eastAsia" w:cs="黑体" w:asciiTheme="minorEastAsia" w:hAnsiTheme="minorEastAsia"/>
          <w:b/>
          <w:bCs/>
          <w:kern w:val="44"/>
          <w:sz w:val="24"/>
          <w:szCs w:val="24"/>
          <w:lang w:val="zh-CN"/>
        </w:rPr>
        <w:t>承 诺</w:t>
      </w:r>
    </w:p>
    <w:p w14:paraId="54E5A802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致：</w:t>
      </w:r>
    </w:p>
    <w:p w14:paraId="7177739A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我公司自愿参与</w:t>
      </w:r>
      <w:r>
        <w:rPr>
          <w:rFonts w:hint="eastAsia" w:ascii="宋体" w:hAnsi="宋体"/>
          <w:sz w:val="24"/>
          <w:szCs w:val="24"/>
          <w:lang w:val="en-US" w:eastAsia="zh-CN"/>
        </w:rPr>
        <w:t>四川宏达股份的</w:t>
      </w:r>
      <w:r>
        <w:rPr>
          <w:rFonts w:hint="eastAsia" w:ascii="宋体" w:hAnsi="宋体"/>
          <w:sz w:val="24"/>
          <w:szCs w:val="24"/>
          <w:u w:val="single"/>
          <w:lang w:val="en-US" w:eastAsia="zh-CN"/>
        </w:rPr>
        <w:t>硫酸30万/吨二吸塔及“1302”装置撤除项目</w:t>
      </w:r>
      <w:r>
        <w:rPr>
          <w:rFonts w:hint="eastAsia" w:ascii="宋体" w:hAnsi="宋体"/>
          <w:sz w:val="24"/>
          <w:szCs w:val="24"/>
          <w:lang w:val="en-US" w:eastAsia="zh-CN"/>
        </w:rPr>
        <w:t>的投标，现郑重作出以下承诺：</w:t>
      </w:r>
    </w:p>
    <w:p w14:paraId="1C841BEC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⑴我公司提供的物资质量、环保、安全符合国家要求；</w:t>
      </w:r>
    </w:p>
    <w:p w14:paraId="54CBAA7D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⑵我公司具有良好的信誉、企业处于正常生产经营状态；</w:t>
      </w:r>
    </w:p>
    <w:p w14:paraId="6C4752B9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⑶我公司完全按报价文件严格执行。</w:t>
      </w:r>
    </w:p>
    <w:p w14:paraId="509AA108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⑷我公司将严格遵守投标的各项法律法规和程序，若有违规行为，愿意承担相应法律责任。</w:t>
      </w:r>
    </w:p>
    <w:p w14:paraId="19DF01D6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⑸若中标，我公司将按照合同约定的时间、地点和方式交付物资，确保项目顺利推进。</w:t>
      </w:r>
    </w:p>
    <w:p w14:paraId="1C1990BE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1B8C6766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</w:p>
    <w:p w14:paraId="1A15146F">
      <w:pPr>
        <w:spacing w:line="360" w:lineRule="auto"/>
        <w:ind w:left="420" w:leftChars="200"/>
        <w:rPr>
          <w:rFonts w:hint="eastAsia" w:ascii="宋体" w:hAnsi="宋体"/>
          <w:sz w:val="24"/>
          <w:szCs w:val="24"/>
        </w:rPr>
      </w:pPr>
    </w:p>
    <w:p w14:paraId="7347E9A1">
      <w:pPr>
        <w:spacing w:line="360" w:lineRule="auto"/>
        <w:ind w:firstLine="4800" w:firstLineChars="20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供应商名称：（盖单位章）</w:t>
      </w:r>
    </w:p>
    <w:p w14:paraId="7449F204">
      <w:pPr>
        <w:spacing w:line="360" w:lineRule="auto"/>
        <w:ind w:firstLine="4800" w:firstLineChars="2000"/>
        <w:rPr>
          <w:rFonts w:hint="eastAsia" w:ascii="宋体" w:hAnsi="宋体"/>
          <w:sz w:val="24"/>
          <w:szCs w:val="24"/>
        </w:rPr>
      </w:pPr>
    </w:p>
    <w:p w14:paraId="05890A2D">
      <w:pPr>
        <w:spacing w:line="360" w:lineRule="auto"/>
        <w:ind w:firstLine="4800" w:firstLineChars="2000"/>
        <w:rPr>
          <w:rFonts w:hint="default" w:ascii="黑体" w:hAnsi="黑体" w:cs="宋体" w:eastAsiaTheme="minorEastAsia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</w:rPr>
        <w:t>日 期：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/>
          <w:sz w:val="24"/>
          <w:szCs w:val="24"/>
        </w:rPr>
        <w:t>年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lang w:val="en-US" w:eastAsia="zh-CN"/>
        </w:rPr>
        <w:t xml:space="preserve">  日</w:t>
      </w:r>
    </w:p>
    <w:p w14:paraId="5DF01D6E">
      <w:pPr>
        <w:tabs>
          <w:tab w:val="left" w:pos="6120"/>
          <w:tab w:val="left" w:pos="6510"/>
          <w:tab w:val="left" w:pos="12495"/>
        </w:tabs>
        <w:spacing w:line="360" w:lineRule="auto"/>
        <w:jc w:val="left"/>
        <w:rPr>
          <w:rFonts w:hint="eastAsia" w:ascii="宋体" w:hAnsi="宋体"/>
          <w:sz w:val="24"/>
          <w:szCs w:val="24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A86B0">
    <w:pPr>
      <w:pStyle w:val="10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0C577">
    <w:pPr>
      <w:pStyle w:val="10"/>
      <w:ind w:right="360"/>
      <w:jc w:val="center"/>
    </w:pPr>
    <w:r>
      <w:fldChar w:fldCharType="begin"/>
    </w:r>
    <w:r>
      <w:rPr>
        <w:rStyle w:val="22"/>
      </w:rPr>
      <w:instrText xml:space="preserve"> PAGE </w:instrText>
    </w:r>
    <w:r>
      <w:fldChar w:fldCharType="separate"/>
    </w:r>
    <w:r>
      <w:rPr>
        <w:rStyle w:val="22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72E605">
    <w:pPr>
      <w:pStyle w:val="10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5</w:t>
    </w:r>
    <w:r>
      <w:fldChar w:fldCharType="end"/>
    </w:r>
  </w:p>
  <w:p w14:paraId="6D739F23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F6955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522FD5"/>
    <w:multiLevelType w:val="singleLevel"/>
    <w:tmpl w:val="C8522FD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7A2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2252C"/>
    <w:rsid w:val="0013608B"/>
    <w:rsid w:val="001427EF"/>
    <w:rsid w:val="00161949"/>
    <w:rsid w:val="00172B3E"/>
    <w:rsid w:val="00174952"/>
    <w:rsid w:val="00174C25"/>
    <w:rsid w:val="00190BEB"/>
    <w:rsid w:val="00195548"/>
    <w:rsid w:val="001D2A71"/>
    <w:rsid w:val="001D38BC"/>
    <w:rsid w:val="001D59C1"/>
    <w:rsid w:val="001D7AE4"/>
    <w:rsid w:val="001E2525"/>
    <w:rsid w:val="001E501C"/>
    <w:rsid w:val="001E578D"/>
    <w:rsid w:val="001F30C8"/>
    <w:rsid w:val="00205084"/>
    <w:rsid w:val="00214289"/>
    <w:rsid w:val="002203ED"/>
    <w:rsid w:val="002536D0"/>
    <w:rsid w:val="00262E43"/>
    <w:rsid w:val="00270166"/>
    <w:rsid w:val="0027031E"/>
    <w:rsid w:val="0027355F"/>
    <w:rsid w:val="00295E7C"/>
    <w:rsid w:val="002A2975"/>
    <w:rsid w:val="002B37D6"/>
    <w:rsid w:val="002C0F82"/>
    <w:rsid w:val="002C4DAC"/>
    <w:rsid w:val="002D02EB"/>
    <w:rsid w:val="002D0865"/>
    <w:rsid w:val="002D190E"/>
    <w:rsid w:val="002E7A79"/>
    <w:rsid w:val="002F7C5D"/>
    <w:rsid w:val="00301EF7"/>
    <w:rsid w:val="0031109D"/>
    <w:rsid w:val="00312836"/>
    <w:rsid w:val="00337D58"/>
    <w:rsid w:val="0034055A"/>
    <w:rsid w:val="003414F3"/>
    <w:rsid w:val="003470FC"/>
    <w:rsid w:val="003476B8"/>
    <w:rsid w:val="003550A6"/>
    <w:rsid w:val="003646F9"/>
    <w:rsid w:val="003666B5"/>
    <w:rsid w:val="00372182"/>
    <w:rsid w:val="003762CA"/>
    <w:rsid w:val="00383CF0"/>
    <w:rsid w:val="00393C4C"/>
    <w:rsid w:val="003A30DB"/>
    <w:rsid w:val="003A6BF8"/>
    <w:rsid w:val="003C0DF1"/>
    <w:rsid w:val="003D2A0C"/>
    <w:rsid w:val="003D39EC"/>
    <w:rsid w:val="003D5F59"/>
    <w:rsid w:val="003D64A9"/>
    <w:rsid w:val="003E4EC9"/>
    <w:rsid w:val="0040534D"/>
    <w:rsid w:val="00427D3E"/>
    <w:rsid w:val="004448F3"/>
    <w:rsid w:val="0045342B"/>
    <w:rsid w:val="004608ED"/>
    <w:rsid w:val="004620A2"/>
    <w:rsid w:val="004633FD"/>
    <w:rsid w:val="00486DE7"/>
    <w:rsid w:val="004A40F2"/>
    <w:rsid w:val="004B55EE"/>
    <w:rsid w:val="004B7B6D"/>
    <w:rsid w:val="004C3A30"/>
    <w:rsid w:val="004D69C7"/>
    <w:rsid w:val="004E033B"/>
    <w:rsid w:val="004E1035"/>
    <w:rsid w:val="004E6ED5"/>
    <w:rsid w:val="004F4AB3"/>
    <w:rsid w:val="00501B9F"/>
    <w:rsid w:val="00504752"/>
    <w:rsid w:val="00520A4A"/>
    <w:rsid w:val="00525759"/>
    <w:rsid w:val="00532F4F"/>
    <w:rsid w:val="00533F31"/>
    <w:rsid w:val="00537419"/>
    <w:rsid w:val="0054013B"/>
    <w:rsid w:val="00545CF4"/>
    <w:rsid w:val="00560394"/>
    <w:rsid w:val="00561297"/>
    <w:rsid w:val="00561358"/>
    <w:rsid w:val="00561B9C"/>
    <w:rsid w:val="00564D36"/>
    <w:rsid w:val="00573D09"/>
    <w:rsid w:val="00585356"/>
    <w:rsid w:val="005A0761"/>
    <w:rsid w:val="005A582D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10425"/>
    <w:rsid w:val="00617313"/>
    <w:rsid w:val="006245A0"/>
    <w:rsid w:val="0063138C"/>
    <w:rsid w:val="00637A3F"/>
    <w:rsid w:val="00642EC8"/>
    <w:rsid w:val="00644EEC"/>
    <w:rsid w:val="00653EE2"/>
    <w:rsid w:val="0065569C"/>
    <w:rsid w:val="0065589D"/>
    <w:rsid w:val="0067099D"/>
    <w:rsid w:val="0067265D"/>
    <w:rsid w:val="00674861"/>
    <w:rsid w:val="006757DD"/>
    <w:rsid w:val="00683C35"/>
    <w:rsid w:val="00685A8A"/>
    <w:rsid w:val="006947BA"/>
    <w:rsid w:val="006B0C12"/>
    <w:rsid w:val="006D68F2"/>
    <w:rsid w:val="006E2ACF"/>
    <w:rsid w:val="006E42DF"/>
    <w:rsid w:val="006F1B83"/>
    <w:rsid w:val="006F5241"/>
    <w:rsid w:val="006F69AF"/>
    <w:rsid w:val="007007B8"/>
    <w:rsid w:val="00710417"/>
    <w:rsid w:val="00715769"/>
    <w:rsid w:val="00725B99"/>
    <w:rsid w:val="00725D3D"/>
    <w:rsid w:val="0072609D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D29EB"/>
    <w:rsid w:val="007F2EA0"/>
    <w:rsid w:val="007F4203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872F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163B"/>
    <w:rsid w:val="008F66F7"/>
    <w:rsid w:val="00902597"/>
    <w:rsid w:val="0090667F"/>
    <w:rsid w:val="009208C0"/>
    <w:rsid w:val="0092587A"/>
    <w:rsid w:val="00925DF5"/>
    <w:rsid w:val="00933D0F"/>
    <w:rsid w:val="00952C4B"/>
    <w:rsid w:val="00953BFF"/>
    <w:rsid w:val="00954C51"/>
    <w:rsid w:val="00961BCB"/>
    <w:rsid w:val="00966557"/>
    <w:rsid w:val="00973E4D"/>
    <w:rsid w:val="00975CDD"/>
    <w:rsid w:val="009775B6"/>
    <w:rsid w:val="00977EC1"/>
    <w:rsid w:val="009876E0"/>
    <w:rsid w:val="00993B97"/>
    <w:rsid w:val="00993CEF"/>
    <w:rsid w:val="00996ACF"/>
    <w:rsid w:val="009B35E0"/>
    <w:rsid w:val="009C18F3"/>
    <w:rsid w:val="009C5041"/>
    <w:rsid w:val="009D0F62"/>
    <w:rsid w:val="009D2416"/>
    <w:rsid w:val="009E3DF6"/>
    <w:rsid w:val="009E7305"/>
    <w:rsid w:val="009F2FCD"/>
    <w:rsid w:val="00A01C7B"/>
    <w:rsid w:val="00A15F81"/>
    <w:rsid w:val="00A20F8B"/>
    <w:rsid w:val="00A2500C"/>
    <w:rsid w:val="00A30F6D"/>
    <w:rsid w:val="00A44276"/>
    <w:rsid w:val="00A52FB5"/>
    <w:rsid w:val="00A70652"/>
    <w:rsid w:val="00A82099"/>
    <w:rsid w:val="00A945A7"/>
    <w:rsid w:val="00A9571D"/>
    <w:rsid w:val="00AA2C4C"/>
    <w:rsid w:val="00AB5F82"/>
    <w:rsid w:val="00AC3ABC"/>
    <w:rsid w:val="00AC4B9D"/>
    <w:rsid w:val="00AC7A9E"/>
    <w:rsid w:val="00AE06F0"/>
    <w:rsid w:val="00AE0FC0"/>
    <w:rsid w:val="00B10379"/>
    <w:rsid w:val="00B10C57"/>
    <w:rsid w:val="00B12B53"/>
    <w:rsid w:val="00B204A9"/>
    <w:rsid w:val="00B24FFF"/>
    <w:rsid w:val="00B372A4"/>
    <w:rsid w:val="00B55EA0"/>
    <w:rsid w:val="00B64EA1"/>
    <w:rsid w:val="00B65751"/>
    <w:rsid w:val="00B66EE0"/>
    <w:rsid w:val="00B7470B"/>
    <w:rsid w:val="00B82DBD"/>
    <w:rsid w:val="00B835BF"/>
    <w:rsid w:val="00B83D0F"/>
    <w:rsid w:val="00B929BE"/>
    <w:rsid w:val="00BA2D0B"/>
    <w:rsid w:val="00BA54FE"/>
    <w:rsid w:val="00BB6C69"/>
    <w:rsid w:val="00BC3933"/>
    <w:rsid w:val="00BD2FAA"/>
    <w:rsid w:val="00BD6938"/>
    <w:rsid w:val="00BE732A"/>
    <w:rsid w:val="00BF5864"/>
    <w:rsid w:val="00BF5F53"/>
    <w:rsid w:val="00C07394"/>
    <w:rsid w:val="00C12AB1"/>
    <w:rsid w:val="00C16D22"/>
    <w:rsid w:val="00C2168A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D5B"/>
    <w:rsid w:val="00CC4E32"/>
    <w:rsid w:val="00CC6A94"/>
    <w:rsid w:val="00CC72C9"/>
    <w:rsid w:val="00CD4F90"/>
    <w:rsid w:val="00CD7CCE"/>
    <w:rsid w:val="00CE2297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7F8A"/>
    <w:rsid w:val="00D30598"/>
    <w:rsid w:val="00D32997"/>
    <w:rsid w:val="00D3746D"/>
    <w:rsid w:val="00D42E99"/>
    <w:rsid w:val="00D4404E"/>
    <w:rsid w:val="00D54B54"/>
    <w:rsid w:val="00D66C88"/>
    <w:rsid w:val="00D73FDA"/>
    <w:rsid w:val="00D90901"/>
    <w:rsid w:val="00DA7914"/>
    <w:rsid w:val="00DC28D7"/>
    <w:rsid w:val="00DC308B"/>
    <w:rsid w:val="00DC661D"/>
    <w:rsid w:val="00DD6352"/>
    <w:rsid w:val="00DE12E2"/>
    <w:rsid w:val="00DE33D0"/>
    <w:rsid w:val="00DE52F3"/>
    <w:rsid w:val="00DE5648"/>
    <w:rsid w:val="00DE64E3"/>
    <w:rsid w:val="00DF1753"/>
    <w:rsid w:val="00E00269"/>
    <w:rsid w:val="00E0273F"/>
    <w:rsid w:val="00E0351C"/>
    <w:rsid w:val="00E117B3"/>
    <w:rsid w:val="00E23E49"/>
    <w:rsid w:val="00E324B9"/>
    <w:rsid w:val="00E33C43"/>
    <w:rsid w:val="00E42739"/>
    <w:rsid w:val="00E45179"/>
    <w:rsid w:val="00E454BC"/>
    <w:rsid w:val="00E67ADB"/>
    <w:rsid w:val="00E70EA2"/>
    <w:rsid w:val="00E7146C"/>
    <w:rsid w:val="00E7505E"/>
    <w:rsid w:val="00E7711F"/>
    <w:rsid w:val="00E91EA2"/>
    <w:rsid w:val="00E9201D"/>
    <w:rsid w:val="00E935F6"/>
    <w:rsid w:val="00E944A0"/>
    <w:rsid w:val="00E94CF8"/>
    <w:rsid w:val="00E965E0"/>
    <w:rsid w:val="00EA2469"/>
    <w:rsid w:val="00EA54A9"/>
    <w:rsid w:val="00EA5D30"/>
    <w:rsid w:val="00ED03DD"/>
    <w:rsid w:val="00ED700E"/>
    <w:rsid w:val="00EE2879"/>
    <w:rsid w:val="00EF4688"/>
    <w:rsid w:val="00F0047E"/>
    <w:rsid w:val="00F02FF4"/>
    <w:rsid w:val="00F32AAB"/>
    <w:rsid w:val="00F417A8"/>
    <w:rsid w:val="00F43B59"/>
    <w:rsid w:val="00F43EF6"/>
    <w:rsid w:val="00F4527F"/>
    <w:rsid w:val="00F542A9"/>
    <w:rsid w:val="00F665DF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7AB9"/>
    <w:rsid w:val="00FE4088"/>
    <w:rsid w:val="00FE6B97"/>
    <w:rsid w:val="013712F7"/>
    <w:rsid w:val="01703E3E"/>
    <w:rsid w:val="017D438D"/>
    <w:rsid w:val="019978BC"/>
    <w:rsid w:val="01E4322D"/>
    <w:rsid w:val="02087C20"/>
    <w:rsid w:val="0255548F"/>
    <w:rsid w:val="026954E1"/>
    <w:rsid w:val="027A4D28"/>
    <w:rsid w:val="02B068EF"/>
    <w:rsid w:val="0313544C"/>
    <w:rsid w:val="035F1C90"/>
    <w:rsid w:val="03653EFA"/>
    <w:rsid w:val="038F62BE"/>
    <w:rsid w:val="03A80897"/>
    <w:rsid w:val="03AD1503"/>
    <w:rsid w:val="03BB23AC"/>
    <w:rsid w:val="03BC1030"/>
    <w:rsid w:val="03F91E91"/>
    <w:rsid w:val="041E3808"/>
    <w:rsid w:val="043B2184"/>
    <w:rsid w:val="0445632C"/>
    <w:rsid w:val="04634600"/>
    <w:rsid w:val="0475718F"/>
    <w:rsid w:val="0485137E"/>
    <w:rsid w:val="04BA3356"/>
    <w:rsid w:val="04C66C1A"/>
    <w:rsid w:val="04D1736D"/>
    <w:rsid w:val="052F2B1E"/>
    <w:rsid w:val="052F46FD"/>
    <w:rsid w:val="052F5EB6"/>
    <w:rsid w:val="05573D16"/>
    <w:rsid w:val="057443B4"/>
    <w:rsid w:val="057E74F5"/>
    <w:rsid w:val="05C017FD"/>
    <w:rsid w:val="05E31A55"/>
    <w:rsid w:val="06514C09"/>
    <w:rsid w:val="065D70FD"/>
    <w:rsid w:val="0687687D"/>
    <w:rsid w:val="06D04F61"/>
    <w:rsid w:val="06F2489E"/>
    <w:rsid w:val="070268E6"/>
    <w:rsid w:val="07100225"/>
    <w:rsid w:val="071579E5"/>
    <w:rsid w:val="0739338B"/>
    <w:rsid w:val="07501427"/>
    <w:rsid w:val="076636BD"/>
    <w:rsid w:val="07820722"/>
    <w:rsid w:val="078D7EC3"/>
    <w:rsid w:val="07BA233A"/>
    <w:rsid w:val="07F10452"/>
    <w:rsid w:val="083A378F"/>
    <w:rsid w:val="08444D9F"/>
    <w:rsid w:val="08747AEC"/>
    <w:rsid w:val="08760957"/>
    <w:rsid w:val="08F32881"/>
    <w:rsid w:val="08FA55C2"/>
    <w:rsid w:val="094A00EB"/>
    <w:rsid w:val="094D7C7A"/>
    <w:rsid w:val="09575B61"/>
    <w:rsid w:val="09710720"/>
    <w:rsid w:val="097507C7"/>
    <w:rsid w:val="097D22E2"/>
    <w:rsid w:val="09A2009F"/>
    <w:rsid w:val="09A339CE"/>
    <w:rsid w:val="09AD2157"/>
    <w:rsid w:val="09F75AC8"/>
    <w:rsid w:val="0A3C4D43"/>
    <w:rsid w:val="0A61159A"/>
    <w:rsid w:val="0A876025"/>
    <w:rsid w:val="0AD41965"/>
    <w:rsid w:val="0AF81AF7"/>
    <w:rsid w:val="0B362BC0"/>
    <w:rsid w:val="0B4E34C6"/>
    <w:rsid w:val="0B6947A3"/>
    <w:rsid w:val="0B6C6FDB"/>
    <w:rsid w:val="0B8F711A"/>
    <w:rsid w:val="0C104FD7"/>
    <w:rsid w:val="0C37664F"/>
    <w:rsid w:val="0C3A6343"/>
    <w:rsid w:val="0C5F0F6E"/>
    <w:rsid w:val="0C654F6B"/>
    <w:rsid w:val="0C98355E"/>
    <w:rsid w:val="0CB3217A"/>
    <w:rsid w:val="0D004BE0"/>
    <w:rsid w:val="0D2C3CDA"/>
    <w:rsid w:val="0D3C23CD"/>
    <w:rsid w:val="0D6635DC"/>
    <w:rsid w:val="0DBC0BBA"/>
    <w:rsid w:val="0DFB7F09"/>
    <w:rsid w:val="0E0B1B42"/>
    <w:rsid w:val="0E2A2583"/>
    <w:rsid w:val="0E927B6D"/>
    <w:rsid w:val="0EC51CF1"/>
    <w:rsid w:val="0EFE3455"/>
    <w:rsid w:val="0F275B9A"/>
    <w:rsid w:val="0F5074B0"/>
    <w:rsid w:val="0F783207"/>
    <w:rsid w:val="0F797A29"/>
    <w:rsid w:val="0F8D20A8"/>
    <w:rsid w:val="0F9F2542"/>
    <w:rsid w:val="0FBB34F5"/>
    <w:rsid w:val="0FFD54BA"/>
    <w:rsid w:val="10525110"/>
    <w:rsid w:val="107E0E1C"/>
    <w:rsid w:val="10830B27"/>
    <w:rsid w:val="10A06571"/>
    <w:rsid w:val="10E32902"/>
    <w:rsid w:val="110E7C3C"/>
    <w:rsid w:val="111B209C"/>
    <w:rsid w:val="11271892"/>
    <w:rsid w:val="113D288D"/>
    <w:rsid w:val="117F6ACF"/>
    <w:rsid w:val="11C657AD"/>
    <w:rsid w:val="120F5BA7"/>
    <w:rsid w:val="121F5BBC"/>
    <w:rsid w:val="1235718D"/>
    <w:rsid w:val="128A3A09"/>
    <w:rsid w:val="129F5B83"/>
    <w:rsid w:val="12A6008B"/>
    <w:rsid w:val="12A619A3"/>
    <w:rsid w:val="12D009A7"/>
    <w:rsid w:val="13527640"/>
    <w:rsid w:val="1360123B"/>
    <w:rsid w:val="13C54541"/>
    <w:rsid w:val="13F56CD2"/>
    <w:rsid w:val="14366498"/>
    <w:rsid w:val="143811B7"/>
    <w:rsid w:val="14531B4D"/>
    <w:rsid w:val="1456146C"/>
    <w:rsid w:val="14676D7E"/>
    <w:rsid w:val="148C0CE2"/>
    <w:rsid w:val="15916DD0"/>
    <w:rsid w:val="159D08C8"/>
    <w:rsid w:val="15A11AB8"/>
    <w:rsid w:val="15CC605B"/>
    <w:rsid w:val="15DE4B25"/>
    <w:rsid w:val="16055DD0"/>
    <w:rsid w:val="16201B28"/>
    <w:rsid w:val="1638724C"/>
    <w:rsid w:val="16413351"/>
    <w:rsid w:val="164E090F"/>
    <w:rsid w:val="16700ED9"/>
    <w:rsid w:val="16937390"/>
    <w:rsid w:val="16CF2F33"/>
    <w:rsid w:val="172F5937"/>
    <w:rsid w:val="17660053"/>
    <w:rsid w:val="177C482D"/>
    <w:rsid w:val="179D7CAF"/>
    <w:rsid w:val="17A761F4"/>
    <w:rsid w:val="17CB6D2A"/>
    <w:rsid w:val="17DD67EB"/>
    <w:rsid w:val="180B0F62"/>
    <w:rsid w:val="181141F9"/>
    <w:rsid w:val="188A7E33"/>
    <w:rsid w:val="18DA45EA"/>
    <w:rsid w:val="18DF7E53"/>
    <w:rsid w:val="190855FC"/>
    <w:rsid w:val="190E59FE"/>
    <w:rsid w:val="19393A07"/>
    <w:rsid w:val="19A411EC"/>
    <w:rsid w:val="19B60BB4"/>
    <w:rsid w:val="1A294B27"/>
    <w:rsid w:val="1A332E19"/>
    <w:rsid w:val="1A683441"/>
    <w:rsid w:val="1A9133CF"/>
    <w:rsid w:val="1A937147"/>
    <w:rsid w:val="1A961EAB"/>
    <w:rsid w:val="1AA324C4"/>
    <w:rsid w:val="1B0C2C4E"/>
    <w:rsid w:val="1B256B41"/>
    <w:rsid w:val="1B632FBD"/>
    <w:rsid w:val="1B702E93"/>
    <w:rsid w:val="1BAB6EFB"/>
    <w:rsid w:val="1BBD779E"/>
    <w:rsid w:val="1BDB3C33"/>
    <w:rsid w:val="1C057BD0"/>
    <w:rsid w:val="1C073948"/>
    <w:rsid w:val="1C4C57FF"/>
    <w:rsid w:val="1CC615B4"/>
    <w:rsid w:val="1CC932F4"/>
    <w:rsid w:val="1CDF2A5C"/>
    <w:rsid w:val="1D235D75"/>
    <w:rsid w:val="1D5E1C8E"/>
    <w:rsid w:val="1D627A92"/>
    <w:rsid w:val="1D64697C"/>
    <w:rsid w:val="1D8E2483"/>
    <w:rsid w:val="1D9950DF"/>
    <w:rsid w:val="1DCD00E1"/>
    <w:rsid w:val="1DD969AB"/>
    <w:rsid w:val="1E1876A1"/>
    <w:rsid w:val="1E253203"/>
    <w:rsid w:val="1E8522FD"/>
    <w:rsid w:val="1E9F430C"/>
    <w:rsid w:val="1ED14404"/>
    <w:rsid w:val="1EF74148"/>
    <w:rsid w:val="1EF91F99"/>
    <w:rsid w:val="1F84433B"/>
    <w:rsid w:val="1FA15E62"/>
    <w:rsid w:val="1FDB7383"/>
    <w:rsid w:val="2011123A"/>
    <w:rsid w:val="20224A4F"/>
    <w:rsid w:val="202A2DE2"/>
    <w:rsid w:val="203606F7"/>
    <w:rsid w:val="20392DEC"/>
    <w:rsid w:val="206222A6"/>
    <w:rsid w:val="20A629C0"/>
    <w:rsid w:val="21196F94"/>
    <w:rsid w:val="21263865"/>
    <w:rsid w:val="213571AA"/>
    <w:rsid w:val="217D645B"/>
    <w:rsid w:val="21843C8D"/>
    <w:rsid w:val="21F13065"/>
    <w:rsid w:val="22053BB4"/>
    <w:rsid w:val="22280ABD"/>
    <w:rsid w:val="227A0DB8"/>
    <w:rsid w:val="22A07CA6"/>
    <w:rsid w:val="22BA5BB9"/>
    <w:rsid w:val="22C06E47"/>
    <w:rsid w:val="2303547D"/>
    <w:rsid w:val="2358717F"/>
    <w:rsid w:val="237F15B6"/>
    <w:rsid w:val="23EB61A9"/>
    <w:rsid w:val="240E783E"/>
    <w:rsid w:val="2441618A"/>
    <w:rsid w:val="244B45EE"/>
    <w:rsid w:val="245949D9"/>
    <w:rsid w:val="24637B8A"/>
    <w:rsid w:val="246966F1"/>
    <w:rsid w:val="2470465E"/>
    <w:rsid w:val="24741D97"/>
    <w:rsid w:val="248F73A7"/>
    <w:rsid w:val="24F6510A"/>
    <w:rsid w:val="24FA55ED"/>
    <w:rsid w:val="252541FE"/>
    <w:rsid w:val="25346D64"/>
    <w:rsid w:val="25C205B6"/>
    <w:rsid w:val="25CC5B88"/>
    <w:rsid w:val="25D845A8"/>
    <w:rsid w:val="26295363"/>
    <w:rsid w:val="26296CBC"/>
    <w:rsid w:val="265D3205"/>
    <w:rsid w:val="268F2EB8"/>
    <w:rsid w:val="26933E36"/>
    <w:rsid w:val="26A533F5"/>
    <w:rsid w:val="26A61FB0"/>
    <w:rsid w:val="26BC19A6"/>
    <w:rsid w:val="26E61C61"/>
    <w:rsid w:val="275B3970"/>
    <w:rsid w:val="279E3E6D"/>
    <w:rsid w:val="27A73E71"/>
    <w:rsid w:val="27B8643F"/>
    <w:rsid w:val="27BF5A1F"/>
    <w:rsid w:val="27C450B9"/>
    <w:rsid w:val="283E2531"/>
    <w:rsid w:val="28564D7B"/>
    <w:rsid w:val="2866443A"/>
    <w:rsid w:val="289607B9"/>
    <w:rsid w:val="289C18DB"/>
    <w:rsid w:val="28C77416"/>
    <w:rsid w:val="28F11C08"/>
    <w:rsid w:val="290166AE"/>
    <w:rsid w:val="295403E9"/>
    <w:rsid w:val="29AF593F"/>
    <w:rsid w:val="29DE2FA7"/>
    <w:rsid w:val="2A04596B"/>
    <w:rsid w:val="2A494963"/>
    <w:rsid w:val="2A5A72A6"/>
    <w:rsid w:val="2A7A0382"/>
    <w:rsid w:val="2AAB5DE7"/>
    <w:rsid w:val="2ABE1FBE"/>
    <w:rsid w:val="2AC075D6"/>
    <w:rsid w:val="2AC11AAE"/>
    <w:rsid w:val="2B287437"/>
    <w:rsid w:val="2B87593A"/>
    <w:rsid w:val="2C0635BA"/>
    <w:rsid w:val="2C4B162F"/>
    <w:rsid w:val="2C612895"/>
    <w:rsid w:val="2C672453"/>
    <w:rsid w:val="2D2108DD"/>
    <w:rsid w:val="2D391440"/>
    <w:rsid w:val="2D4B3284"/>
    <w:rsid w:val="2D5108D1"/>
    <w:rsid w:val="2D8F3600"/>
    <w:rsid w:val="2D926DE9"/>
    <w:rsid w:val="2D996D18"/>
    <w:rsid w:val="2E267188"/>
    <w:rsid w:val="2E2C5DA4"/>
    <w:rsid w:val="2E926CEC"/>
    <w:rsid w:val="2EC03E0B"/>
    <w:rsid w:val="2EE64169"/>
    <w:rsid w:val="2EE87609"/>
    <w:rsid w:val="2EED2707"/>
    <w:rsid w:val="2F133642"/>
    <w:rsid w:val="2F3C7955"/>
    <w:rsid w:val="2FD0227E"/>
    <w:rsid w:val="2FD55B5A"/>
    <w:rsid w:val="300E355A"/>
    <w:rsid w:val="30337F16"/>
    <w:rsid w:val="30464A25"/>
    <w:rsid w:val="3082583C"/>
    <w:rsid w:val="30DC4F4C"/>
    <w:rsid w:val="313F7193"/>
    <w:rsid w:val="31630496"/>
    <w:rsid w:val="31A45B7D"/>
    <w:rsid w:val="31A5035D"/>
    <w:rsid w:val="31A97418"/>
    <w:rsid w:val="31C679AA"/>
    <w:rsid w:val="31D34D2E"/>
    <w:rsid w:val="31DA5C65"/>
    <w:rsid w:val="31E0153E"/>
    <w:rsid w:val="32061EAF"/>
    <w:rsid w:val="320D7387"/>
    <w:rsid w:val="321E0BC9"/>
    <w:rsid w:val="3284589B"/>
    <w:rsid w:val="32F868AE"/>
    <w:rsid w:val="33041EC0"/>
    <w:rsid w:val="33182487"/>
    <w:rsid w:val="33794817"/>
    <w:rsid w:val="33843679"/>
    <w:rsid w:val="33980AB1"/>
    <w:rsid w:val="33CF6FEA"/>
    <w:rsid w:val="34256C90"/>
    <w:rsid w:val="344A7D4E"/>
    <w:rsid w:val="347D19AD"/>
    <w:rsid w:val="347E456C"/>
    <w:rsid w:val="34917CC1"/>
    <w:rsid w:val="34C32719"/>
    <w:rsid w:val="34C71A6F"/>
    <w:rsid w:val="34E44129"/>
    <w:rsid w:val="34E65643"/>
    <w:rsid w:val="3500706D"/>
    <w:rsid w:val="35096914"/>
    <w:rsid w:val="352E3A03"/>
    <w:rsid w:val="3539753D"/>
    <w:rsid w:val="35441312"/>
    <w:rsid w:val="35533C98"/>
    <w:rsid w:val="355E7656"/>
    <w:rsid w:val="35771A99"/>
    <w:rsid w:val="357D12FE"/>
    <w:rsid w:val="3609761D"/>
    <w:rsid w:val="361436EF"/>
    <w:rsid w:val="363D49D0"/>
    <w:rsid w:val="36481456"/>
    <w:rsid w:val="3666105B"/>
    <w:rsid w:val="36FF13FD"/>
    <w:rsid w:val="371A057C"/>
    <w:rsid w:val="37296A11"/>
    <w:rsid w:val="374E1729"/>
    <w:rsid w:val="378B3228"/>
    <w:rsid w:val="379344BE"/>
    <w:rsid w:val="37BF2ED1"/>
    <w:rsid w:val="37EA43F2"/>
    <w:rsid w:val="3828020E"/>
    <w:rsid w:val="38591578"/>
    <w:rsid w:val="385F7D0C"/>
    <w:rsid w:val="386B3012"/>
    <w:rsid w:val="38733B2C"/>
    <w:rsid w:val="388861A3"/>
    <w:rsid w:val="38AF2F46"/>
    <w:rsid w:val="38D94467"/>
    <w:rsid w:val="38DC340E"/>
    <w:rsid w:val="398E5251"/>
    <w:rsid w:val="39E01D13"/>
    <w:rsid w:val="3A801D52"/>
    <w:rsid w:val="3A816B64"/>
    <w:rsid w:val="3ABF1B60"/>
    <w:rsid w:val="3AEC6657"/>
    <w:rsid w:val="3B10121D"/>
    <w:rsid w:val="3B2075C0"/>
    <w:rsid w:val="3B4633AC"/>
    <w:rsid w:val="3BA23F27"/>
    <w:rsid w:val="3BB75F0B"/>
    <w:rsid w:val="3BF62074"/>
    <w:rsid w:val="3C300173"/>
    <w:rsid w:val="3CB46D7D"/>
    <w:rsid w:val="3D263D34"/>
    <w:rsid w:val="3D2D4ECB"/>
    <w:rsid w:val="3D6A5ADB"/>
    <w:rsid w:val="3D762B8B"/>
    <w:rsid w:val="3D8726E3"/>
    <w:rsid w:val="3D8E7046"/>
    <w:rsid w:val="3D950CBD"/>
    <w:rsid w:val="3DB1150E"/>
    <w:rsid w:val="3DB44DB8"/>
    <w:rsid w:val="3DD85B51"/>
    <w:rsid w:val="3E0569D1"/>
    <w:rsid w:val="3E197344"/>
    <w:rsid w:val="3E583D12"/>
    <w:rsid w:val="3E7F33BB"/>
    <w:rsid w:val="3E83276A"/>
    <w:rsid w:val="3EE71542"/>
    <w:rsid w:val="3F213F33"/>
    <w:rsid w:val="3F2935A4"/>
    <w:rsid w:val="3FB3291A"/>
    <w:rsid w:val="3FE536F1"/>
    <w:rsid w:val="40083152"/>
    <w:rsid w:val="40085CD0"/>
    <w:rsid w:val="400B3158"/>
    <w:rsid w:val="4041301D"/>
    <w:rsid w:val="40526FD9"/>
    <w:rsid w:val="40552625"/>
    <w:rsid w:val="405F6D3D"/>
    <w:rsid w:val="40662A84"/>
    <w:rsid w:val="407006A0"/>
    <w:rsid w:val="40940A3E"/>
    <w:rsid w:val="40986368"/>
    <w:rsid w:val="40D55514"/>
    <w:rsid w:val="40EA7AAF"/>
    <w:rsid w:val="40EB2F11"/>
    <w:rsid w:val="417F32DA"/>
    <w:rsid w:val="41807B75"/>
    <w:rsid w:val="41872CB2"/>
    <w:rsid w:val="41961147"/>
    <w:rsid w:val="41D22621"/>
    <w:rsid w:val="41E55C2A"/>
    <w:rsid w:val="42027AB1"/>
    <w:rsid w:val="420B2761"/>
    <w:rsid w:val="42274495"/>
    <w:rsid w:val="424E7465"/>
    <w:rsid w:val="42587944"/>
    <w:rsid w:val="42744ACD"/>
    <w:rsid w:val="42932E0A"/>
    <w:rsid w:val="42B7555A"/>
    <w:rsid w:val="430A3B9B"/>
    <w:rsid w:val="43243278"/>
    <w:rsid w:val="43266B0D"/>
    <w:rsid w:val="435B56FC"/>
    <w:rsid w:val="43884ABF"/>
    <w:rsid w:val="439C056B"/>
    <w:rsid w:val="43BD2089"/>
    <w:rsid w:val="44664C9E"/>
    <w:rsid w:val="446B0669"/>
    <w:rsid w:val="447A7EF9"/>
    <w:rsid w:val="44A00219"/>
    <w:rsid w:val="44BE4A5F"/>
    <w:rsid w:val="44C04B5B"/>
    <w:rsid w:val="44CA1F8F"/>
    <w:rsid w:val="44CB7FF4"/>
    <w:rsid w:val="451C7BB5"/>
    <w:rsid w:val="452627E2"/>
    <w:rsid w:val="45367494"/>
    <w:rsid w:val="454237D0"/>
    <w:rsid w:val="45877724"/>
    <w:rsid w:val="45DD0D79"/>
    <w:rsid w:val="46214DC6"/>
    <w:rsid w:val="46231F08"/>
    <w:rsid w:val="463A72D5"/>
    <w:rsid w:val="464B69A4"/>
    <w:rsid w:val="46671304"/>
    <w:rsid w:val="467A2DE5"/>
    <w:rsid w:val="468574A9"/>
    <w:rsid w:val="46AD288E"/>
    <w:rsid w:val="46C978C9"/>
    <w:rsid w:val="470A03A4"/>
    <w:rsid w:val="4712301E"/>
    <w:rsid w:val="47226FD9"/>
    <w:rsid w:val="47595011"/>
    <w:rsid w:val="477F61D9"/>
    <w:rsid w:val="47F46EAE"/>
    <w:rsid w:val="480C7ABD"/>
    <w:rsid w:val="484118F2"/>
    <w:rsid w:val="486C0E54"/>
    <w:rsid w:val="48724017"/>
    <w:rsid w:val="48750F6C"/>
    <w:rsid w:val="489A3251"/>
    <w:rsid w:val="48DC4B3D"/>
    <w:rsid w:val="48EB621C"/>
    <w:rsid w:val="48EF68E0"/>
    <w:rsid w:val="492B4B3C"/>
    <w:rsid w:val="4953791E"/>
    <w:rsid w:val="495A5A74"/>
    <w:rsid w:val="49C24E8D"/>
    <w:rsid w:val="4A185620"/>
    <w:rsid w:val="4A1D0657"/>
    <w:rsid w:val="4A65296A"/>
    <w:rsid w:val="4A693DA2"/>
    <w:rsid w:val="4A6F4C2B"/>
    <w:rsid w:val="4A8E61E2"/>
    <w:rsid w:val="4ADF3B5F"/>
    <w:rsid w:val="4AE0765F"/>
    <w:rsid w:val="4B1F03FF"/>
    <w:rsid w:val="4B551C9A"/>
    <w:rsid w:val="4B727E01"/>
    <w:rsid w:val="4B964C95"/>
    <w:rsid w:val="4BDF7931"/>
    <w:rsid w:val="4BED3BCE"/>
    <w:rsid w:val="4CB46760"/>
    <w:rsid w:val="4CB8193D"/>
    <w:rsid w:val="4D111FCA"/>
    <w:rsid w:val="4D477799"/>
    <w:rsid w:val="4D9B7A63"/>
    <w:rsid w:val="4DA37EF2"/>
    <w:rsid w:val="4DC360A2"/>
    <w:rsid w:val="4DCF4AEB"/>
    <w:rsid w:val="4DE438B0"/>
    <w:rsid w:val="4E0D1159"/>
    <w:rsid w:val="4E4E18F8"/>
    <w:rsid w:val="4E5A52AA"/>
    <w:rsid w:val="4EB038C3"/>
    <w:rsid w:val="4EBF0AC0"/>
    <w:rsid w:val="4EE10E98"/>
    <w:rsid w:val="4EE97C85"/>
    <w:rsid w:val="4F203C16"/>
    <w:rsid w:val="4F782D10"/>
    <w:rsid w:val="4F844CD5"/>
    <w:rsid w:val="4F9C3DCC"/>
    <w:rsid w:val="4FAB2261"/>
    <w:rsid w:val="4FC4501C"/>
    <w:rsid w:val="4FE27948"/>
    <w:rsid w:val="4FE70DC0"/>
    <w:rsid w:val="502913D8"/>
    <w:rsid w:val="502E581F"/>
    <w:rsid w:val="506568B4"/>
    <w:rsid w:val="507C3BFE"/>
    <w:rsid w:val="50804497"/>
    <w:rsid w:val="50C0506A"/>
    <w:rsid w:val="50CC06E1"/>
    <w:rsid w:val="50CE2F6C"/>
    <w:rsid w:val="50F46497"/>
    <w:rsid w:val="50F814D6"/>
    <w:rsid w:val="510F1C3C"/>
    <w:rsid w:val="514328A4"/>
    <w:rsid w:val="51473C5A"/>
    <w:rsid w:val="514F5FDE"/>
    <w:rsid w:val="51875472"/>
    <w:rsid w:val="518E3BE9"/>
    <w:rsid w:val="51DC2BA6"/>
    <w:rsid w:val="51DC3E96"/>
    <w:rsid w:val="51F577C4"/>
    <w:rsid w:val="521A788B"/>
    <w:rsid w:val="52540351"/>
    <w:rsid w:val="52884ADC"/>
    <w:rsid w:val="52A80CDA"/>
    <w:rsid w:val="52B14033"/>
    <w:rsid w:val="52C11D74"/>
    <w:rsid w:val="52C84ED8"/>
    <w:rsid w:val="52DE294E"/>
    <w:rsid w:val="52FF1C46"/>
    <w:rsid w:val="533212A1"/>
    <w:rsid w:val="53381997"/>
    <w:rsid w:val="534F1156"/>
    <w:rsid w:val="53620E89"/>
    <w:rsid w:val="538D78C3"/>
    <w:rsid w:val="53EE72C6"/>
    <w:rsid w:val="544B5532"/>
    <w:rsid w:val="54887ACF"/>
    <w:rsid w:val="548B2661"/>
    <w:rsid w:val="54AA722A"/>
    <w:rsid w:val="54B716A8"/>
    <w:rsid w:val="554074D9"/>
    <w:rsid w:val="55765C0E"/>
    <w:rsid w:val="559D6882"/>
    <w:rsid w:val="55A41A91"/>
    <w:rsid w:val="55B41744"/>
    <w:rsid w:val="55BE4F5F"/>
    <w:rsid w:val="55E22755"/>
    <w:rsid w:val="561B17C3"/>
    <w:rsid w:val="563041F2"/>
    <w:rsid w:val="565C3C66"/>
    <w:rsid w:val="565F3DA6"/>
    <w:rsid w:val="56671E4D"/>
    <w:rsid w:val="57193C9E"/>
    <w:rsid w:val="574D2B23"/>
    <w:rsid w:val="57541431"/>
    <w:rsid w:val="576C2775"/>
    <w:rsid w:val="57DE6F4C"/>
    <w:rsid w:val="583E1DE6"/>
    <w:rsid w:val="584720E0"/>
    <w:rsid w:val="586048F0"/>
    <w:rsid w:val="586456A3"/>
    <w:rsid w:val="588549CE"/>
    <w:rsid w:val="58AE7DA1"/>
    <w:rsid w:val="58DD7D9A"/>
    <w:rsid w:val="58FE11DE"/>
    <w:rsid w:val="59024996"/>
    <w:rsid w:val="5911172D"/>
    <w:rsid w:val="59275FDE"/>
    <w:rsid w:val="5946289B"/>
    <w:rsid w:val="59AD4E28"/>
    <w:rsid w:val="5A0C06CB"/>
    <w:rsid w:val="5A170C5A"/>
    <w:rsid w:val="5A36150F"/>
    <w:rsid w:val="5A885E50"/>
    <w:rsid w:val="5B1D65E8"/>
    <w:rsid w:val="5B660D3E"/>
    <w:rsid w:val="5B836FB3"/>
    <w:rsid w:val="5B886BCD"/>
    <w:rsid w:val="5B963C39"/>
    <w:rsid w:val="5BF13193"/>
    <w:rsid w:val="5C2F421A"/>
    <w:rsid w:val="5C6C4B26"/>
    <w:rsid w:val="5C8C341B"/>
    <w:rsid w:val="5CA6258E"/>
    <w:rsid w:val="5CA96D95"/>
    <w:rsid w:val="5CAC7619"/>
    <w:rsid w:val="5D073437"/>
    <w:rsid w:val="5D2F2B1E"/>
    <w:rsid w:val="5DB04EE7"/>
    <w:rsid w:val="5DE56518"/>
    <w:rsid w:val="5DEC5E11"/>
    <w:rsid w:val="5DEF5A0F"/>
    <w:rsid w:val="5DF72B16"/>
    <w:rsid w:val="5DFD1C63"/>
    <w:rsid w:val="5E2034D2"/>
    <w:rsid w:val="5E8D6EA8"/>
    <w:rsid w:val="5EA26EB2"/>
    <w:rsid w:val="5EAA6C6E"/>
    <w:rsid w:val="5EAD01B2"/>
    <w:rsid w:val="5ECA3D86"/>
    <w:rsid w:val="5F1D47FE"/>
    <w:rsid w:val="5F434264"/>
    <w:rsid w:val="5F4D50E3"/>
    <w:rsid w:val="5FC57A79"/>
    <w:rsid w:val="60303C60"/>
    <w:rsid w:val="6052147A"/>
    <w:rsid w:val="606A2B2A"/>
    <w:rsid w:val="606B32A5"/>
    <w:rsid w:val="607022A9"/>
    <w:rsid w:val="607E12CC"/>
    <w:rsid w:val="609E0F14"/>
    <w:rsid w:val="60B74988"/>
    <w:rsid w:val="60BC04C4"/>
    <w:rsid w:val="60DE7295"/>
    <w:rsid w:val="613A52BD"/>
    <w:rsid w:val="614429C5"/>
    <w:rsid w:val="61E15FB7"/>
    <w:rsid w:val="61E37C50"/>
    <w:rsid w:val="61FC06FB"/>
    <w:rsid w:val="62514A64"/>
    <w:rsid w:val="626B0ACC"/>
    <w:rsid w:val="626F728B"/>
    <w:rsid w:val="62A42563"/>
    <w:rsid w:val="62DE6052"/>
    <w:rsid w:val="62E037F0"/>
    <w:rsid w:val="62EF16DE"/>
    <w:rsid w:val="63210307"/>
    <w:rsid w:val="633B16F7"/>
    <w:rsid w:val="63584C81"/>
    <w:rsid w:val="63611878"/>
    <w:rsid w:val="63613BBD"/>
    <w:rsid w:val="63747577"/>
    <w:rsid w:val="638135AD"/>
    <w:rsid w:val="63BF5E84"/>
    <w:rsid w:val="63E91153"/>
    <w:rsid w:val="63ED6339"/>
    <w:rsid w:val="63F41FD1"/>
    <w:rsid w:val="64132ACB"/>
    <w:rsid w:val="644F1AB3"/>
    <w:rsid w:val="646B101A"/>
    <w:rsid w:val="64712CA8"/>
    <w:rsid w:val="64814F72"/>
    <w:rsid w:val="649F0642"/>
    <w:rsid w:val="64AF16BF"/>
    <w:rsid w:val="6589499B"/>
    <w:rsid w:val="65A73073"/>
    <w:rsid w:val="65B740EF"/>
    <w:rsid w:val="661512EF"/>
    <w:rsid w:val="66420CC3"/>
    <w:rsid w:val="66482160"/>
    <w:rsid w:val="66A77D57"/>
    <w:rsid w:val="66C75014"/>
    <w:rsid w:val="67095D94"/>
    <w:rsid w:val="672B6AD9"/>
    <w:rsid w:val="672E57FA"/>
    <w:rsid w:val="6751773B"/>
    <w:rsid w:val="67663652"/>
    <w:rsid w:val="676C4A3A"/>
    <w:rsid w:val="679A4C3E"/>
    <w:rsid w:val="67BA0B35"/>
    <w:rsid w:val="67C4094C"/>
    <w:rsid w:val="67CD5013"/>
    <w:rsid w:val="68242759"/>
    <w:rsid w:val="68977769"/>
    <w:rsid w:val="68A50A18"/>
    <w:rsid w:val="68E42148"/>
    <w:rsid w:val="68F9171A"/>
    <w:rsid w:val="693A47A3"/>
    <w:rsid w:val="69B61D6F"/>
    <w:rsid w:val="69C1618A"/>
    <w:rsid w:val="69DE3DEE"/>
    <w:rsid w:val="6A3B3D8A"/>
    <w:rsid w:val="6A86453E"/>
    <w:rsid w:val="6AB2229E"/>
    <w:rsid w:val="6ACD6419"/>
    <w:rsid w:val="6ADA098C"/>
    <w:rsid w:val="6AE34B4E"/>
    <w:rsid w:val="6AFB2A69"/>
    <w:rsid w:val="6B3E4F40"/>
    <w:rsid w:val="6B4C26F3"/>
    <w:rsid w:val="6B73407C"/>
    <w:rsid w:val="6B735ED1"/>
    <w:rsid w:val="6B8F22D3"/>
    <w:rsid w:val="6BA17D14"/>
    <w:rsid w:val="6BFF7F84"/>
    <w:rsid w:val="6C117715"/>
    <w:rsid w:val="6C174081"/>
    <w:rsid w:val="6C465631"/>
    <w:rsid w:val="6C6400AB"/>
    <w:rsid w:val="6C8B590C"/>
    <w:rsid w:val="6C8B724B"/>
    <w:rsid w:val="6C981082"/>
    <w:rsid w:val="6CA5206F"/>
    <w:rsid w:val="6CC96AE8"/>
    <w:rsid w:val="6D343A27"/>
    <w:rsid w:val="6D6E5FCA"/>
    <w:rsid w:val="6DCF182B"/>
    <w:rsid w:val="6E881C94"/>
    <w:rsid w:val="6E8B1784"/>
    <w:rsid w:val="6E9B7DF6"/>
    <w:rsid w:val="6EB505AF"/>
    <w:rsid w:val="6EE3336E"/>
    <w:rsid w:val="6F084B83"/>
    <w:rsid w:val="6F0D3F47"/>
    <w:rsid w:val="6F712728"/>
    <w:rsid w:val="6F881E9D"/>
    <w:rsid w:val="6FBA0D5A"/>
    <w:rsid w:val="6FC0372E"/>
    <w:rsid w:val="6FD77C24"/>
    <w:rsid w:val="6FF06CE8"/>
    <w:rsid w:val="706F63C2"/>
    <w:rsid w:val="70CE5958"/>
    <w:rsid w:val="70EB30CC"/>
    <w:rsid w:val="7101188A"/>
    <w:rsid w:val="714C6EA2"/>
    <w:rsid w:val="715F68EE"/>
    <w:rsid w:val="716360A0"/>
    <w:rsid w:val="71710FBA"/>
    <w:rsid w:val="71922E29"/>
    <w:rsid w:val="71D63C28"/>
    <w:rsid w:val="72804F14"/>
    <w:rsid w:val="72806907"/>
    <w:rsid w:val="72F9402A"/>
    <w:rsid w:val="732A2245"/>
    <w:rsid w:val="732E4532"/>
    <w:rsid w:val="733A4279"/>
    <w:rsid w:val="7364055E"/>
    <w:rsid w:val="736B5F7A"/>
    <w:rsid w:val="73700F48"/>
    <w:rsid w:val="73BE1EF1"/>
    <w:rsid w:val="74125240"/>
    <w:rsid w:val="7461442E"/>
    <w:rsid w:val="7473539A"/>
    <w:rsid w:val="748154B2"/>
    <w:rsid w:val="74AE7F19"/>
    <w:rsid w:val="74BF5CE3"/>
    <w:rsid w:val="74D06143"/>
    <w:rsid w:val="75243D99"/>
    <w:rsid w:val="75284014"/>
    <w:rsid w:val="757A210D"/>
    <w:rsid w:val="75B23EE2"/>
    <w:rsid w:val="75D4756D"/>
    <w:rsid w:val="75E36E5B"/>
    <w:rsid w:val="75EE10A6"/>
    <w:rsid w:val="763306FC"/>
    <w:rsid w:val="768C6099"/>
    <w:rsid w:val="769B6E27"/>
    <w:rsid w:val="76BE1FCB"/>
    <w:rsid w:val="76CB6F68"/>
    <w:rsid w:val="76E934EC"/>
    <w:rsid w:val="76F105F2"/>
    <w:rsid w:val="77114867"/>
    <w:rsid w:val="775744D2"/>
    <w:rsid w:val="77A94803"/>
    <w:rsid w:val="77C15CBC"/>
    <w:rsid w:val="77D5581E"/>
    <w:rsid w:val="77E24ED1"/>
    <w:rsid w:val="77FE6B23"/>
    <w:rsid w:val="782C2B9F"/>
    <w:rsid w:val="78581291"/>
    <w:rsid w:val="789E730E"/>
    <w:rsid w:val="78FD502C"/>
    <w:rsid w:val="79042BD4"/>
    <w:rsid w:val="79200D1B"/>
    <w:rsid w:val="79507AB6"/>
    <w:rsid w:val="795310F0"/>
    <w:rsid w:val="79D434E2"/>
    <w:rsid w:val="79FE105C"/>
    <w:rsid w:val="7A287E87"/>
    <w:rsid w:val="7A450456"/>
    <w:rsid w:val="7A4757E3"/>
    <w:rsid w:val="7A4A33DA"/>
    <w:rsid w:val="7A4C0930"/>
    <w:rsid w:val="7A8A28F0"/>
    <w:rsid w:val="7AC145DF"/>
    <w:rsid w:val="7AC516D6"/>
    <w:rsid w:val="7ACA53E2"/>
    <w:rsid w:val="7B002BB2"/>
    <w:rsid w:val="7BA2602A"/>
    <w:rsid w:val="7BBE5F26"/>
    <w:rsid w:val="7BC6400F"/>
    <w:rsid w:val="7C030BAC"/>
    <w:rsid w:val="7C283401"/>
    <w:rsid w:val="7C2D6767"/>
    <w:rsid w:val="7C4251DD"/>
    <w:rsid w:val="7C6F1677"/>
    <w:rsid w:val="7D8E0074"/>
    <w:rsid w:val="7D902913"/>
    <w:rsid w:val="7D985B4F"/>
    <w:rsid w:val="7DA00113"/>
    <w:rsid w:val="7E5228CA"/>
    <w:rsid w:val="7E6B5FAF"/>
    <w:rsid w:val="7E9D23DF"/>
    <w:rsid w:val="7EA45F4A"/>
    <w:rsid w:val="7EAF6DC9"/>
    <w:rsid w:val="7EC34622"/>
    <w:rsid w:val="7ED33846"/>
    <w:rsid w:val="7EE011E6"/>
    <w:rsid w:val="7EE84089"/>
    <w:rsid w:val="7F264BB1"/>
    <w:rsid w:val="7F632E2D"/>
    <w:rsid w:val="7F8E1929"/>
    <w:rsid w:val="7F9035D7"/>
    <w:rsid w:val="7FC93EBA"/>
    <w:rsid w:val="7FD400C7"/>
    <w:rsid w:val="7FDD1714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qFormat="1"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Lines="50" w:afterLines="50" w:line="520" w:lineRule="exact"/>
      <w:outlineLvl w:val="0"/>
    </w:pPr>
    <w:rPr>
      <w:b/>
      <w:bCs/>
      <w:kern w:val="44"/>
      <w:sz w:val="30"/>
      <w:szCs w:val="44"/>
    </w:rPr>
  </w:style>
  <w:style w:type="paragraph" w:styleId="3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4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unhideWhenUsed/>
    <w:qFormat/>
    <w:uiPriority w:val="99"/>
    <w:pPr>
      <w:jc w:val="left"/>
    </w:pPr>
  </w:style>
  <w:style w:type="paragraph" w:styleId="6">
    <w:name w:val="Body Text"/>
    <w:basedOn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7">
    <w:name w:val="Body Text Indent"/>
    <w:basedOn w:val="1"/>
    <w:next w:val="6"/>
    <w:qFormat/>
    <w:uiPriority w:val="0"/>
    <w:pPr>
      <w:ind w:left="420" w:leftChars="200"/>
    </w:pPr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3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qFormat/>
    <w:uiPriority w:val="0"/>
    <w:pPr>
      <w:adjustRightInd w:val="0"/>
      <w:spacing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6">
    <w:name w:val="Body Text First Indent"/>
    <w:basedOn w:val="6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7">
    <w:name w:val="Body Text First Indent 2"/>
    <w:basedOn w:val="7"/>
    <w:next w:val="1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9">
    <w:name w:val="Table Grid"/>
    <w:basedOn w:val="1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page number"/>
    <w:basedOn w:val="20"/>
    <w:qFormat/>
    <w:uiPriority w:val="0"/>
  </w:style>
  <w:style w:type="character" w:styleId="23">
    <w:name w:val="FollowedHyperlink"/>
    <w:basedOn w:val="20"/>
    <w:semiHidden/>
    <w:unhideWhenUsed/>
    <w:qFormat/>
    <w:uiPriority w:val="99"/>
    <w:rPr>
      <w:color w:val="5C5C5C"/>
      <w:u w:val="none"/>
    </w:rPr>
  </w:style>
  <w:style w:type="character" w:styleId="24">
    <w:name w:val="Emphasis"/>
    <w:basedOn w:val="20"/>
    <w:qFormat/>
    <w:uiPriority w:val="20"/>
    <w:rPr>
      <w:b/>
      <w:bCs/>
    </w:rPr>
  </w:style>
  <w:style w:type="character" w:styleId="25">
    <w:name w:val="HTML Definition"/>
    <w:basedOn w:val="20"/>
    <w:semiHidden/>
    <w:unhideWhenUsed/>
    <w:qFormat/>
    <w:uiPriority w:val="99"/>
  </w:style>
  <w:style w:type="character" w:styleId="26">
    <w:name w:val="HTML Typewriter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7">
    <w:name w:val="HTML Acronym"/>
    <w:basedOn w:val="20"/>
    <w:semiHidden/>
    <w:unhideWhenUsed/>
    <w:qFormat/>
    <w:uiPriority w:val="99"/>
  </w:style>
  <w:style w:type="character" w:styleId="28">
    <w:name w:val="HTML Variable"/>
    <w:basedOn w:val="20"/>
    <w:semiHidden/>
    <w:unhideWhenUsed/>
    <w:qFormat/>
    <w:uiPriority w:val="99"/>
  </w:style>
  <w:style w:type="character" w:styleId="29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styleId="30">
    <w:name w:val="HTML Code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1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styleId="32">
    <w:name w:val="HTML Cite"/>
    <w:basedOn w:val="20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3">
    <w:name w:val="HTML Keyboard"/>
    <w:basedOn w:val="20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4">
    <w:name w:val="HTML Sample"/>
    <w:basedOn w:val="20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5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6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7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40">
    <w:name w:val="页眉 字符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字符"/>
    <w:basedOn w:val="20"/>
    <w:link w:val="10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批注框文本 字符"/>
    <w:basedOn w:val="20"/>
    <w:link w:val="9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hover"/>
    <w:basedOn w:val="20"/>
    <w:qFormat/>
    <w:uiPriority w:val="0"/>
    <w:rPr>
      <w:shd w:val="clear" w:color="auto" w:fill="E9F4FD"/>
    </w:rPr>
  </w:style>
  <w:style w:type="character" w:customStyle="1" w:styleId="44">
    <w:name w:val="hover1"/>
    <w:basedOn w:val="20"/>
    <w:qFormat/>
    <w:uiPriority w:val="0"/>
    <w:rPr>
      <w:color w:val="2590EB"/>
    </w:rPr>
  </w:style>
  <w:style w:type="character" w:customStyle="1" w:styleId="45">
    <w:name w:val="hover2"/>
    <w:basedOn w:val="20"/>
    <w:qFormat/>
    <w:uiPriority w:val="0"/>
    <w:rPr>
      <w:color w:val="2590EB"/>
      <w:shd w:val="clear" w:color="auto" w:fill="E9F4FD"/>
    </w:rPr>
  </w:style>
  <w:style w:type="character" w:customStyle="1" w:styleId="46">
    <w:name w:val="hover3"/>
    <w:basedOn w:val="20"/>
    <w:qFormat/>
    <w:uiPriority w:val="0"/>
    <w:rPr>
      <w:color w:val="2590EB"/>
    </w:rPr>
  </w:style>
  <w:style w:type="character" w:customStyle="1" w:styleId="47">
    <w:name w:val="laydate-disabled"/>
    <w:basedOn w:val="20"/>
    <w:qFormat/>
    <w:uiPriority w:val="0"/>
    <w:rPr>
      <w:color w:val="2590EB"/>
    </w:rPr>
  </w:style>
  <w:style w:type="character" w:customStyle="1" w:styleId="48">
    <w:name w:val="status"/>
    <w:basedOn w:val="20"/>
    <w:qFormat/>
    <w:uiPriority w:val="0"/>
    <w:rPr>
      <w:color w:val="0776DD"/>
    </w:rPr>
  </w:style>
  <w:style w:type="character" w:customStyle="1" w:styleId="49">
    <w:name w:val="time"/>
    <w:basedOn w:val="20"/>
    <w:qFormat/>
    <w:uiPriority w:val="0"/>
  </w:style>
  <w:style w:type="paragraph" w:styleId="50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1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2">
    <w:name w:val="样式 标题 3 + (中文) 黑体 小四 非加粗 段前: 7.8 磅 段后: 0 磅 行距: 固定值 20 磅"/>
    <w:basedOn w:val="4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3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54">
    <w:name w:val="font4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5">
    <w:name w:val="font3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E94E2-D4FA-45E0-BF63-1FF71ADC99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2170</Words>
  <Characters>2356</Characters>
  <Lines>92</Lines>
  <Paragraphs>80</Paragraphs>
  <TotalTime>4</TotalTime>
  <ScaleCrop>false</ScaleCrop>
  <LinksUpToDate>false</LinksUpToDate>
  <CharactersWithSpaces>2556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2026-05-13T06:50:00Z</dcterms:created>
  <dc:creator>姚洪兵</dc:creator>
  <cp:lastModifiedBy>HUAWEI</cp:lastModifiedBy>
  <dcterms:modified xsi:type="dcterms:W3CDTF">2026-08-04T01:04:49Z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eyJoZGlkIjoiMzEwNTM5NzYwMDRjMzkwZTVkZjY2ODkwMGIxNGU0OTUiLCJ1c2VySWQiOiI1NzU3NTk1NDcifQ==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766869CB23AE40F49B102F8FB2A5A577_13</vt:lpwstr>
  </property>
</Properties>
</file>