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8BA8E">
      <w:pPr>
        <w:autoSpaceDE w:val="0"/>
        <w:autoSpaceDN w:val="0"/>
        <w:adjustRightInd w:val="0"/>
        <w:spacing w:before="100" w:after="100"/>
        <w:jc w:val="center"/>
        <w:rPr>
          <w:rFonts w:hint="eastAsia" w:asciiTheme="minorEastAsia" w:hAnsiTheme="minorEastAsia" w:eastAsiaTheme="minorEastAsia" w:cstheme="minorEastAsia"/>
          <w:b/>
          <w:bCs/>
          <w:color w:val="auto"/>
          <w:sz w:val="48"/>
          <w:szCs w:val="4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48"/>
          <w:szCs w:val="48"/>
          <w:highlight w:val="none"/>
          <w:lang w:val="en-US" w:eastAsia="zh-CN"/>
        </w:rPr>
        <w:t>四川宏达股份有限公司</w:t>
      </w:r>
    </w:p>
    <w:p w14:paraId="3E5A19FE">
      <w:pPr>
        <w:autoSpaceDE w:val="0"/>
        <w:autoSpaceDN w:val="0"/>
        <w:adjustRightInd w:val="0"/>
        <w:spacing w:before="100" w:after="100"/>
        <w:jc w:val="center"/>
        <w:rPr>
          <w:rFonts w:hint="eastAsia" w:asciiTheme="minorEastAsia" w:hAnsiTheme="minorEastAsia" w:eastAsiaTheme="minorEastAsia" w:cstheme="minorEastAsia"/>
          <w:color w:val="auto"/>
          <w:sz w:val="84"/>
          <w:szCs w:val="84"/>
          <w:highlight w:val="none"/>
          <w:lang w:val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48"/>
          <w:szCs w:val="48"/>
          <w:highlight w:val="none"/>
          <w:lang w:val="en-US" w:eastAsia="zh-CN"/>
        </w:rPr>
        <w:t>磷化工分公司钒触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48"/>
          <w:szCs w:val="48"/>
        </w:rPr>
        <w:t>媒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48"/>
          <w:szCs w:val="48"/>
          <w:highlight w:val="none"/>
          <w:lang w:val="en-US" w:eastAsia="zh-CN"/>
        </w:rPr>
        <w:t>采购</w:t>
      </w:r>
    </w:p>
    <w:p w14:paraId="1FAE45D5">
      <w:pPr>
        <w:widowControl/>
        <w:jc w:val="both"/>
        <w:rPr>
          <w:rFonts w:hint="eastAsia" w:asciiTheme="minorEastAsia" w:hAnsiTheme="minorEastAsia" w:eastAsiaTheme="minorEastAsia"/>
          <w:b/>
          <w:kern w:val="0"/>
          <w:sz w:val="72"/>
          <w:szCs w:val="72"/>
          <w:highlight w:val="none"/>
        </w:rPr>
      </w:pPr>
    </w:p>
    <w:p w14:paraId="538E90AF">
      <w:pPr>
        <w:pStyle w:val="5"/>
        <w:rPr>
          <w:rFonts w:hint="eastAsia" w:asciiTheme="minorEastAsia" w:hAnsiTheme="minorEastAsia" w:eastAsiaTheme="minorEastAsia"/>
          <w:b/>
          <w:kern w:val="0"/>
          <w:sz w:val="72"/>
          <w:szCs w:val="72"/>
          <w:highlight w:val="none"/>
        </w:rPr>
      </w:pPr>
    </w:p>
    <w:p w14:paraId="33D068A5">
      <w:pPr>
        <w:pStyle w:val="11"/>
        <w:rPr>
          <w:rFonts w:hint="eastAsia" w:asciiTheme="minorEastAsia" w:hAnsiTheme="minorEastAsia" w:eastAsiaTheme="minorEastAsia"/>
          <w:b/>
          <w:kern w:val="0"/>
          <w:sz w:val="72"/>
          <w:szCs w:val="72"/>
          <w:highlight w:val="none"/>
        </w:rPr>
      </w:pPr>
    </w:p>
    <w:p w14:paraId="44917994">
      <w:pPr>
        <w:rPr>
          <w:rFonts w:hint="eastAsia"/>
          <w:highlight w:val="none"/>
        </w:rPr>
      </w:pPr>
    </w:p>
    <w:p w14:paraId="7C29320C">
      <w:pPr>
        <w:pStyle w:val="11"/>
        <w:rPr>
          <w:rFonts w:hint="eastAsia"/>
          <w:highlight w:val="none"/>
        </w:rPr>
      </w:pPr>
    </w:p>
    <w:p w14:paraId="789A982C">
      <w:pPr>
        <w:widowControl/>
        <w:jc w:val="center"/>
        <w:rPr>
          <w:rFonts w:asciiTheme="minorEastAsia" w:hAnsiTheme="minorEastAsia" w:eastAsiaTheme="minorEastAsia"/>
          <w:b/>
          <w:kern w:val="0"/>
          <w:sz w:val="72"/>
          <w:szCs w:val="72"/>
          <w:highlight w:val="none"/>
        </w:rPr>
      </w:pPr>
      <w:r>
        <w:rPr>
          <w:rFonts w:hint="eastAsia" w:asciiTheme="minorEastAsia" w:hAnsiTheme="minorEastAsia" w:eastAsiaTheme="minorEastAsia"/>
          <w:b/>
          <w:kern w:val="0"/>
          <w:sz w:val="72"/>
          <w:szCs w:val="72"/>
          <w:highlight w:val="none"/>
        </w:rPr>
        <w:t>比选文件</w:t>
      </w:r>
    </w:p>
    <w:p w14:paraId="14F67AD3">
      <w:pPr>
        <w:pStyle w:val="5"/>
        <w:jc w:val="center"/>
        <w:rPr>
          <w:rFonts w:hint="eastAsia" w:ascii="黑体" w:hAnsi="黑体" w:eastAsia="黑体" w:cs="宋体"/>
          <w:b/>
          <w:color w:val="auto"/>
          <w:kern w:val="0"/>
          <w:sz w:val="32"/>
          <w:szCs w:val="32"/>
          <w:lang w:val="en-US" w:eastAsia="zh-CN"/>
        </w:rPr>
      </w:pPr>
    </w:p>
    <w:p w14:paraId="4C7901ED">
      <w:pPr>
        <w:pStyle w:val="5"/>
        <w:jc w:val="center"/>
        <w:rPr>
          <w:rFonts w:hint="default"/>
          <w:color w:val="auto"/>
          <w:lang w:val="en-US" w:eastAsia="zh-CN"/>
        </w:rPr>
      </w:pPr>
      <w:r>
        <w:rPr>
          <w:rFonts w:hint="eastAsia" w:ascii="黑体" w:hAnsi="黑体" w:eastAsia="黑体" w:cs="宋体"/>
          <w:b/>
          <w:color w:val="auto"/>
          <w:kern w:val="0"/>
          <w:sz w:val="32"/>
          <w:szCs w:val="32"/>
          <w:lang w:val="en-US" w:eastAsia="zh-CN"/>
        </w:rPr>
        <w:t>编号：SFLHG-GKBX-2026-HW86</w:t>
      </w:r>
    </w:p>
    <w:p w14:paraId="28B86A66">
      <w:pPr>
        <w:autoSpaceDE w:val="0"/>
        <w:autoSpaceDN w:val="0"/>
        <w:adjustRightInd w:val="0"/>
        <w:spacing w:line="360" w:lineRule="auto"/>
        <w:jc w:val="center"/>
        <w:rPr>
          <w:rFonts w:asciiTheme="minorEastAsia" w:hAnsiTheme="minorEastAsia" w:eastAsiaTheme="minorEastAsia"/>
          <w:sz w:val="48"/>
          <w:szCs w:val="48"/>
          <w:highlight w:val="none"/>
          <w:lang w:val="zh-CN"/>
        </w:rPr>
      </w:pPr>
    </w:p>
    <w:p w14:paraId="21DDDD66">
      <w:pPr>
        <w:autoSpaceDE w:val="0"/>
        <w:autoSpaceDN w:val="0"/>
        <w:adjustRightInd w:val="0"/>
        <w:spacing w:line="360" w:lineRule="auto"/>
        <w:rPr>
          <w:rFonts w:cs="黑体" w:asciiTheme="minorEastAsia" w:hAnsiTheme="minorEastAsia" w:eastAsiaTheme="minorEastAsia"/>
          <w:highlight w:val="none"/>
          <w:lang w:val="zh-CN"/>
        </w:rPr>
      </w:pPr>
    </w:p>
    <w:p w14:paraId="43784FA0">
      <w:pPr>
        <w:jc w:val="center"/>
        <w:rPr>
          <w:rFonts w:cs="黑体" w:asciiTheme="minorEastAsia" w:hAnsiTheme="minorEastAsia" w:eastAsiaTheme="minorEastAsia"/>
          <w:highlight w:val="none"/>
          <w:lang w:val="zh-CN"/>
        </w:rPr>
      </w:pPr>
    </w:p>
    <w:p w14:paraId="205AB8C1">
      <w:pPr>
        <w:jc w:val="center"/>
        <w:rPr>
          <w:rFonts w:cs="黑体" w:asciiTheme="minorEastAsia" w:hAnsiTheme="minorEastAsia" w:eastAsiaTheme="minorEastAsia"/>
          <w:highlight w:val="none"/>
          <w:lang w:val="zh-CN"/>
        </w:rPr>
      </w:pPr>
    </w:p>
    <w:p w14:paraId="6D5AE92C">
      <w:pPr>
        <w:jc w:val="center"/>
        <w:rPr>
          <w:rFonts w:cs="黑体" w:asciiTheme="minorEastAsia" w:hAnsiTheme="minorEastAsia" w:eastAsiaTheme="minorEastAsia"/>
          <w:highlight w:val="none"/>
          <w:lang w:val="zh-CN"/>
        </w:rPr>
      </w:pPr>
    </w:p>
    <w:p w14:paraId="0AD65B3A">
      <w:pPr>
        <w:jc w:val="center"/>
        <w:rPr>
          <w:rFonts w:cs="黑体" w:asciiTheme="minorEastAsia" w:hAnsiTheme="minorEastAsia" w:eastAsiaTheme="minorEastAsia"/>
          <w:highlight w:val="none"/>
          <w:lang w:val="zh-CN"/>
        </w:rPr>
      </w:pPr>
    </w:p>
    <w:p w14:paraId="40735AE9">
      <w:pPr>
        <w:jc w:val="center"/>
        <w:rPr>
          <w:rFonts w:cs="黑体" w:asciiTheme="minorEastAsia" w:hAnsiTheme="minorEastAsia" w:eastAsiaTheme="minorEastAsia"/>
          <w:highlight w:val="none"/>
          <w:lang w:val="zh-CN"/>
        </w:rPr>
      </w:pPr>
    </w:p>
    <w:p w14:paraId="39575830">
      <w:pPr>
        <w:spacing w:line="600" w:lineRule="auto"/>
        <w:ind w:firstLine="2127" w:firstLineChars="709"/>
        <w:rPr>
          <w:rFonts w:hint="eastAsia" w:asciiTheme="minorEastAsia" w:hAnsiTheme="minorEastAsia" w:eastAsiaTheme="minorEastAsia"/>
          <w:sz w:val="30"/>
          <w:szCs w:val="30"/>
          <w:highlight w:val="none"/>
          <w:lang w:eastAsia="zh-CN"/>
        </w:rPr>
      </w:pPr>
    </w:p>
    <w:p w14:paraId="709DC4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1050" w:leftChars="500" w:right="1050" w:rightChars="500" w:firstLine="0" w:firstLineChars="0"/>
        <w:jc w:val="center"/>
        <w:textAlignment w:val="auto"/>
        <w:rPr>
          <w:rFonts w:hint="default" w:asciiTheme="minorEastAsia" w:hAnsiTheme="minorEastAsia" w:eastAsiaTheme="minorEastAsia"/>
          <w:b/>
          <w:bCs/>
          <w:color w:val="FF0000"/>
          <w:sz w:val="30"/>
          <w:szCs w:val="30"/>
          <w:highlight w:val="none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b/>
          <w:bCs/>
          <w:sz w:val="30"/>
          <w:szCs w:val="30"/>
          <w:highlight w:val="none"/>
          <w:lang w:eastAsia="zh-CN"/>
        </w:rPr>
        <w:t>比选人</w:t>
      </w:r>
      <w:r>
        <w:rPr>
          <w:rFonts w:hint="eastAsia" w:asciiTheme="minorEastAsia" w:hAnsiTheme="minorEastAsia" w:eastAsiaTheme="minorEastAsia"/>
          <w:b/>
          <w:bCs/>
          <w:color w:val="auto"/>
          <w:sz w:val="30"/>
          <w:szCs w:val="30"/>
          <w:highlight w:val="none"/>
        </w:rPr>
        <w:t>：</w:t>
      </w:r>
      <w:r>
        <w:rPr>
          <w:rFonts w:hint="eastAsia" w:asciiTheme="minorEastAsia" w:hAnsiTheme="minorEastAsia" w:eastAsiaTheme="minorEastAsia"/>
          <w:b/>
          <w:bCs/>
          <w:color w:val="auto"/>
          <w:sz w:val="30"/>
          <w:szCs w:val="30"/>
          <w:highlight w:val="none"/>
          <w:u w:val="single"/>
          <w:lang w:val="en-US" w:eastAsia="zh-CN"/>
        </w:rPr>
        <w:t>四川宏达股份有限公司</w:t>
      </w:r>
    </w:p>
    <w:p w14:paraId="68FB60FA">
      <w:pPr>
        <w:autoSpaceDE w:val="0"/>
        <w:autoSpaceDN w:val="0"/>
        <w:adjustRightInd w:val="0"/>
        <w:spacing w:line="480" w:lineRule="auto"/>
        <w:jc w:val="center"/>
        <w:rPr>
          <w:rFonts w:hint="default" w:asciiTheme="minorEastAsia" w:hAnsiTheme="minorEastAsia" w:eastAsiaTheme="minorEastAsia"/>
          <w:b/>
          <w:sz w:val="30"/>
          <w:szCs w:val="30"/>
          <w:highlight w:val="none"/>
          <w:lang w:val="en-US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cs="黑体" w:asciiTheme="minorEastAsia" w:hAnsiTheme="minorEastAsia" w:eastAsiaTheme="minorEastAsia"/>
          <w:b/>
          <w:bCs/>
          <w:sz w:val="30"/>
          <w:szCs w:val="30"/>
          <w:highlight w:val="none"/>
          <w:lang w:val="zh-CN"/>
        </w:rPr>
        <w:t>20</w:t>
      </w:r>
      <w:r>
        <w:rPr>
          <w:rFonts w:hint="eastAsia" w:cs="黑体" w:asciiTheme="minorEastAsia" w:hAnsiTheme="minorEastAsia" w:eastAsiaTheme="minorEastAsia"/>
          <w:b/>
          <w:bCs/>
          <w:sz w:val="30"/>
          <w:szCs w:val="30"/>
          <w:highlight w:val="none"/>
          <w:lang w:val="en-US" w:eastAsia="zh-CN"/>
        </w:rPr>
        <w:t>2</w:t>
      </w:r>
      <w:r>
        <w:rPr>
          <w:rFonts w:hint="eastAsia" w:cs="黑体" w:asciiTheme="minorEastAsia" w:hAnsiTheme="minorEastAsia"/>
          <w:b/>
          <w:bCs/>
          <w:sz w:val="30"/>
          <w:szCs w:val="30"/>
          <w:highlight w:val="none"/>
          <w:lang w:val="en-US" w:eastAsia="zh-CN"/>
        </w:rPr>
        <w:t>6</w:t>
      </w:r>
      <w:r>
        <w:rPr>
          <w:rFonts w:hint="eastAsia" w:cs="黑体" w:asciiTheme="minorEastAsia" w:hAnsiTheme="minorEastAsia" w:eastAsiaTheme="minorEastAsia"/>
          <w:b/>
          <w:bCs/>
          <w:sz w:val="30"/>
          <w:szCs w:val="30"/>
          <w:highlight w:val="none"/>
          <w:lang w:val="zh-CN"/>
        </w:rPr>
        <w:t>年</w:t>
      </w:r>
      <w:r>
        <w:rPr>
          <w:rFonts w:hint="eastAsia" w:cs="黑体" w:asciiTheme="minorEastAsia" w:hAnsiTheme="minorEastAsia"/>
          <w:b/>
          <w:bCs/>
          <w:sz w:val="30"/>
          <w:szCs w:val="30"/>
          <w:highlight w:val="none"/>
          <w:lang w:val="en-US" w:eastAsia="zh-CN"/>
        </w:rPr>
        <w:t>7</w:t>
      </w:r>
      <w:r>
        <w:rPr>
          <w:rFonts w:hint="eastAsia" w:cs="黑体" w:asciiTheme="minorEastAsia" w:hAnsiTheme="minorEastAsia" w:eastAsiaTheme="minorEastAsia"/>
          <w:b/>
          <w:bCs/>
          <w:sz w:val="30"/>
          <w:szCs w:val="30"/>
          <w:highlight w:val="none"/>
          <w:lang w:val="en-US" w:eastAsia="zh-CN"/>
        </w:rPr>
        <w:t>月</w:t>
      </w:r>
      <w:r>
        <w:rPr>
          <w:rFonts w:hint="eastAsia" w:cs="黑体" w:asciiTheme="minorEastAsia" w:hAnsiTheme="minorEastAsia"/>
          <w:b/>
          <w:bCs/>
          <w:sz w:val="30"/>
          <w:szCs w:val="30"/>
          <w:highlight w:val="none"/>
          <w:lang w:val="en-US" w:eastAsia="zh-CN"/>
        </w:rPr>
        <w:t>23</w:t>
      </w:r>
      <w:r>
        <w:rPr>
          <w:rFonts w:hint="eastAsia" w:cs="黑体" w:asciiTheme="minorEastAsia" w:hAnsiTheme="minorEastAsia" w:eastAsiaTheme="minorEastAsia"/>
          <w:b/>
          <w:bCs/>
          <w:sz w:val="30"/>
          <w:szCs w:val="30"/>
          <w:highlight w:val="none"/>
          <w:lang w:val="en-US" w:eastAsia="zh-CN"/>
        </w:rPr>
        <w:t>日</w:t>
      </w:r>
    </w:p>
    <w:p w14:paraId="2E01371C">
      <w:pPr>
        <w:widowControl/>
        <w:shd w:val="clear" w:color="auto" w:fill="FFFFFF"/>
        <w:spacing w:line="400" w:lineRule="exact"/>
        <w:ind w:firstLine="371"/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四川宏达股份有限公司</w:t>
      </w:r>
    </w:p>
    <w:p w14:paraId="3C2905FA">
      <w:pPr>
        <w:jc w:val="center"/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Segoe UI"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Segoe UI"/>
          <w:color w:val="000000"/>
          <w:kern w:val="0"/>
          <w:sz w:val="32"/>
          <w:szCs w:val="32"/>
        </w:rPr>
        <w:t>钒触媒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采购比选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文件</w:t>
      </w:r>
    </w:p>
    <w:p w14:paraId="5E5A2EAF">
      <w:pPr>
        <w:pStyle w:val="5"/>
        <w:jc w:val="center"/>
        <w:rPr>
          <w:rFonts w:hint="default"/>
          <w:color w:val="auto"/>
          <w:lang w:val="en-US" w:eastAsia="zh-CN"/>
        </w:rPr>
      </w:pP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 w:cs="宋体"/>
          <w:b/>
          <w:color w:val="auto"/>
          <w:kern w:val="0"/>
          <w:sz w:val="28"/>
          <w:szCs w:val="28"/>
          <w:lang w:val="en-US" w:eastAsia="zh-CN"/>
        </w:rPr>
        <w:t xml:space="preserve">                      编号：</w:t>
      </w:r>
      <w:r>
        <w:rPr>
          <w:rFonts w:hint="eastAsia" w:ascii="黑体" w:hAnsi="黑体" w:eastAsia="黑体" w:cs="宋体"/>
          <w:b/>
          <w:color w:val="auto"/>
          <w:kern w:val="0"/>
          <w:sz w:val="32"/>
          <w:szCs w:val="32"/>
          <w:lang w:val="en-US" w:eastAsia="zh-CN"/>
        </w:rPr>
        <w:t>SFLHG-GKBX-2026-HW86</w:t>
      </w:r>
    </w:p>
    <w:p w14:paraId="23CFBEF3">
      <w:pPr>
        <w:spacing w:line="360" w:lineRule="exact"/>
        <w:rPr>
          <w:rFonts w:ascii="黑体" w:hAnsi="黑体" w:eastAsia="黑体" w:cs="Times New Roman"/>
          <w:b/>
          <w:sz w:val="28"/>
          <w:szCs w:val="28"/>
        </w:rPr>
      </w:pPr>
      <w:r>
        <w:rPr>
          <w:rFonts w:hint="eastAsia" w:ascii="黑体" w:hAnsi="黑体" w:eastAsia="黑体" w:cs="Times New Roman"/>
          <w:b/>
          <w:sz w:val="28"/>
          <w:szCs w:val="28"/>
        </w:rPr>
        <w:t>各单位：</w:t>
      </w:r>
    </w:p>
    <w:p w14:paraId="7A46EC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560" w:firstLineChars="200"/>
        <w:textAlignment w:val="auto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四川宏达股份有限公司什邡磷化工分公司因生产需要需采购</w:t>
      </w:r>
      <w:r>
        <w:rPr>
          <w:rFonts w:hint="eastAsia" w:ascii="黑体" w:hAnsi="黑体" w:eastAsia="黑体" w:cs="Segoe UI"/>
          <w:color w:val="000000"/>
          <w:kern w:val="0"/>
          <w:sz w:val="28"/>
          <w:szCs w:val="28"/>
        </w:rPr>
        <w:t>钒触媒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，</w:t>
      </w:r>
      <w:r>
        <w:rPr>
          <w:rFonts w:hint="eastAsia" w:ascii="黑体" w:hAnsi="黑体" w:eastAsia="黑体" w:cs="宋体"/>
          <w:kern w:val="0"/>
          <w:sz w:val="28"/>
          <w:szCs w:val="28"/>
        </w:rPr>
        <w:t>本着“公开、公平、公正”的原则，现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对</w:t>
      </w:r>
      <w:r>
        <w:rPr>
          <w:rFonts w:hint="eastAsia" w:ascii="黑体" w:hAnsi="黑体" w:eastAsia="黑体" w:cs="Segoe UI"/>
          <w:color w:val="000000"/>
          <w:kern w:val="0"/>
          <w:sz w:val="28"/>
          <w:szCs w:val="28"/>
        </w:rPr>
        <w:t>钒触媒</w:t>
      </w:r>
      <w:r>
        <w:rPr>
          <w:rFonts w:hint="eastAsia" w:ascii="黑体" w:hAnsi="黑体" w:eastAsia="黑体" w:cs="宋体"/>
          <w:kern w:val="0"/>
          <w:sz w:val="28"/>
          <w:szCs w:val="28"/>
        </w:rPr>
        <w:t>进行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公开比选</w:t>
      </w:r>
      <w:r>
        <w:rPr>
          <w:rFonts w:hint="eastAsia" w:ascii="黑体" w:hAnsi="黑体" w:eastAsia="黑体" w:cs="宋体"/>
          <w:kern w:val="0"/>
          <w:sz w:val="28"/>
          <w:szCs w:val="28"/>
        </w:rPr>
        <w:t>。欢迎贵公司前来报价，现将相关事项公告如下：</w:t>
      </w:r>
    </w:p>
    <w:p w14:paraId="1E9CD92D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exact"/>
        <w:textAlignment w:val="auto"/>
        <w:rPr>
          <w:rFonts w:ascii="黑体" w:hAnsi="黑体" w:eastAsia="黑体" w:cs="Segoe U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一、</w:t>
      </w:r>
      <w:r>
        <w:rPr>
          <w:rFonts w:hint="eastAsia" w:ascii="黑体" w:hAnsi="黑体" w:eastAsia="黑体" w:cs="宋体"/>
          <w:kern w:val="0"/>
          <w:sz w:val="28"/>
          <w:szCs w:val="28"/>
        </w:rPr>
        <w:t>标的物：</w:t>
      </w:r>
      <w:r>
        <w:rPr>
          <w:rFonts w:hint="eastAsia" w:ascii="黑体" w:hAnsi="黑体" w:eastAsia="黑体" w:cs="Segoe U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钒触媒S101梅花状高效催化剂 </w:t>
      </w:r>
      <w:r>
        <w:rPr>
          <w:rFonts w:hint="eastAsia" w:ascii="黑体" w:hAnsi="黑体" w:eastAsia="黑体" w:cs="Segoe UI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25</w:t>
      </w:r>
      <w:r>
        <w:rPr>
          <w:rFonts w:ascii="黑体" w:hAnsi="黑体" w:eastAsia="黑体" w:cs="Segoe U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吨</w:t>
      </w:r>
      <w:r>
        <w:rPr>
          <w:rFonts w:hint="eastAsia" w:ascii="黑体" w:hAnsi="黑体" w:eastAsia="黑体" w:cs="Segoe U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110F2859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exact"/>
        <w:ind w:firstLine="1680" w:firstLineChars="600"/>
        <w:textAlignment w:val="auto"/>
        <w:rPr>
          <w:rFonts w:hint="default" w:ascii="黑体" w:hAnsi="黑体" w:eastAsia="黑体" w:cs="宋体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Segoe U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钒触媒S108梅花状高效催化剂</w:t>
      </w:r>
      <w:r>
        <w:rPr>
          <w:rFonts w:hint="eastAsia" w:ascii="黑体" w:hAnsi="黑体" w:eastAsia="黑体" w:cs="Segoe UI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ascii="黑体" w:hAnsi="黑体" w:eastAsia="黑体" w:cs="Segoe U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吨</w:t>
      </w:r>
      <w:r>
        <w:rPr>
          <w:rFonts w:hint="eastAsia" w:ascii="黑体" w:hAnsi="黑体" w:eastAsia="黑体" w:cs="Segoe U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3189E22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exact"/>
        <w:textAlignment w:val="auto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二、比选人：四川宏达股份有限公司  </w:t>
      </w:r>
    </w:p>
    <w:p w14:paraId="67EB3B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textAlignment w:val="auto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三、具体内容及要求：</w:t>
      </w:r>
    </w:p>
    <w:p w14:paraId="78BA9BEF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exact"/>
        <w:textAlignment w:val="auto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1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黑体"/>
          <w:sz w:val="28"/>
          <w:szCs w:val="28"/>
        </w:rPr>
        <w:t>标的物工艺条件及技术要求：</w:t>
      </w:r>
    </w:p>
    <w:p w14:paraId="438CC6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①</w:t>
      </w:r>
      <w:r>
        <w:rPr>
          <w:rFonts w:hint="eastAsia" w:ascii="黑体" w:hAnsi="黑体" w:eastAsia="黑体" w:cs="黑体"/>
          <w:sz w:val="28"/>
          <w:szCs w:val="28"/>
        </w:rPr>
        <w:t>工艺条件</w:t>
      </w:r>
    </w:p>
    <w:p w14:paraId="30B126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ind w:firstLine="280" w:firstLineChars="100"/>
        <w:textAlignment w:val="auto"/>
        <w:rPr>
          <w:rFonts w:hint="eastAsia" w:ascii="黑体" w:hAnsi="黑体" w:eastAsia="黑体" w:cs="黑体"/>
          <w:kern w:val="0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附件：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 w:bidi="ar-SA"/>
        </w:rPr>
        <w:t xml:space="preserve">（供货时，一并提供该批次产品的第三方（持有检测资质单位）出具的检测数据报告）。 </w:t>
      </w:r>
    </w:p>
    <w:p w14:paraId="46071863">
      <w:pPr>
        <w:pStyle w:val="3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0" w:firstLineChars="0"/>
        <w:textAlignment w:val="auto"/>
        <w:rPr>
          <w:rFonts w:hint="eastAsia" w:ascii="黑体" w:hAnsi="黑体" w:eastAsia="黑体" w:cs="黑体"/>
          <w:kern w:val="0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0"/>
          <w:sz w:val="28"/>
          <w:szCs w:val="28"/>
          <w:lang w:val="en-US" w:eastAsia="zh-CN" w:bidi="ar-SA"/>
        </w:rPr>
        <w:t>钒触媒S101/S108除满足行业标准HG/T2086-2013基本技术要求外，还需满足下列特殊技术参数要求：</w:t>
      </w:r>
    </w:p>
    <w:tbl>
      <w:tblPr>
        <w:tblStyle w:val="17"/>
        <w:tblW w:w="9928" w:type="dxa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8"/>
        <w:gridCol w:w="2664"/>
        <w:gridCol w:w="2688"/>
        <w:gridCol w:w="2448"/>
      </w:tblGrid>
      <w:tr w14:paraId="5B876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47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A49323">
            <w:pPr>
              <w:pStyle w:val="35"/>
              <w:ind w:firstLine="560"/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  <w:t>型号</w:t>
            </w:r>
          </w:p>
        </w:tc>
        <w:tc>
          <w:tcPr>
            <w:tcW w:w="26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37002D">
            <w:pPr>
              <w:pStyle w:val="35"/>
              <w:ind w:firstLine="560"/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  <w:t>S101高效催化剂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18EF3F">
            <w:pPr>
              <w:pStyle w:val="35"/>
              <w:ind w:firstLine="0" w:firstLineChars="0"/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  <w:t>S108高效催化剂</w:t>
            </w:r>
          </w:p>
        </w:tc>
      </w:tr>
      <w:tr w14:paraId="2F4418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212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680C6">
            <w:pPr>
              <w:pStyle w:val="35"/>
              <w:ind w:firstLine="0" w:firstLineChars="0"/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  <w:t>外观形状</w:t>
            </w:r>
          </w:p>
        </w:tc>
        <w:tc>
          <w:tcPr>
            <w:tcW w:w="2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A04210">
            <w:pPr>
              <w:pStyle w:val="35"/>
              <w:ind w:firstLine="560"/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  <w:t>形状</w:t>
            </w:r>
          </w:p>
        </w:tc>
        <w:tc>
          <w:tcPr>
            <w:tcW w:w="26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5D5950">
            <w:pPr>
              <w:pStyle w:val="35"/>
              <w:ind w:firstLine="560"/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  <w:t>梅花状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BF10D5">
            <w:pPr>
              <w:pStyle w:val="35"/>
              <w:ind w:firstLine="560"/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  <w:t>梅花状</w:t>
            </w:r>
          </w:p>
        </w:tc>
      </w:tr>
      <w:tr w14:paraId="3394DA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21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577D5">
            <w:pPr>
              <w:pStyle w:val="35"/>
              <w:ind w:firstLine="560"/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BED1D1">
            <w:pPr>
              <w:pStyle w:val="35"/>
              <w:ind w:firstLine="560"/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  <w:t>颜色</w:t>
            </w:r>
          </w:p>
        </w:tc>
        <w:tc>
          <w:tcPr>
            <w:tcW w:w="26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161F9">
            <w:pPr>
              <w:pStyle w:val="35"/>
              <w:ind w:firstLine="560"/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  <w:t>淡黄、橘黄或黄色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C4A057">
            <w:pPr>
              <w:pStyle w:val="35"/>
              <w:ind w:firstLine="0" w:firstLineChars="0"/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  <w:t>淡黄、橘黄或黄色</w:t>
            </w:r>
          </w:p>
        </w:tc>
      </w:tr>
      <w:tr w14:paraId="3ED9A8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479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CBDA3">
            <w:pPr>
              <w:pStyle w:val="35"/>
              <w:ind w:firstLine="0" w:firstLineChars="0"/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  <w:t>活性（以耐热后二氧化硫转化率计）/%</w:t>
            </w: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C67B42">
            <w:pPr>
              <w:pStyle w:val="35"/>
              <w:ind w:firstLine="560"/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  <w:t>485℃：≥88%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12D64">
            <w:pPr>
              <w:pStyle w:val="35"/>
              <w:ind w:firstLine="560"/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  <w:t>410℃：≥45%</w:t>
            </w:r>
          </w:p>
        </w:tc>
      </w:tr>
      <w:tr w14:paraId="46499A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212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7F753">
            <w:pPr>
              <w:pStyle w:val="35"/>
              <w:ind w:firstLine="0" w:firstLineChars="0"/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  <w:t>化   学成分</w:t>
            </w:r>
          </w:p>
        </w:tc>
        <w:tc>
          <w:tcPr>
            <w:tcW w:w="2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FB3D45">
            <w:pPr>
              <w:pStyle w:val="35"/>
              <w:ind w:firstLine="560"/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  <w:t>V2O5%</w:t>
            </w: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1E8686">
            <w:pPr>
              <w:pStyle w:val="35"/>
              <w:ind w:firstLine="560"/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  <w:t>≥7.5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DFCBC7">
            <w:pPr>
              <w:pStyle w:val="35"/>
              <w:ind w:firstLine="560"/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  <w:t>≥6.3</w:t>
            </w:r>
          </w:p>
        </w:tc>
      </w:tr>
      <w:tr w14:paraId="472529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21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B656C">
            <w:pPr>
              <w:pStyle w:val="35"/>
              <w:ind w:firstLine="560"/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97D58">
            <w:pPr>
              <w:pStyle w:val="35"/>
              <w:ind w:firstLine="560"/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  <w:t>K2SO4%</w:t>
            </w: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4304DF">
            <w:pPr>
              <w:pStyle w:val="35"/>
              <w:ind w:firstLine="560"/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  <w:t>18.5-25.0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3CCA4D">
            <w:pPr>
              <w:pStyle w:val="35"/>
              <w:ind w:firstLine="560"/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  <w:t>17.0-21.0</w:t>
            </w:r>
          </w:p>
        </w:tc>
      </w:tr>
      <w:tr w14:paraId="45A7F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21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BF941">
            <w:pPr>
              <w:pStyle w:val="35"/>
              <w:ind w:firstLine="560"/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0C32C7">
            <w:pPr>
              <w:pStyle w:val="35"/>
              <w:ind w:firstLine="0" w:firstLineChars="0"/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  <w:t>硅藻土（SiO2%）</w:t>
            </w: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FF8C17">
            <w:pPr>
              <w:pStyle w:val="35"/>
              <w:ind w:firstLine="560"/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  <w:t>58-65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939741">
            <w:pPr>
              <w:pStyle w:val="35"/>
              <w:ind w:firstLine="560"/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  <w:t>55-62</w:t>
            </w:r>
          </w:p>
        </w:tc>
      </w:tr>
      <w:tr w14:paraId="65A634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1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5C904">
            <w:pPr>
              <w:pStyle w:val="35"/>
              <w:ind w:firstLine="560"/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A8D195">
            <w:pPr>
              <w:pStyle w:val="35"/>
              <w:ind w:firstLine="0" w:firstLineChars="0"/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  <w:t>烧失重（800℃，1.5h）%</w:t>
            </w: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5A5CED">
            <w:pPr>
              <w:pStyle w:val="35"/>
              <w:ind w:firstLine="560"/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  <w:t>≤5.0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E13FF5">
            <w:pPr>
              <w:pStyle w:val="35"/>
              <w:ind w:firstLine="560"/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  <w:t>≤5.0</w:t>
            </w:r>
          </w:p>
        </w:tc>
      </w:tr>
      <w:tr w14:paraId="489C3A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21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4BD0F">
            <w:pPr>
              <w:pStyle w:val="35"/>
              <w:ind w:firstLine="0" w:firstLineChars="0"/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  <w:t>物理性能</w:t>
            </w:r>
          </w:p>
        </w:tc>
        <w:tc>
          <w:tcPr>
            <w:tcW w:w="2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52E19B">
            <w:pPr>
              <w:pStyle w:val="35"/>
              <w:ind w:firstLine="0" w:firstLineChars="0"/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  <w:t>堆密度，Kg/L</w:t>
            </w:r>
          </w:p>
        </w:tc>
        <w:tc>
          <w:tcPr>
            <w:tcW w:w="26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E9DCB8">
            <w:pPr>
              <w:pStyle w:val="35"/>
              <w:ind w:firstLine="560"/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  <w:t>≤0.44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646405">
            <w:pPr>
              <w:pStyle w:val="35"/>
              <w:ind w:firstLine="560"/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4E5463"/>
                <w:sz w:val="24"/>
                <w:szCs w:val="24"/>
              </w:rPr>
              <w:t>≤0.45</w:t>
            </w:r>
          </w:p>
        </w:tc>
      </w:tr>
    </w:tbl>
    <w:p w14:paraId="5BD268B9">
      <w:pPr>
        <w:spacing w:line="360" w:lineRule="exact"/>
        <w:rPr>
          <w:rFonts w:hint="eastAsia"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4"/>
          <w:szCs w:val="24"/>
        </w:rPr>
        <w:t xml:space="preserve"> </w:t>
      </w:r>
    </w:p>
    <w:p w14:paraId="1B3541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exact"/>
        <w:textAlignment w:val="auto"/>
        <w:rPr>
          <w:rFonts w:hint="eastAsia"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②</w:t>
      </w:r>
      <w:r>
        <w:rPr>
          <w:rFonts w:hint="eastAsia" w:ascii="黑体" w:hAnsi="黑体" w:eastAsia="黑体" w:cs="宋体"/>
          <w:kern w:val="0"/>
          <w:sz w:val="28"/>
          <w:szCs w:val="28"/>
        </w:rPr>
        <w:t>技术要求：</w:t>
      </w:r>
    </w:p>
    <w:p w14:paraId="61C874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exact"/>
        <w:textAlignment w:val="auto"/>
        <w:rPr>
          <w:rFonts w:hint="eastAsia"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钒触媒的化学成分、力学性能、尺寸偏差等产品质量应符合HG/T 2086—2013《硫酸生产用钒催化剂》 中相关要求，还需满足买方招标文件技术参数要求，买方按该标准进行验收。</w:t>
      </w:r>
    </w:p>
    <w:p w14:paraId="009329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exact"/>
        <w:textAlignment w:val="auto"/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2.交货</w:t>
      </w:r>
      <w:r>
        <w:rPr>
          <w:rFonts w:hint="eastAsia" w:ascii="黑体" w:hAnsi="黑体" w:eastAsia="黑体" w:cs="宋体"/>
          <w:kern w:val="0"/>
          <w:sz w:val="28"/>
          <w:szCs w:val="28"/>
        </w:rPr>
        <w:t>地点：四川宏达股份有限公司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洛水镇</w:t>
      </w:r>
    </w:p>
    <w:p w14:paraId="65D426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exact"/>
        <w:textAlignment w:val="auto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3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宋体"/>
          <w:kern w:val="0"/>
          <w:sz w:val="28"/>
          <w:szCs w:val="28"/>
        </w:rPr>
        <w:t>交货期：</w:t>
      </w:r>
      <w:r>
        <w:rPr>
          <w:rFonts w:hint="eastAsia" w:ascii="黑体" w:hAnsi="黑体" w:eastAsia="黑体" w:cs="Times New Roman"/>
          <w:sz w:val="28"/>
          <w:szCs w:val="28"/>
        </w:rPr>
        <w:t>合同生效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后以招标人通知时间送货（约10月上旬）</w:t>
      </w:r>
      <w:r>
        <w:rPr>
          <w:rFonts w:hint="eastAsia" w:ascii="黑体" w:hAnsi="黑体" w:eastAsia="黑体" w:cs="宋体"/>
          <w:kern w:val="1"/>
          <w:sz w:val="28"/>
          <w:szCs w:val="28"/>
        </w:rPr>
        <w:t>。</w:t>
      </w:r>
    </w:p>
    <w:p w14:paraId="318C94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exact"/>
        <w:textAlignment w:val="auto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4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付款方式及发票： </w:t>
      </w:r>
    </w:p>
    <w:p w14:paraId="506037F6">
      <w:pPr>
        <w:pStyle w:val="1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黑体" w:hAnsi="黑体" w:eastAsia="黑体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①</w:t>
      </w:r>
      <w:r>
        <w:rPr>
          <w:rFonts w:hint="eastAsia" w:ascii="黑体" w:hAnsi="黑体" w:eastAsia="黑体" w:cs="Segoe UI"/>
          <w:kern w:val="0"/>
          <w:sz w:val="28"/>
          <w:szCs w:val="28"/>
        </w:rPr>
        <w:t>付款方式</w:t>
      </w:r>
      <w:r>
        <w:rPr>
          <w:rFonts w:hint="eastAsia" w:ascii="黑体" w:hAnsi="黑体" w:eastAsia="黑体" w:cs="Segoe UI"/>
          <w:kern w:val="0"/>
          <w:sz w:val="28"/>
          <w:szCs w:val="28"/>
          <w:lang w:eastAsia="zh-CN"/>
        </w:rPr>
        <w:t>：</w:t>
      </w:r>
      <w:r>
        <w:rPr>
          <w:rFonts w:hint="eastAsia" w:ascii="黑体" w:hAnsi="黑体" w:eastAsia="黑体" w:cs="Segoe U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以现汇或者银行电子承兑支付。合同签订后招标方向中标方预付合同总金额的30%，货到招标方验收合格，中标方出具全额增值税专用发票后，招标方支付合同总金额的6</w:t>
      </w:r>
      <w:r>
        <w:rPr>
          <w:rFonts w:ascii="黑体" w:hAnsi="黑体" w:eastAsia="黑体" w:cs="Segoe U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黑体" w:hAnsi="黑体" w:eastAsia="黑体" w:cs="Segoe U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%，余1</w:t>
      </w:r>
      <w:r>
        <w:rPr>
          <w:rFonts w:ascii="黑体" w:hAnsi="黑体" w:eastAsia="黑体" w:cs="Segoe U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黑体" w:hAnsi="黑体" w:eastAsia="黑体" w:cs="Segoe U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%质保金待质保期满且无质量异议后支付。</w:t>
      </w:r>
      <w:r>
        <w:rPr>
          <w:rFonts w:hint="eastAsia" w:ascii="黑体" w:hAnsi="黑体" w:eastAsia="黑体" w:cs="Segoe UI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黑体" w:hAnsi="黑体" w:eastAsia="黑体" w:cs="Segoe UI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投标人不响应在报价单另说明，不影响响应评审</w:t>
      </w:r>
      <w:r>
        <w:rPr>
          <w:rFonts w:hint="eastAsia" w:ascii="黑体" w:hAnsi="黑体" w:eastAsia="黑体" w:cs="Segoe UI"/>
          <w:b/>
          <w:bCs/>
          <w:color w:val="4E5463"/>
          <w:sz w:val="28"/>
          <w:szCs w:val="28"/>
        </w:rPr>
        <w:t>）</w:t>
      </w:r>
      <w:r>
        <w:rPr>
          <w:rFonts w:hint="eastAsia" w:ascii="黑体" w:hAnsi="黑体" w:eastAsia="黑体" w:cs="Segoe UI"/>
          <w:b/>
          <w:bCs/>
          <w:color w:val="4E5463"/>
          <w:sz w:val="28"/>
          <w:szCs w:val="28"/>
          <w:lang w:val="en-US" w:eastAsia="zh-CN"/>
        </w:rPr>
        <w:t>。</w:t>
      </w:r>
    </w:p>
    <w:p w14:paraId="3914BA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exact"/>
        <w:textAlignment w:val="auto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②</w:t>
      </w:r>
      <w:r>
        <w:rPr>
          <w:rFonts w:hint="eastAsia" w:ascii="黑体" w:hAnsi="黑体" w:eastAsia="黑体" w:cs="宋体"/>
          <w:kern w:val="0"/>
          <w:sz w:val="28"/>
          <w:szCs w:val="28"/>
        </w:rPr>
        <w:t>一票制，供应商开具全额增值税专用发票(税率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 xml:space="preserve"> 13 </w:t>
      </w:r>
      <w:r>
        <w:rPr>
          <w:rFonts w:hint="eastAsia" w:ascii="黑体" w:hAnsi="黑体" w:eastAsia="黑体" w:cs="宋体"/>
          <w:kern w:val="0"/>
          <w:sz w:val="28"/>
          <w:szCs w:val="28"/>
        </w:rPr>
        <w:t>%)。</w:t>
      </w:r>
    </w:p>
    <w:p w14:paraId="24A0803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/>
        <w:spacing w:line="360" w:lineRule="exact"/>
        <w:textAlignment w:val="auto"/>
        <w:outlineLvl w:val="0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质保期：</w:t>
      </w:r>
      <w:r>
        <w:rPr>
          <w:rFonts w:hint="eastAsia" w:ascii="黑体" w:hAnsi="黑体" w:eastAsia="黑体" w:cs="黑体"/>
          <w:sz w:val="28"/>
          <w:szCs w:val="28"/>
        </w:rPr>
        <w:t>质保期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12</w:t>
      </w:r>
      <w:r>
        <w:rPr>
          <w:rFonts w:hint="eastAsia" w:ascii="黑体" w:hAnsi="黑体" w:eastAsia="黑体" w:cs="黑体"/>
          <w:sz w:val="28"/>
          <w:szCs w:val="28"/>
        </w:rPr>
        <w:t>个月，自货物验收合格并投用之日起开始计算或货到验收合格30个自然日之日起开始计算（因买方原因未安装使用情形适用）。</w:t>
      </w:r>
    </w:p>
    <w:p w14:paraId="6F20180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/>
        <w:spacing w:line="360" w:lineRule="exact"/>
        <w:ind w:left="0" w:leftChars="0" w:firstLine="0" w:firstLineChars="0"/>
        <w:textAlignment w:val="auto"/>
        <w:outlineLvl w:val="0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比选文件的获取</w:t>
      </w:r>
    </w:p>
    <w:p w14:paraId="2AE6E5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360" w:lineRule="exact"/>
        <w:ind w:leftChars="0"/>
        <w:textAlignment w:val="auto"/>
        <w:outlineLvl w:val="0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 xml:space="preserve">获取方式为：自 2026年7月24日 00 时 00 分至 2026年8月 5日 23 时 59 分通过四川宏达股份有限公司集采中心招投标平台(以下简称“ 宏达股份集采平台”）（http://jc.sichuanhongda.com/）进行注册并登录后参与投标并下载比选文件。 </w:t>
      </w:r>
    </w:p>
    <w:p w14:paraId="504767B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/>
        <w:spacing w:line="360" w:lineRule="exact"/>
        <w:ind w:left="0" w:leftChars="0" w:firstLine="0" w:firstLineChars="0"/>
        <w:textAlignment w:val="auto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响应性文件的递交</w:t>
      </w:r>
    </w:p>
    <w:p w14:paraId="03D006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exact"/>
        <w:textAlignment w:val="auto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递交截止时间：2026年 8月6日12时 0 分。</w:t>
      </w:r>
    </w:p>
    <w:p w14:paraId="0E7C9B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exact"/>
        <w:textAlignment w:val="auto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比选申请</w:t>
      </w:r>
      <w:r>
        <w:rPr>
          <w:rFonts w:hint="eastAsia" w:ascii="黑体" w:hAnsi="黑体" w:eastAsia="黑体" w:cs="黑体"/>
          <w:kern w:val="0"/>
          <w:sz w:val="28"/>
          <w:szCs w:val="28"/>
        </w:rPr>
        <w:t>人按本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比选</w:t>
      </w:r>
      <w:r>
        <w:rPr>
          <w:rFonts w:hint="eastAsia" w:ascii="黑体" w:hAnsi="黑体" w:eastAsia="黑体" w:cs="黑体"/>
          <w:kern w:val="0"/>
          <w:sz w:val="28"/>
          <w:szCs w:val="28"/>
        </w:rPr>
        <w:t>文件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第二章响应性文件</w:t>
      </w:r>
      <w:r>
        <w:rPr>
          <w:rFonts w:hint="eastAsia" w:ascii="黑体" w:hAnsi="黑体" w:eastAsia="黑体" w:cs="黑体"/>
          <w:kern w:val="0"/>
          <w:sz w:val="28"/>
          <w:szCs w:val="28"/>
        </w:rPr>
        <w:t>格式制作报价文件，</w:t>
      </w:r>
      <w:r>
        <w:rPr>
          <w:rFonts w:hint="eastAsia" w:ascii="黑体" w:hAnsi="黑体" w:eastAsia="黑体" w:cs="黑体"/>
          <w:sz w:val="28"/>
          <w:szCs w:val="28"/>
        </w:rPr>
        <w:t>注明</w:t>
      </w:r>
      <w:r>
        <w:rPr>
          <w:rFonts w:hint="eastAsia" w:ascii="黑体" w:hAnsi="黑体" w:eastAsia="黑体" w:cs="黑体"/>
          <w:kern w:val="0"/>
          <w:sz w:val="28"/>
          <w:szCs w:val="28"/>
        </w:rPr>
        <w:t>标的物名称、</w:t>
      </w:r>
      <w:r>
        <w:rPr>
          <w:rFonts w:hint="eastAsia" w:ascii="黑体" w:hAnsi="黑体" w:eastAsia="黑体" w:cs="黑体"/>
          <w:sz w:val="28"/>
          <w:szCs w:val="28"/>
        </w:rPr>
        <w:t>规格型号、数量、单价（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到厂含</w:t>
      </w:r>
      <w:r>
        <w:rPr>
          <w:rFonts w:hint="eastAsia" w:ascii="黑体" w:hAnsi="黑体" w:eastAsia="黑体" w:cs="黑体"/>
          <w:sz w:val="28"/>
          <w:szCs w:val="28"/>
        </w:rPr>
        <w:t>税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价</w:t>
      </w:r>
      <w:r>
        <w:rPr>
          <w:rFonts w:hint="eastAsia" w:ascii="黑体" w:hAnsi="黑体" w:eastAsia="黑体" w:cs="黑体"/>
          <w:sz w:val="28"/>
          <w:szCs w:val="28"/>
        </w:rPr>
        <w:t>）、合计金额、交货期、付款方式等（若询价约定的标的物交货期、付款方式、质保期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等</w:t>
      </w:r>
      <w:r>
        <w:rPr>
          <w:rFonts w:hint="eastAsia" w:ascii="黑体" w:hAnsi="黑体" w:eastAsia="黑体" w:cs="黑体"/>
          <w:sz w:val="28"/>
          <w:szCs w:val="28"/>
        </w:rPr>
        <w:t>有异议，请在报价文件中另作说明）。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所有上述资料组成响应性文件，比选申请人需将响应性文件打印盖章后，以电子文件方式（PDF、扫描文件等）上传至</w:t>
      </w: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宏达股份集采平台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。</w:t>
      </w:r>
    </w:p>
    <w:p w14:paraId="0BDA6A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360" w:lineRule="exact"/>
        <w:ind w:leftChars="0"/>
        <w:textAlignment w:val="auto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8.响应性文件的要求</w:t>
      </w:r>
    </w:p>
    <w:p w14:paraId="5C2DC8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360" w:lineRule="exact"/>
        <w:ind w:leftChars="0"/>
        <w:textAlignment w:val="auto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①比选申请人需提供</w:t>
      </w:r>
      <w:bookmarkStart w:id="0" w:name="OLE_LINK3"/>
      <w:bookmarkStart w:id="1" w:name="OLE_LINK4"/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营业执照</w:t>
      </w:r>
      <w:bookmarkEnd w:id="0"/>
      <w:bookmarkEnd w:id="1"/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。</w:t>
      </w:r>
    </w:p>
    <w:p w14:paraId="54DDC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exact"/>
        <w:textAlignment w:val="auto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Times New Roman"/>
          <w:sz w:val="28"/>
          <w:szCs w:val="28"/>
        </w:rPr>
        <w:t>比选时不保证最低价中选，但充分注意合理的最低报价。</w:t>
      </w:r>
    </w:p>
    <w:p w14:paraId="2DA68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exact"/>
        <w:textAlignment w:val="auto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10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宋体"/>
          <w:kern w:val="0"/>
          <w:sz w:val="28"/>
          <w:szCs w:val="28"/>
        </w:rPr>
        <w:t>验收方式：</w:t>
      </w:r>
    </w:p>
    <w:p w14:paraId="3C6833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exact"/>
        <w:ind w:firstLine="280" w:firstLineChars="100"/>
        <w:textAlignment w:val="auto"/>
        <w:rPr>
          <w:rFonts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比选人按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比选文件</w:t>
      </w:r>
      <w:r>
        <w:rPr>
          <w:rFonts w:hint="eastAsia" w:ascii="黑体" w:hAnsi="黑体" w:eastAsia="黑体" w:cs="宋体"/>
          <w:kern w:val="0"/>
          <w:sz w:val="28"/>
          <w:szCs w:val="28"/>
        </w:rPr>
        <w:t>或合同约定对标的物外观质量、规格型号、数量、技术参数、配置清单等</w:t>
      </w:r>
      <w:r>
        <w:rPr>
          <w:rFonts w:hint="eastAsia" w:ascii="黑体" w:hAnsi="黑体" w:eastAsia="黑体" w:cs="Times New Roman"/>
          <w:sz w:val="28"/>
          <w:szCs w:val="28"/>
        </w:rPr>
        <w:t>进行入库验收。</w:t>
      </w:r>
    </w:p>
    <w:p w14:paraId="56674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exact"/>
        <w:textAlignment w:val="auto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1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宋体"/>
          <w:kern w:val="0"/>
          <w:sz w:val="28"/>
          <w:szCs w:val="28"/>
        </w:rPr>
        <w:t>交送报价文件前，供应商可自愿前来我公司进行实地考查、技术交流或咨询。</w:t>
      </w:r>
    </w:p>
    <w:p w14:paraId="440F14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exact"/>
        <w:textAlignment w:val="auto"/>
        <w:rPr>
          <w:rFonts w:hint="default" w:ascii="黑体" w:hAnsi="黑体" w:eastAsia="黑体" w:cs="宋体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联系人：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曾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先生  13890211318</w:t>
      </w:r>
    </w:p>
    <w:p w14:paraId="6ED43A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exact"/>
        <w:textAlignment w:val="auto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地 址：四川省德阳市什邡市洛水镇          </w:t>
      </w:r>
    </w:p>
    <w:p w14:paraId="20636B2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exact"/>
        <w:textAlignment w:val="auto"/>
      </w:pPr>
    </w:p>
    <w:p w14:paraId="7F1145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60" w:firstLineChars="1950"/>
        <w:jc w:val="left"/>
        <w:textAlignment w:val="auto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</w:t>
      </w:r>
    </w:p>
    <w:p w14:paraId="3ACE16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exact"/>
        <w:ind w:firstLine="5880" w:firstLineChars="2100"/>
        <w:textAlignment w:val="auto"/>
        <w:rPr>
          <w:rFonts w:hint="eastAsia"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202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年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 w:cs="宋体"/>
          <w:kern w:val="0"/>
          <w:sz w:val="28"/>
          <w:szCs w:val="28"/>
        </w:rPr>
        <w:t>月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28</w:t>
      </w:r>
      <w:r>
        <w:rPr>
          <w:rFonts w:hint="eastAsia" w:ascii="黑体" w:hAnsi="黑体" w:eastAsia="黑体" w:cs="宋体"/>
          <w:kern w:val="0"/>
          <w:sz w:val="28"/>
          <w:szCs w:val="28"/>
        </w:rPr>
        <w:t>日</w:t>
      </w:r>
    </w:p>
    <w:p w14:paraId="718F9F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exact"/>
        <w:ind w:firstLine="5880" w:firstLineChars="2100"/>
        <w:textAlignment w:val="auto"/>
        <w:rPr>
          <w:rFonts w:hint="eastAsia" w:ascii="黑体" w:hAnsi="黑体" w:eastAsia="黑体" w:cs="宋体"/>
          <w:kern w:val="0"/>
          <w:sz w:val="28"/>
          <w:szCs w:val="28"/>
        </w:rPr>
      </w:pPr>
    </w:p>
    <w:p w14:paraId="0FDF5C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exact"/>
        <w:ind w:firstLine="3840" w:firstLineChars="1200"/>
        <w:textAlignment w:val="auto"/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</w:pPr>
    </w:p>
    <w:p w14:paraId="085E04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exact"/>
        <w:ind w:firstLine="3840" w:firstLineChars="1200"/>
        <w:textAlignment w:val="auto"/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</w:pPr>
    </w:p>
    <w:p w14:paraId="16DFE2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exact"/>
        <w:ind w:firstLine="3840" w:firstLineChars="1200"/>
        <w:textAlignment w:val="auto"/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  <w:t xml:space="preserve">第二章 </w:t>
      </w:r>
    </w:p>
    <w:p w14:paraId="7F812755">
      <w:pPr>
        <w:kinsoku/>
        <w:overflowPunct/>
        <w:topLinePunct w:val="0"/>
        <w:bidi w:val="0"/>
        <w:ind w:left="0" w:leftChars="0" w:right="0" w:rightChars="0" w:firstLine="3520" w:firstLineChars="1100"/>
        <w:jc w:val="both"/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</w:pPr>
    </w:p>
    <w:p w14:paraId="711C438E">
      <w:pPr>
        <w:kinsoku/>
        <w:overflowPunct/>
        <w:topLinePunct w:val="0"/>
        <w:bidi w:val="0"/>
        <w:ind w:left="0" w:leftChars="0" w:right="0" w:rightChars="0" w:firstLine="3520" w:firstLineChars="1100"/>
        <w:jc w:val="both"/>
        <w:rPr>
          <w:rFonts w:hint="eastAsia" w:ascii="黑体" w:hAnsi="宋体" w:eastAsia="黑体"/>
          <w:color w:val="auto"/>
          <w:sz w:val="32"/>
          <w:szCs w:val="32"/>
          <w:lang w:val="zh-CN"/>
        </w:rPr>
      </w:pPr>
      <w:r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  <w:t>报价</w:t>
      </w:r>
      <w:r>
        <w:rPr>
          <w:rFonts w:hint="eastAsia" w:ascii="黑体" w:hAnsi="宋体" w:eastAsia="黑体"/>
          <w:color w:val="auto"/>
          <w:sz w:val="32"/>
          <w:szCs w:val="32"/>
          <w:lang w:val="zh-CN"/>
        </w:rPr>
        <w:t>文件格式</w:t>
      </w:r>
    </w:p>
    <w:p w14:paraId="64F1545C">
      <w:pPr>
        <w:kinsoku/>
        <w:overflowPunct/>
        <w:topLinePunct w:val="0"/>
        <w:bidi w:val="0"/>
        <w:ind w:right="0" w:rightChars="0"/>
        <w:jc w:val="both"/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</w:pPr>
    </w:p>
    <w:p w14:paraId="6EBD788B">
      <w:pPr>
        <w:widowControl/>
        <w:tabs>
          <w:tab w:val="left" w:pos="2980"/>
          <w:tab w:val="left" w:pos="3828"/>
          <w:tab w:val="center" w:pos="4422"/>
        </w:tabs>
        <w:kinsoku/>
        <w:overflowPunct/>
        <w:topLinePunct w:val="0"/>
        <w:autoSpaceDE w:val="0"/>
        <w:autoSpaceDN w:val="0"/>
        <w:bidi w:val="0"/>
        <w:ind w:left="0" w:leftChars="0" w:right="0" w:rightChars="0" w:firstLine="880" w:firstLineChars="200"/>
        <w:jc w:val="left"/>
        <w:textAlignment w:val="bottom"/>
        <w:rPr>
          <w:rFonts w:hint="eastAsia" w:ascii="黑体" w:hAnsi="黑体" w:eastAsia="黑体" w:cs="宋体"/>
          <w:color w:val="auto"/>
          <w:sz w:val="44"/>
          <w:szCs w:val="44"/>
          <w:u w:val="single"/>
        </w:rPr>
      </w:pPr>
    </w:p>
    <w:p w14:paraId="7CCB02D5">
      <w:pPr>
        <w:widowControl/>
        <w:tabs>
          <w:tab w:val="left" w:pos="2980"/>
          <w:tab w:val="left" w:pos="3828"/>
          <w:tab w:val="center" w:pos="4422"/>
        </w:tabs>
        <w:kinsoku/>
        <w:overflowPunct/>
        <w:topLinePunct w:val="0"/>
        <w:autoSpaceDE w:val="0"/>
        <w:autoSpaceDN w:val="0"/>
        <w:bidi w:val="0"/>
        <w:ind w:left="0" w:leftChars="0" w:right="0" w:rightChars="0" w:firstLine="3600" w:firstLineChars="1000"/>
        <w:jc w:val="both"/>
        <w:textAlignment w:val="bottom"/>
        <w:rPr>
          <w:rFonts w:ascii="黑体" w:hAnsi="黑体" w:eastAsia="黑体" w:cs="宋体"/>
          <w:color w:val="auto"/>
          <w:sz w:val="40"/>
          <w:szCs w:val="40"/>
        </w:rPr>
      </w:pPr>
      <w:r>
        <w:rPr>
          <w:rFonts w:hint="eastAsia" w:ascii="黑体" w:hAnsi="黑体" w:eastAsia="黑体" w:cs="Segoe UI"/>
          <w:color w:val="000000"/>
          <w:kern w:val="0"/>
          <w:sz w:val="36"/>
          <w:szCs w:val="36"/>
        </w:rPr>
        <w:t>钒触媒</w:t>
      </w:r>
      <w:r>
        <w:rPr>
          <w:rFonts w:hint="eastAsia" w:ascii="黑体" w:hAnsi="黑体" w:eastAsia="黑体" w:cs="宋体"/>
          <w:color w:val="auto"/>
          <w:sz w:val="40"/>
          <w:szCs w:val="40"/>
        </w:rPr>
        <w:t>采购</w:t>
      </w:r>
    </w:p>
    <w:p w14:paraId="11375BDB">
      <w:pPr>
        <w:widowControl/>
        <w:tabs>
          <w:tab w:val="left" w:pos="2980"/>
          <w:tab w:val="left" w:pos="3828"/>
          <w:tab w:val="center" w:pos="4422"/>
        </w:tabs>
        <w:kinsoku/>
        <w:overflowPunct/>
        <w:topLinePunct w:val="0"/>
        <w:autoSpaceDE w:val="0"/>
        <w:autoSpaceDN w:val="0"/>
        <w:bidi w:val="0"/>
        <w:ind w:left="0" w:leftChars="0" w:right="0" w:rightChars="0" w:firstLine="880" w:firstLineChars="200"/>
        <w:jc w:val="center"/>
        <w:textAlignment w:val="bottom"/>
        <w:rPr>
          <w:rFonts w:hint="eastAsia" w:ascii="黑体" w:hAnsi="黑体" w:eastAsia="黑体" w:cs="宋体"/>
          <w:color w:val="auto"/>
          <w:sz w:val="44"/>
          <w:szCs w:val="44"/>
        </w:rPr>
      </w:pPr>
    </w:p>
    <w:p w14:paraId="038AF0B6">
      <w:pPr>
        <w:kinsoku/>
        <w:overflowPunct/>
        <w:topLinePunct w:val="0"/>
        <w:bidi w:val="0"/>
        <w:ind w:left="0" w:leftChars="0" w:right="0" w:rightChars="0" w:firstLine="1680" w:firstLineChars="200"/>
        <w:jc w:val="center"/>
        <w:rPr>
          <w:rFonts w:hint="eastAsia" w:ascii="黑体" w:eastAsia="黑体"/>
          <w:color w:val="auto"/>
          <w:sz w:val="84"/>
          <w:szCs w:val="84"/>
        </w:rPr>
      </w:pPr>
    </w:p>
    <w:p w14:paraId="65B7478D">
      <w:pPr>
        <w:kinsoku/>
        <w:overflowPunct/>
        <w:topLinePunct w:val="0"/>
        <w:bidi w:val="0"/>
        <w:ind w:left="0" w:leftChars="0" w:right="0" w:rightChars="0" w:firstLine="1680" w:firstLineChars="200"/>
        <w:jc w:val="center"/>
        <w:rPr>
          <w:rFonts w:hint="eastAsia" w:ascii="黑体" w:eastAsia="黑体"/>
          <w:color w:val="auto"/>
          <w:sz w:val="84"/>
          <w:szCs w:val="84"/>
        </w:rPr>
      </w:pPr>
    </w:p>
    <w:p w14:paraId="20F6E255">
      <w:pPr>
        <w:kinsoku/>
        <w:overflowPunct/>
        <w:topLinePunct w:val="0"/>
        <w:bidi w:val="0"/>
        <w:ind w:right="0" w:rightChars="0"/>
        <w:jc w:val="center"/>
        <w:rPr>
          <w:rFonts w:hint="eastAsia" w:ascii="楷体_GB2312" w:eastAsia="楷体_GB2312"/>
          <w:color w:val="auto"/>
          <w:sz w:val="72"/>
          <w:szCs w:val="72"/>
        </w:rPr>
      </w:pPr>
      <w:r>
        <w:rPr>
          <w:rFonts w:hint="eastAsia" w:ascii="楷体_GB2312" w:eastAsia="楷体_GB2312"/>
          <w:color w:val="auto"/>
          <w:sz w:val="72"/>
          <w:szCs w:val="72"/>
          <w:lang w:val="en-US" w:eastAsia="zh-CN"/>
        </w:rPr>
        <w:t>响应性</w:t>
      </w:r>
      <w:r>
        <w:rPr>
          <w:rFonts w:hint="eastAsia" w:ascii="楷体_GB2312" w:eastAsia="楷体_GB2312"/>
          <w:color w:val="auto"/>
          <w:sz w:val="72"/>
          <w:szCs w:val="72"/>
        </w:rPr>
        <w:t>文件</w:t>
      </w:r>
    </w:p>
    <w:p w14:paraId="63281EB3">
      <w:pPr>
        <w:kinsoku/>
        <w:overflowPunct/>
        <w:topLinePunct w:val="0"/>
        <w:bidi w:val="0"/>
        <w:ind w:left="0" w:leftChars="0" w:right="0" w:rightChars="0" w:firstLine="720" w:firstLineChars="200"/>
        <w:jc w:val="center"/>
        <w:rPr>
          <w:rFonts w:ascii="黑体" w:hAnsi="宋体" w:eastAsia="黑体"/>
          <w:color w:val="auto"/>
          <w:sz w:val="36"/>
          <w:szCs w:val="36"/>
        </w:rPr>
      </w:pPr>
    </w:p>
    <w:p w14:paraId="53C30D38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黑体" w:hAnsi="宋体" w:eastAsia="黑体"/>
          <w:color w:val="auto"/>
          <w:sz w:val="36"/>
          <w:szCs w:val="36"/>
        </w:rPr>
      </w:pPr>
    </w:p>
    <w:p w14:paraId="6EE9AD25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黑体" w:hAnsi="宋体" w:eastAsia="黑体"/>
          <w:color w:val="auto"/>
          <w:sz w:val="36"/>
          <w:szCs w:val="36"/>
        </w:rPr>
      </w:pPr>
    </w:p>
    <w:p w14:paraId="1BA4ADEE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1B578B9A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2C8BC3D3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513F1F8D">
      <w:pPr>
        <w:kinsoku/>
        <w:overflowPunct/>
        <w:topLinePunct w:val="0"/>
        <w:bidi w:val="0"/>
        <w:spacing w:line="440" w:lineRule="exact"/>
        <w:ind w:right="0" w:rightChars="0" w:firstLine="1440" w:firstLineChars="400"/>
        <w:jc w:val="left"/>
        <w:rPr>
          <w:rFonts w:hint="eastAsia" w:ascii="楷体_GB2312" w:hAnsi="宋体" w:eastAsia="楷体_GB2312"/>
          <w:color w:val="auto"/>
          <w:sz w:val="36"/>
          <w:szCs w:val="36"/>
          <w:u w:val="none"/>
          <w:lang w:eastAsia="zh-CN"/>
        </w:rPr>
      </w:pPr>
      <w:r>
        <w:rPr>
          <w:rFonts w:hint="eastAsia" w:ascii="楷体_GB2312" w:hAnsi="宋体" w:eastAsia="楷体_GB2312"/>
          <w:color w:val="auto"/>
          <w:sz w:val="36"/>
          <w:szCs w:val="36"/>
          <w:lang w:val="en-US" w:eastAsia="zh-CN"/>
        </w:rPr>
        <w:t>供应商名称</w:t>
      </w:r>
      <w:r>
        <w:rPr>
          <w:rFonts w:hint="eastAsia" w:ascii="楷体_GB2312" w:hAnsi="宋体" w:eastAsia="楷体_GB2312"/>
          <w:color w:val="auto"/>
          <w:sz w:val="36"/>
          <w:szCs w:val="36"/>
        </w:rPr>
        <w:t>：</w:t>
      </w:r>
      <w:r>
        <w:rPr>
          <w:rFonts w:hint="eastAsia" w:ascii="楷体_GB2312" w:hAnsi="宋体" w:eastAsia="楷体_GB2312"/>
          <w:color w:val="auto"/>
          <w:sz w:val="36"/>
          <w:szCs w:val="36"/>
          <w:u w:val="single"/>
        </w:rPr>
        <w:t xml:space="preserve">                    </w:t>
      </w:r>
      <w:r>
        <w:rPr>
          <w:rFonts w:hint="eastAsia" w:ascii="楷体_GB2312" w:hAnsi="宋体" w:eastAsia="楷体_GB2312"/>
          <w:color w:val="auto"/>
          <w:sz w:val="36"/>
          <w:szCs w:val="36"/>
          <w:u w:val="none"/>
          <w:lang w:eastAsia="zh-CN"/>
        </w:rPr>
        <w:t>（</w:t>
      </w:r>
      <w:r>
        <w:rPr>
          <w:rFonts w:hint="eastAsia" w:ascii="楷体_GB2312" w:hAnsi="宋体" w:eastAsia="楷体_GB2312"/>
          <w:color w:val="auto"/>
          <w:sz w:val="36"/>
          <w:szCs w:val="36"/>
          <w:u w:val="none"/>
          <w:lang w:val="en-US" w:eastAsia="zh-CN"/>
        </w:rPr>
        <w:t>盖单位章</w:t>
      </w:r>
      <w:r>
        <w:rPr>
          <w:rFonts w:hint="eastAsia" w:ascii="楷体_GB2312" w:hAnsi="宋体" w:eastAsia="楷体_GB2312"/>
          <w:color w:val="auto"/>
          <w:sz w:val="36"/>
          <w:szCs w:val="36"/>
          <w:u w:val="none"/>
          <w:lang w:eastAsia="zh-CN"/>
        </w:rPr>
        <w:t>）</w:t>
      </w:r>
    </w:p>
    <w:p w14:paraId="4C40C091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0091A756">
      <w:pPr>
        <w:kinsoku/>
        <w:overflowPunct/>
        <w:topLinePunct w:val="0"/>
        <w:bidi w:val="0"/>
        <w:ind w:left="0" w:leftChars="0" w:right="0" w:rightChars="0" w:firstLine="1285" w:firstLineChars="400"/>
        <w:rPr>
          <w:rFonts w:hint="eastAsia" w:ascii="新宋体" w:hAnsi="新宋体" w:eastAsia="楷体_GB2312" w:cs="新宋体"/>
          <w:b/>
          <w:color w:val="auto"/>
          <w:sz w:val="32"/>
          <w:u w:val="single"/>
          <w:lang w:val="en-US" w:eastAsia="zh-CN"/>
        </w:rPr>
      </w:pPr>
    </w:p>
    <w:p w14:paraId="25B4D473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7FF0CD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2" w:firstLineChars="200"/>
        <w:jc w:val="both"/>
        <w:textAlignment w:val="auto"/>
        <w:rPr>
          <w:rFonts w:asciiTheme="minorEastAsia" w:hAnsiTheme="minorEastAsia" w:eastAsiaTheme="minorEastAsia"/>
          <w:szCs w:val="21"/>
          <w:highlight w:val="none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</w:rPr>
        <w:br w:type="page"/>
      </w:r>
      <w:bookmarkStart w:id="2" w:name="_GoBack"/>
      <w:bookmarkEnd w:id="2"/>
    </w:p>
    <w:p w14:paraId="01C32111">
      <w:pPr>
        <w:kinsoku/>
        <w:overflowPunct/>
        <w:topLinePunct w:val="0"/>
        <w:bidi w:val="0"/>
        <w:spacing w:line="360" w:lineRule="auto"/>
        <w:ind w:left="0" w:leftChars="0" w:right="0" w:rightChars="0" w:firstLine="480" w:firstLineChars="200"/>
        <w:rPr>
          <w:rFonts w:ascii="宋体" w:hAnsi="宋体"/>
          <w:color w:val="auto"/>
          <w:sz w:val="24"/>
        </w:rPr>
      </w:pPr>
    </w:p>
    <w:p w14:paraId="078365C6">
      <w:pPr>
        <w:kinsoku/>
        <w:overflowPunct/>
        <w:topLinePunct w:val="0"/>
        <w:bidi w:val="0"/>
        <w:ind w:right="0" w:rightChars="0"/>
        <w:jc w:val="left"/>
        <w:rPr>
          <w:rFonts w:ascii="宋体" w:hAnsi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一</w:t>
      </w:r>
      <w:r>
        <w:rPr>
          <w:rFonts w:hint="eastAsia" w:ascii="宋体" w:hAnsi="宋体" w:cs="宋体"/>
          <w:b/>
          <w:bCs/>
          <w:color w:val="auto"/>
          <w:sz w:val="28"/>
          <w:szCs w:val="28"/>
        </w:rPr>
        <w:t>、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营业执照、相关资质及</w:t>
      </w:r>
      <w:r>
        <w:rPr>
          <w:rFonts w:hint="eastAsia" w:ascii="宋体" w:hAnsi="宋体" w:cs="宋体"/>
          <w:b/>
          <w:bCs/>
          <w:color w:val="auto"/>
          <w:sz w:val="28"/>
          <w:szCs w:val="28"/>
        </w:rPr>
        <w:t>质量证明文件</w:t>
      </w:r>
    </w:p>
    <w:p w14:paraId="178998BF">
      <w:pPr>
        <w:widowControl/>
        <w:kinsoku/>
        <w:overflowPunct/>
        <w:topLinePunct w:val="0"/>
        <w:bidi w:val="0"/>
        <w:spacing w:line="360" w:lineRule="auto"/>
        <w:ind w:left="0" w:leftChars="0" w:right="0" w:rightChars="0" w:firstLine="1200" w:firstLineChars="500"/>
        <w:rPr>
          <w:rFonts w:hint="default" w:ascii="宋体" w:hAnsi="宋体" w:cs="宋体"/>
          <w:color w:val="auto"/>
          <w:sz w:val="24"/>
          <w:lang w:val="en-US"/>
        </w:rPr>
        <w:sectPr>
          <w:footerReference r:id="rId6" w:type="default"/>
          <w:footerReference r:id="rId7" w:type="even"/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需提供检测报告</w:t>
      </w:r>
    </w:p>
    <w:p w14:paraId="7C6ABE72">
      <w:pPr>
        <w:rPr>
          <w:rFonts w:hint="eastAsia" w:ascii="宋体" w:hAnsi="宋体" w:eastAsia="宋体"/>
          <w:b/>
          <w:color w:val="auto"/>
          <w:lang w:val="en-US" w:eastAsia="zh-CN"/>
        </w:rPr>
      </w:pPr>
    </w:p>
    <w:p w14:paraId="79E6E945">
      <w:pPr>
        <w:pStyle w:val="51"/>
        <w:kinsoku/>
        <w:overflowPunct/>
        <w:topLinePunct w:val="0"/>
        <w:bidi w:val="0"/>
        <w:spacing w:line="360" w:lineRule="auto"/>
        <w:ind w:left="0" w:leftChars="0" w:right="0" w:rightChars="0" w:firstLine="562" w:firstLineChars="200"/>
        <w:jc w:val="center"/>
        <w:rPr>
          <w:rFonts w:ascii="宋体" w:hAnsi="宋体" w:eastAsia="宋体"/>
          <w:b/>
          <w:color w:val="auto"/>
          <w:sz w:val="28"/>
          <w:szCs w:val="21"/>
        </w:rPr>
      </w:pPr>
      <w:r>
        <w:rPr>
          <w:rFonts w:hint="eastAsia" w:ascii="宋体" w:hAnsi="宋体" w:eastAsia="宋体"/>
          <w:b/>
          <w:color w:val="auto"/>
          <w:sz w:val="28"/>
          <w:szCs w:val="21"/>
          <w:lang w:val="en-US" w:eastAsia="zh-CN"/>
        </w:rPr>
        <w:t>二</w:t>
      </w:r>
      <w:r>
        <w:rPr>
          <w:rFonts w:hint="eastAsia" w:ascii="宋体" w:hAnsi="宋体" w:eastAsia="宋体"/>
          <w:b/>
          <w:color w:val="auto"/>
          <w:sz w:val="28"/>
          <w:szCs w:val="21"/>
        </w:rPr>
        <w:t>、报价表</w:t>
      </w:r>
    </w:p>
    <w:p w14:paraId="15414075">
      <w:pPr>
        <w:pStyle w:val="5"/>
        <w:kinsoku/>
        <w:overflowPunct/>
        <w:topLinePunct w:val="0"/>
        <w:bidi w:val="0"/>
        <w:spacing w:line="360" w:lineRule="auto"/>
        <w:ind w:left="0" w:leftChars="0" w:right="0" w:rightChars="0" w:firstLine="0" w:firstLineChars="0"/>
        <w:jc w:val="left"/>
        <w:rPr>
          <w:color w:val="auto"/>
          <w:kern w:val="0"/>
        </w:rPr>
      </w:pPr>
      <w:r>
        <w:rPr>
          <w:rFonts w:hint="eastAsia"/>
          <w:color w:val="auto"/>
          <w:sz w:val="20"/>
          <w:szCs w:val="20"/>
        </w:rPr>
        <w:t xml:space="preserve">          </w:t>
      </w:r>
      <w:r>
        <w:rPr>
          <w:rFonts w:hint="eastAsia"/>
          <w:color w:val="auto"/>
        </w:rPr>
        <w:t xml:space="preserve">                  </w:t>
      </w:r>
      <w:r>
        <w:rPr>
          <w:rFonts w:hint="eastAsia"/>
          <w:color w:val="auto"/>
          <w:lang w:val="en-US"/>
        </w:rPr>
        <w:t xml:space="preserve">                     </w:t>
      </w:r>
      <w:r>
        <w:rPr>
          <w:rFonts w:hint="eastAsia"/>
          <w:color w:val="auto"/>
        </w:rPr>
        <w:t xml:space="preserve">        </w:t>
      </w:r>
    </w:p>
    <w:tbl>
      <w:tblPr>
        <w:tblStyle w:val="17"/>
        <w:tblW w:w="12713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5"/>
        <w:gridCol w:w="1568"/>
        <w:gridCol w:w="1332"/>
        <w:gridCol w:w="1044"/>
        <w:gridCol w:w="1404"/>
        <w:gridCol w:w="2208"/>
        <w:gridCol w:w="2532"/>
        <w:gridCol w:w="1920"/>
      </w:tblGrid>
      <w:tr w14:paraId="2D03133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tblHeader/>
        </w:trPr>
        <w:tc>
          <w:tcPr>
            <w:tcW w:w="70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B36F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编号</w:t>
            </w:r>
          </w:p>
        </w:tc>
        <w:tc>
          <w:tcPr>
            <w:tcW w:w="1568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64C7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材料名称</w:t>
            </w:r>
          </w:p>
        </w:tc>
        <w:tc>
          <w:tcPr>
            <w:tcW w:w="1332" w:type="dxa"/>
            <w:vMerge w:val="restart"/>
            <w:tcBorders>
              <w:top w:val="single" w:color="000000" w:sz="8" w:space="0"/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8832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044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479D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14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8173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数量（吨）</w:t>
            </w:r>
          </w:p>
        </w:tc>
        <w:tc>
          <w:tcPr>
            <w:tcW w:w="4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6E1E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投标报价</w:t>
            </w:r>
          </w:p>
        </w:tc>
        <w:tc>
          <w:tcPr>
            <w:tcW w:w="1920" w:type="dxa"/>
            <w:vMerge w:val="restart"/>
            <w:tcBorders>
              <w:top w:val="single" w:color="000000" w:sz="8" w:space="0"/>
              <w:left w:val="single" w:color="auto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5845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4276F9D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tblHeader/>
        </w:trPr>
        <w:tc>
          <w:tcPr>
            <w:tcW w:w="70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AE1C7F6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68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F5F1177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33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DBF913C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44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05577F7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4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E00A7BA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20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7694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含税单价（元）</w:t>
            </w:r>
          </w:p>
        </w:tc>
        <w:tc>
          <w:tcPr>
            <w:tcW w:w="253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558B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192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7B8F7DA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38783D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146A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ECFF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钒触媒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8A4E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S101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565F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吨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6F2C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2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EDF06AF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AE04AFF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3CBA7A0">
            <w:pPr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5CA8EE4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378A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5647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钒触媒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AA77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S108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B9D0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吨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56EF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2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AFDE8C2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FF2242F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56AC36C">
            <w:pPr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7F0412A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12713" w:type="dxa"/>
            <w:gridSpan w:val="8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1CC70D2">
            <w:pPr>
              <w:rPr>
                <w:rFonts w:hint="default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发票：开具增值税专用发票，税率13%</w:t>
            </w:r>
          </w:p>
        </w:tc>
      </w:tr>
    </w:tbl>
    <w:p w14:paraId="6116B461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宋体" w:hAnsi="宋体" w:cs="宋体"/>
          <w:b/>
          <w:bCs/>
          <w:i w:val="0"/>
          <w:iCs w:val="0"/>
          <w:color w:val="auto"/>
          <w:kern w:val="0"/>
          <w:sz w:val="20"/>
          <w:szCs w:val="20"/>
          <w:highlight w:val="none"/>
          <w:u w:val="none"/>
          <w:lang w:val="en-US" w:eastAsia="zh-CN" w:bidi="ar"/>
        </w:rPr>
      </w:pPr>
    </w:p>
    <w:p w14:paraId="48FD1DBF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宋体" w:hAnsi="宋体" w:cs="宋体"/>
          <w:b/>
          <w:bCs/>
          <w:i w:val="0"/>
          <w:iCs w:val="0"/>
          <w:color w:val="auto"/>
          <w:kern w:val="0"/>
          <w:sz w:val="20"/>
          <w:szCs w:val="20"/>
          <w:highlight w:val="none"/>
          <w:u w:val="none"/>
          <w:lang w:val="en-US" w:eastAsia="zh-CN" w:bidi="ar"/>
        </w:rPr>
      </w:pPr>
      <w:r>
        <w:rPr>
          <w:rFonts w:hint="eastAsia" w:ascii="宋体" w:hAnsi="宋体" w:cs="宋体"/>
          <w:b/>
          <w:bCs/>
          <w:i w:val="0"/>
          <w:iCs w:val="0"/>
          <w:color w:val="auto"/>
          <w:kern w:val="0"/>
          <w:sz w:val="20"/>
          <w:szCs w:val="20"/>
          <w:highlight w:val="none"/>
          <w:u w:val="none"/>
          <w:lang w:val="en-US" w:eastAsia="zh-CN" w:bidi="ar"/>
        </w:rPr>
        <w:t>供应商名称（加盖单位公章）：</w:t>
      </w:r>
      <w:r>
        <w:rPr>
          <w:rFonts w:hint="eastAsia" w:ascii="宋体" w:hAnsi="宋体" w:cs="宋体"/>
          <w:b/>
          <w:bCs/>
          <w:i w:val="0"/>
          <w:iCs w:val="0"/>
          <w:color w:val="auto"/>
          <w:kern w:val="0"/>
          <w:sz w:val="20"/>
          <w:szCs w:val="20"/>
          <w:highlight w:val="none"/>
          <w:u w:val="single"/>
          <w:lang w:val="en-US" w:eastAsia="zh-CN" w:bidi="ar"/>
        </w:rPr>
        <w:t xml:space="preserve">                                </w:t>
      </w:r>
      <w:r>
        <w:rPr>
          <w:rFonts w:hint="eastAsia" w:ascii="宋体" w:hAnsi="宋体" w:cs="宋体"/>
          <w:b/>
          <w:bCs/>
          <w:i w:val="0"/>
          <w:iCs w:val="0"/>
          <w:color w:val="auto"/>
          <w:kern w:val="0"/>
          <w:sz w:val="20"/>
          <w:szCs w:val="20"/>
          <w:highlight w:val="none"/>
          <w:u w:val="none"/>
          <w:lang w:val="en-US" w:eastAsia="zh-CN" w:bidi="ar"/>
        </w:rPr>
        <w:t xml:space="preserve">                    </w:t>
      </w:r>
    </w:p>
    <w:p w14:paraId="4D7A141B">
      <w:pPr>
        <w:pStyle w:val="36"/>
        <w:spacing w:before="120" w:line="500" w:lineRule="exac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付款方式：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                           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  </w:t>
      </w:r>
    </w:p>
    <w:p w14:paraId="78DAAF8C">
      <w:pPr>
        <w:pStyle w:val="36"/>
        <w:spacing w:before="120" w:line="500" w:lineRule="exac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交货期：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                             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  </w:t>
      </w:r>
    </w:p>
    <w:p w14:paraId="5411FDE4">
      <w:pPr>
        <w:pStyle w:val="36"/>
        <w:spacing w:before="120" w:line="500" w:lineRule="exac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质保期：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                             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                                                                                                </w:t>
      </w:r>
    </w:p>
    <w:p w14:paraId="2AFC33DC">
      <w:pPr>
        <w:pStyle w:val="36"/>
        <w:spacing w:before="120" w:line="480" w:lineRule="exac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none"/>
          <w:lang w:val="en-US" w:eastAsia="zh-CN" w:bidi="ar-SA"/>
        </w:rPr>
        <w:t>联系人及电话：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                                </w:t>
      </w:r>
    </w:p>
    <w:p w14:paraId="536043E5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cs="宋体"/>
          <w:b/>
          <w:bCs/>
          <w:i w:val="0"/>
          <w:iCs w:val="0"/>
          <w:color w:val="auto"/>
          <w:kern w:val="0"/>
          <w:sz w:val="20"/>
          <w:szCs w:val="20"/>
          <w:highlight w:val="none"/>
          <w:u w:val="none"/>
          <w:lang w:val="en-US" w:eastAsia="zh-CN" w:bidi="ar"/>
        </w:rPr>
      </w:pPr>
    </w:p>
    <w:p w14:paraId="0142EB33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宋体" w:hAnsi="宋体" w:cs="宋体"/>
          <w:b/>
          <w:bCs/>
          <w:i w:val="0"/>
          <w:iCs w:val="0"/>
          <w:color w:val="auto"/>
          <w:kern w:val="0"/>
          <w:sz w:val="20"/>
          <w:szCs w:val="20"/>
          <w:highlight w:val="none"/>
          <w:u w:val="none"/>
          <w:lang w:val="en-US" w:eastAsia="zh-CN" w:bidi="ar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报价包含但不限于</w:t>
      </w:r>
      <w:r>
        <w:rPr>
          <w:rFonts w:hint="eastAsia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材料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费、试验检验费、包装费、装车费、运费、保险费、设计费、税金等。</w:t>
      </w:r>
      <w:r>
        <w:rPr>
          <w:rFonts w:hint="eastAsia"/>
          <w:color w:val="auto"/>
        </w:rPr>
        <w:t xml:space="preserve"> </w:t>
      </w:r>
    </w:p>
    <w:p w14:paraId="6CC58E74">
      <w:pP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sectPr>
          <w:pgSz w:w="16838" w:h="11906" w:orient="landscape"/>
          <w:pgMar w:top="1191" w:right="1440" w:bottom="1191" w:left="1440" w:header="851" w:footer="992" w:gutter="0"/>
          <w:pgNumType w:start="0"/>
          <w:cols w:space="720" w:num="1"/>
          <w:titlePg/>
          <w:docGrid w:type="lines" w:linePitch="312" w:charSpace="0"/>
        </w:sectPr>
      </w:pPr>
    </w:p>
    <w:p w14:paraId="7FCD3C2A">
      <w:pPr>
        <w:spacing w:line="360" w:lineRule="auto"/>
        <w:ind w:firstLine="562" w:firstLineChars="200"/>
        <w:jc w:val="center"/>
        <w:rPr>
          <w:rFonts w:ascii="宋体" w:hAnsi="宋体"/>
          <w:b/>
          <w:sz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三、</w:t>
      </w:r>
      <w:r>
        <w:rPr>
          <w:rFonts w:hint="eastAsia" w:ascii="宋体" w:hAnsi="宋体"/>
          <w:b/>
          <w:sz w:val="28"/>
        </w:rPr>
        <w:t>承 诺</w:t>
      </w:r>
    </w:p>
    <w:p w14:paraId="46E36200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致：</w:t>
      </w:r>
    </w:p>
    <w:p w14:paraId="7C2C57EB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我公司自愿参与</w:t>
      </w:r>
      <w:r>
        <w:rPr>
          <w:rFonts w:hint="eastAsia" w:ascii="宋体" w:hAnsi="宋体"/>
          <w:u w:val="single"/>
        </w:rPr>
        <w:t xml:space="preserve"> 四川宏达股份有限公司的</w:t>
      </w:r>
      <w:r>
        <w:rPr>
          <w:rFonts w:hint="eastAsia" w:ascii="宋体" w:hAnsi="宋体"/>
          <w:u w:val="single"/>
          <w:lang w:val="en-US" w:eastAsia="zh-CN"/>
        </w:rPr>
        <w:t>钒触媒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</w:rPr>
        <w:t>投标，现郑重作出以下承诺：</w:t>
      </w:r>
    </w:p>
    <w:p w14:paraId="4D12FF2C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⑴我公司提供的物资质量、环保、安全符合国家要求；</w:t>
      </w:r>
    </w:p>
    <w:p w14:paraId="7074184B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⑵我公司具有良好的信誉、企业处于正常生产经营状态；</w:t>
      </w:r>
    </w:p>
    <w:p w14:paraId="0BEB2AF2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⑶我公司完全按报价文件严格执行。</w:t>
      </w:r>
    </w:p>
    <w:p w14:paraId="1F74494E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⑷我公司将严格遵守投标的各项法律法规和程序，若有违规行为，愿意承担相应法律责任。</w:t>
      </w:r>
    </w:p>
    <w:p w14:paraId="4EA1DEF6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⑸若中标，我公司将按照合同约定的时间、地点和方式交付物资，确保项目顺利推进。</w:t>
      </w:r>
    </w:p>
    <w:p w14:paraId="4311ACA4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⑹我公司保证所提供的所有资料真实、准确、有效，如有虚假，愿意接受相应处罚。 一旦我方中标，愿意按照招标文件和招标人的规定和要求签订购销合同，并信守合同、保证质量、如期交货。</w:t>
      </w:r>
    </w:p>
    <w:p w14:paraId="2835F401">
      <w:pPr>
        <w:spacing w:line="360" w:lineRule="auto"/>
        <w:ind w:firstLine="420" w:firstLineChars="200"/>
        <w:rPr>
          <w:rFonts w:ascii="宋体" w:hAnsi="宋体"/>
        </w:rPr>
      </w:pPr>
    </w:p>
    <w:p w14:paraId="7D64481E">
      <w:pPr>
        <w:spacing w:line="360" w:lineRule="auto"/>
        <w:ind w:left="420" w:leftChars="200"/>
        <w:rPr>
          <w:rFonts w:ascii="宋体" w:hAnsi="宋体"/>
        </w:rPr>
      </w:pPr>
    </w:p>
    <w:p w14:paraId="41347858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 </w:t>
      </w:r>
      <w:r>
        <w:rPr>
          <w:rFonts w:hint="eastAsia" w:ascii="宋体" w:hAnsi="宋体"/>
          <w:szCs w:val="21"/>
        </w:rPr>
        <w:t>供应商</w:t>
      </w:r>
      <w:r>
        <w:rPr>
          <w:rFonts w:hint="eastAsia" w:ascii="宋体" w:hAnsi="宋体"/>
        </w:rPr>
        <w:t>名称：</w:t>
      </w:r>
      <w:r>
        <w:rPr>
          <w:rFonts w:hint="eastAsia" w:ascii="宋体" w:hAnsi="宋体"/>
          <w:u w:val="single"/>
        </w:rPr>
        <w:t xml:space="preserve">              </w:t>
      </w:r>
      <w:r>
        <w:rPr>
          <w:rFonts w:hint="eastAsia" w:ascii="宋体" w:hAnsi="宋体"/>
        </w:rPr>
        <w:t>（盖单位章）</w:t>
      </w:r>
    </w:p>
    <w:p w14:paraId="182E2451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</w:t>
      </w:r>
    </w:p>
    <w:p w14:paraId="3A8F634E">
      <w:pPr>
        <w:spacing w:line="360" w:lineRule="auto"/>
        <w:ind w:firstLine="4200" w:firstLineChars="2000"/>
        <w:rPr>
          <w:rFonts w:hAnsi="宋体" w:cs="宋体"/>
        </w:rPr>
      </w:pPr>
      <w:r>
        <w:rPr>
          <w:rFonts w:hint="eastAsia" w:ascii="宋体" w:hAnsi="宋体"/>
        </w:rPr>
        <w:t xml:space="preserve">       日  期：</w:t>
      </w:r>
      <w:r>
        <w:rPr>
          <w:rFonts w:hint="eastAsia" w:ascii="宋体" w:hAnsi="宋体"/>
          <w:u w:val="single"/>
        </w:rPr>
        <w:t xml:space="preserve">  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    </w:t>
      </w:r>
      <w:r>
        <w:rPr>
          <w:rFonts w:hint="eastAsia" w:ascii="宋体" w:hAnsi="宋体"/>
        </w:rPr>
        <w:t>日</w:t>
      </w:r>
    </w:p>
    <w:p w14:paraId="67943E56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2316C6D9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金山简魏碑">
    <w:altName w:val="宋体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3C64F">
    <w:pPr>
      <w:pStyle w:val="9"/>
      <w:tabs>
        <w:tab w:val="left" w:pos="645"/>
        <w:tab w:val="clear" w:pos="4153"/>
        <w:tab w:val="clear" w:pos="8306"/>
      </w:tabs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8F215">
    <w:pPr>
      <w:pStyle w:val="9"/>
      <w:ind w:right="360"/>
      <w:jc w:val="center"/>
    </w:pPr>
    <w:r>
      <w:fldChar w:fldCharType="begin"/>
    </w:r>
    <w:r>
      <w:rPr>
        <w:rStyle w:val="21"/>
      </w:rPr>
      <w:instrText xml:space="preserve"> PAGE </w:instrText>
    </w:r>
    <w:r>
      <w:fldChar w:fldCharType="separate"/>
    </w:r>
    <w:r>
      <w:rPr>
        <w:rStyle w:val="21"/>
      </w:rPr>
      <w:t>- 2 -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43EC11">
    <w:pPr>
      <w:pStyle w:val="9"/>
      <w:framePr w:wrap="around" w:vAnchor="text" w:hAnchor="margin" w:xAlign="center" w:y="1"/>
      <w:rPr>
        <w:rStyle w:val="21"/>
      </w:rPr>
    </w:pPr>
    <w:r>
      <w:fldChar w:fldCharType="begin"/>
    </w:r>
    <w:r>
      <w:rPr>
        <w:rStyle w:val="21"/>
      </w:rPr>
      <w:instrText xml:space="preserve">PAGE  </w:instrText>
    </w:r>
    <w:r>
      <w:fldChar w:fldCharType="separate"/>
    </w:r>
    <w:r>
      <w:rPr>
        <w:rStyle w:val="21"/>
      </w:rPr>
      <w:t>12</w:t>
    </w:r>
    <w:r>
      <w:fldChar w:fldCharType="end"/>
    </w:r>
  </w:p>
  <w:p w14:paraId="7BADD2CA">
    <w:pPr>
      <w:pStyle w:val="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34B883">
    <w:pPr>
      <w:pStyle w:val="9"/>
      <w:framePr w:wrap="around" w:vAnchor="text" w:hAnchor="margin" w:xAlign="center" w:y="1"/>
      <w:rPr>
        <w:rStyle w:val="21"/>
      </w:rPr>
    </w:pPr>
    <w:r>
      <w:fldChar w:fldCharType="begin"/>
    </w:r>
    <w:r>
      <w:rPr>
        <w:rStyle w:val="21"/>
      </w:rPr>
      <w:instrText xml:space="preserve">PAGE  </w:instrText>
    </w:r>
    <w:r>
      <w:fldChar w:fldCharType="end"/>
    </w:r>
  </w:p>
  <w:p w14:paraId="4F0F150C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520CD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FFB4DD"/>
    <w:multiLevelType w:val="singleLevel"/>
    <w:tmpl w:val="3EFFB4DD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3FDE"/>
    <w:rsid w:val="000138D0"/>
    <w:rsid w:val="00017EA1"/>
    <w:rsid w:val="00035DC6"/>
    <w:rsid w:val="00044B92"/>
    <w:rsid w:val="0005211C"/>
    <w:rsid w:val="00061A36"/>
    <w:rsid w:val="00065543"/>
    <w:rsid w:val="00066988"/>
    <w:rsid w:val="00071230"/>
    <w:rsid w:val="00071C22"/>
    <w:rsid w:val="000722E8"/>
    <w:rsid w:val="0007785F"/>
    <w:rsid w:val="0008220C"/>
    <w:rsid w:val="0008625B"/>
    <w:rsid w:val="000A3E50"/>
    <w:rsid w:val="000A4117"/>
    <w:rsid w:val="000B2E60"/>
    <w:rsid w:val="000C142F"/>
    <w:rsid w:val="000C1EB1"/>
    <w:rsid w:val="000D0DAB"/>
    <w:rsid w:val="000F24C0"/>
    <w:rsid w:val="000F718E"/>
    <w:rsid w:val="00104EBC"/>
    <w:rsid w:val="0011300F"/>
    <w:rsid w:val="001212CE"/>
    <w:rsid w:val="0013608B"/>
    <w:rsid w:val="001427EF"/>
    <w:rsid w:val="00161949"/>
    <w:rsid w:val="00172B3E"/>
    <w:rsid w:val="00174952"/>
    <w:rsid w:val="00174C25"/>
    <w:rsid w:val="00190BEB"/>
    <w:rsid w:val="00195548"/>
    <w:rsid w:val="001D2A71"/>
    <w:rsid w:val="001D38BC"/>
    <w:rsid w:val="001D59C1"/>
    <w:rsid w:val="001E2525"/>
    <w:rsid w:val="001E501C"/>
    <w:rsid w:val="001E578D"/>
    <w:rsid w:val="001F30C8"/>
    <w:rsid w:val="00205084"/>
    <w:rsid w:val="00214289"/>
    <w:rsid w:val="002203ED"/>
    <w:rsid w:val="00262E43"/>
    <w:rsid w:val="00270166"/>
    <w:rsid w:val="0027355F"/>
    <w:rsid w:val="00295E7C"/>
    <w:rsid w:val="002A2975"/>
    <w:rsid w:val="002B37D6"/>
    <w:rsid w:val="002C0F82"/>
    <w:rsid w:val="002C4DAC"/>
    <w:rsid w:val="002D02EB"/>
    <w:rsid w:val="002D0865"/>
    <w:rsid w:val="002D190E"/>
    <w:rsid w:val="002E7A79"/>
    <w:rsid w:val="00301EF7"/>
    <w:rsid w:val="0031109D"/>
    <w:rsid w:val="00312836"/>
    <w:rsid w:val="00337D58"/>
    <w:rsid w:val="0034055A"/>
    <w:rsid w:val="003414F3"/>
    <w:rsid w:val="003470FC"/>
    <w:rsid w:val="003476B8"/>
    <w:rsid w:val="003550A6"/>
    <w:rsid w:val="003646F9"/>
    <w:rsid w:val="003666B5"/>
    <w:rsid w:val="00372182"/>
    <w:rsid w:val="003762CA"/>
    <w:rsid w:val="00383CF0"/>
    <w:rsid w:val="00393C4C"/>
    <w:rsid w:val="003A30DB"/>
    <w:rsid w:val="003A6BF8"/>
    <w:rsid w:val="003C0DF1"/>
    <w:rsid w:val="003D2A0C"/>
    <w:rsid w:val="003D39EC"/>
    <w:rsid w:val="003D5F59"/>
    <w:rsid w:val="003D64A9"/>
    <w:rsid w:val="003E4EC9"/>
    <w:rsid w:val="0040534D"/>
    <w:rsid w:val="00427D3E"/>
    <w:rsid w:val="004448F3"/>
    <w:rsid w:val="0045342B"/>
    <w:rsid w:val="004620A2"/>
    <w:rsid w:val="004633FD"/>
    <w:rsid w:val="004A40F2"/>
    <w:rsid w:val="004B55EE"/>
    <w:rsid w:val="004B7B6D"/>
    <w:rsid w:val="004C3A30"/>
    <w:rsid w:val="004D69C7"/>
    <w:rsid w:val="004E033B"/>
    <w:rsid w:val="004E1035"/>
    <w:rsid w:val="004E6ED5"/>
    <w:rsid w:val="004F4AB3"/>
    <w:rsid w:val="00501B9F"/>
    <w:rsid w:val="00504752"/>
    <w:rsid w:val="00520A4A"/>
    <w:rsid w:val="00525759"/>
    <w:rsid w:val="00532F4F"/>
    <w:rsid w:val="00533F31"/>
    <w:rsid w:val="00537419"/>
    <w:rsid w:val="0054013B"/>
    <w:rsid w:val="00545CF4"/>
    <w:rsid w:val="00560394"/>
    <w:rsid w:val="00561297"/>
    <w:rsid w:val="00561358"/>
    <w:rsid w:val="00561B9C"/>
    <w:rsid w:val="00564D36"/>
    <w:rsid w:val="00573D09"/>
    <w:rsid w:val="00585356"/>
    <w:rsid w:val="005A0761"/>
    <w:rsid w:val="005C0AA7"/>
    <w:rsid w:val="005C2AF9"/>
    <w:rsid w:val="005C5058"/>
    <w:rsid w:val="005C51F1"/>
    <w:rsid w:val="005C6BCB"/>
    <w:rsid w:val="005D5A4B"/>
    <w:rsid w:val="005E4B9F"/>
    <w:rsid w:val="005E51FE"/>
    <w:rsid w:val="005E6A61"/>
    <w:rsid w:val="005E6A67"/>
    <w:rsid w:val="005F62E3"/>
    <w:rsid w:val="006100B4"/>
    <w:rsid w:val="0063138C"/>
    <w:rsid w:val="00637A3F"/>
    <w:rsid w:val="00642EC8"/>
    <w:rsid w:val="00644EEC"/>
    <w:rsid w:val="00653EE2"/>
    <w:rsid w:val="0065569C"/>
    <w:rsid w:val="0065589D"/>
    <w:rsid w:val="0067099D"/>
    <w:rsid w:val="00674861"/>
    <w:rsid w:val="00683C35"/>
    <w:rsid w:val="006947BA"/>
    <w:rsid w:val="006B0C12"/>
    <w:rsid w:val="006D68F2"/>
    <w:rsid w:val="006E2ACF"/>
    <w:rsid w:val="006E42DF"/>
    <w:rsid w:val="006F5241"/>
    <w:rsid w:val="007007B8"/>
    <w:rsid w:val="00710417"/>
    <w:rsid w:val="00715769"/>
    <w:rsid w:val="00725B99"/>
    <w:rsid w:val="00725D3D"/>
    <w:rsid w:val="0072609D"/>
    <w:rsid w:val="00740DBE"/>
    <w:rsid w:val="00741BE9"/>
    <w:rsid w:val="007542CF"/>
    <w:rsid w:val="00766E8D"/>
    <w:rsid w:val="007712E5"/>
    <w:rsid w:val="00775ECF"/>
    <w:rsid w:val="007812BD"/>
    <w:rsid w:val="00792619"/>
    <w:rsid w:val="007A069F"/>
    <w:rsid w:val="007A1660"/>
    <w:rsid w:val="007A51B4"/>
    <w:rsid w:val="007A5F8C"/>
    <w:rsid w:val="007C17B7"/>
    <w:rsid w:val="007C3F2D"/>
    <w:rsid w:val="007D29EB"/>
    <w:rsid w:val="007F2EA0"/>
    <w:rsid w:val="007F53CF"/>
    <w:rsid w:val="00805453"/>
    <w:rsid w:val="00805D41"/>
    <w:rsid w:val="008105C3"/>
    <w:rsid w:val="00812E44"/>
    <w:rsid w:val="008336F8"/>
    <w:rsid w:val="00841F48"/>
    <w:rsid w:val="00871447"/>
    <w:rsid w:val="008748A5"/>
    <w:rsid w:val="0089653A"/>
    <w:rsid w:val="008A0274"/>
    <w:rsid w:val="008A69E3"/>
    <w:rsid w:val="008B2B56"/>
    <w:rsid w:val="008B49BF"/>
    <w:rsid w:val="008B702E"/>
    <w:rsid w:val="008C239C"/>
    <w:rsid w:val="008C3CB5"/>
    <w:rsid w:val="008D0870"/>
    <w:rsid w:val="008D7341"/>
    <w:rsid w:val="008E0218"/>
    <w:rsid w:val="008E2166"/>
    <w:rsid w:val="008E36F4"/>
    <w:rsid w:val="008E496A"/>
    <w:rsid w:val="008E4B82"/>
    <w:rsid w:val="008E4DF4"/>
    <w:rsid w:val="008F12B1"/>
    <w:rsid w:val="008F66F7"/>
    <w:rsid w:val="00902597"/>
    <w:rsid w:val="0090667F"/>
    <w:rsid w:val="009208C0"/>
    <w:rsid w:val="0092587A"/>
    <w:rsid w:val="00925DF5"/>
    <w:rsid w:val="00952C4B"/>
    <w:rsid w:val="00953BFF"/>
    <w:rsid w:val="00961BCB"/>
    <w:rsid w:val="00966557"/>
    <w:rsid w:val="00973E4D"/>
    <w:rsid w:val="009775B6"/>
    <w:rsid w:val="00977EC1"/>
    <w:rsid w:val="009876E0"/>
    <w:rsid w:val="00993B97"/>
    <w:rsid w:val="00993CEF"/>
    <w:rsid w:val="00996ACF"/>
    <w:rsid w:val="009B35E0"/>
    <w:rsid w:val="009C18F3"/>
    <w:rsid w:val="009C5041"/>
    <w:rsid w:val="009D0F62"/>
    <w:rsid w:val="009D2416"/>
    <w:rsid w:val="009E3DF6"/>
    <w:rsid w:val="009E7305"/>
    <w:rsid w:val="009F2FCD"/>
    <w:rsid w:val="00A01C7B"/>
    <w:rsid w:val="00A20F8B"/>
    <w:rsid w:val="00A2500C"/>
    <w:rsid w:val="00A30F6D"/>
    <w:rsid w:val="00A44276"/>
    <w:rsid w:val="00A52FB5"/>
    <w:rsid w:val="00A70652"/>
    <w:rsid w:val="00A82099"/>
    <w:rsid w:val="00A945A7"/>
    <w:rsid w:val="00A9571D"/>
    <w:rsid w:val="00AA2C4C"/>
    <w:rsid w:val="00AB5F82"/>
    <w:rsid w:val="00AC3ABC"/>
    <w:rsid w:val="00AC4B9D"/>
    <w:rsid w:val="00AC7A9E"/>
    <w:rsid w:val="00AE06F0"/>
    <w:rsid w:val="00AE0FC0"/>
    <w:rsid w:val="00B10379"/>
    <w:rsid w:val="00B12B53"/>
    <w:rsid w:val="00B204A9"/>
    <w:rsid w:val="00B24FFF"/>
    <w:rsid w:val="00B55EA0"/>
    <w:rsid w:val="00B64EA1"/>
    <w:rsid w:val="00B65751"/>
    <w:rsid w:val="00B66EE0"/>
    <w:rsid w:val="00B7470B"/>
    <w:rsid w:val="00B82DBD"/>
    <w:rsid w:val="00B835BF"/>
    <w:rsid w:val="00B83D0F"/>
    <w:rsid w:val="00B929BE"/>
    <w:rsid w:val="00BA2D0B"/>
    <w:rsid w:val="00BA54FE"/>
    <w:rsid w:val="00BB6C69"/>
    <w:rsid w:val="00BC3933"/>
    <w:rsid w:val="00BD2FAA"/>
    <w:rsid w:val="00BE732A"/>
    <w:rsid w:val="00BF5864"/>
    <w:rsid w:val="00BF5F53"/>
    <w:rsid w:val="00C07394"/>
    <w:rsid w:val="00C12AB1"/>
    <w:rsid w:val="00C16D22"/>
    <w:rsid w:val="00C23E07"/>
    <w:rsid w:val="00C2542F"/>
    <w:rsid w:val="00C34112"/>
    <w:rsid w:val="00C42056"/>
    <w:rsid w:val="00C44139"/>
    <w:rsid w:val="00C6057C"/>
    <w:rsid w:val="00C67A65"/>
    <w:rsid w:val="00C92639"/>
    <w:rsid w:val="00C9715B"/>
    <w:rsid w:val="00CA0206"/>
    <w:rsid w:val="00CA4F7E"/>
    <w:rsid w:val="00CA5458"/>
    <w:rsid w:val="00CB0A7E"/>
    <w:rsid w:val="00CB15AF"/>
    <w:rsid w:val="00CB2D5B"/>
    <w:rsid w:val="00CC4E32"/>
    <w:rsid w:val="00CC6A94"/>
    <w:rsid w:val="00CC72C9"/>
    <w:rsid w:val="00CD4F90"/>
    <w:rsid w:val="00CD7CCE"/>
    <w:rsid w:val="00CE2297"/>
    <w:rsid w:val="00CF0C6E"/>
    <w:rsid w:val="00CF152A"/>
    <w:rsid w:val="00CF1911"/>
    <w:rsid w:val="00CF30F1"/>
    <w:rsid w:val="00D03629"/>
    <w:rsid w:val="00D0370B"/>
    <w:rsid w:val="00D05740"/>
    <w:rsid w:val="00D10C8F"/>
    <w:rsid w:val="00D24AD3"/>
    <w:rsid w:val="00D27F8A"/>
    <w:rsid w:val="00D30598"/>
    <w:rsid w:val="00D32997"/>
    <w:rsid w:val="00D3746D"/>
    <w:rsid w:val="00D42E99"/>
    <w:rsid w:val="00D4404E"/>
    <w:rsid w:val="00D54B54"/>
    <w:rsid w:val="00D66C88"/>
    <w:rsid w:val="00D73FDA"/>
    <w:rsid w:val="00DA7914"/>
    <w:rsid w:val="00DC28D7"/>
    <w:rsid w:val="00DC308B"/>
    <w:rsid w:val="00DC661D"/>
    <w:rsid w:val="00DE12E2"/>
    <w:rsid w:val="00DE33D0"/>
    <w:rsid w:val="00DE52F3"/>
    <w:rsid w:val="00DE5648"/>
    <w:rsid w:val="00DE64E3"/>
    <w:rsid w:val="00DF1753"/>
    <w:rsid w:val="00E00269"/>
    <w:rsid w:val="00E0273F"/>
    <w:rsid w:val="00E0351C"/>
    <w:rsid w:val="00E117B3"/>
    <w:rsid w:val="00E23E49"/>
    <w:rsid w:val="00E324B9"/>
    <w:rsid w:val="00E33C43"/>
    <w:rsid w:val="00E42739"/>
    <w:rsid w:val="00E45179"/>
    <w:rsid w:val="00E454BC"/>
    <w:rsid w:val="00E67ADB"/>
    <w:rsid w:val="00E70EA2"/>
    <w:rsid w:val="00E7146C"/>
    <w:rsid w:val="00E7505E"/>
    <w:rsid w:val="00E7711F"/>
    <w:rsid w:val="00E91EA2"/>
    <w:rsid w:val="00E935F6"/>
    <w:rsid w:val="00E944A0"/>
    <w:rsid w:val="00E94CF8"/>
    <w:rsid w:val="00E965E0"/>
    <w:rsid w:val="00EA2469"/>
    <w:rsid w:val="00EA54A9"/>
    <w:rsid w:val="00EA5D30"/>
    <w:rsid w:val="00ED03DD"/>
    <w:rsid w:val="00ED700E"/>
    <w:rsid w:val="00EE2879"/>
    <w:rsid w:val="00EF4688"/>
    <w:rsid w:val="00F0047E"/>
    <w:rsid w:val="00F02FF4"/>
    <w:rsid w:val="00F417A8"/>
    <w:rsid w:val="00F43B59"/>
    <w:rsid w:val="00F43EF6"/>
    <w:rsid w:val="00F4527F"/>
    <w:rsid w:val="00F542A9"/>
    <w:rsid w:val="00F709E5"/>
    <w:rsid w:val="00F81105"/>
    <w:rsid w:val="00F847F0"/>
    <w:rsid w:val="00F876B4"/>
    <w:rsid w:val="00F91B80"/>
    <w:rsid w:val="00F91CE2"/>
    <w:rsid w:val="00F95B40"/>
    <w:rsid w:val="00F96F43"/>
    <w:rsid w:val="00FC166C"/>
    <w:rsid w:val="00FC7AB9"/>
    <w:rsid w:val="00FE4088"/>
    <w:rsid w:val="00FE6B97"/>
    <w:rsid w:val="01774F37"/>
    <w:rsid w:val="017D438D"/>
    <w:rsid w:val="02495A41"/>
    <w:rsid w:val="025C5A85"/>
    <w:rsid w:val="038C592B"/>
    <w:rsid w:val="038F62BE"/>
    <w:rsid w:val="03A80897"/>
    <w:rsid w:val="03BC1030"/>
    <w:rsid w:val="041E3808"/>
    <w:rsid w:val="043B2184"/>
    <w:rsid w:val="0475718F"/>
    <w:rsid w:val="0485137E"/>
    <w:rsid w:val="04C66C1A"/>
    <w:rsid w:val="04D1736D"/>
    <w:rsid w:val="05283431"/>
    <w:rsid w:val="05573D16"/>
    <w:rsid w:val="057443B4"/>
    <w:rsid w:val="05B9052D"/>
    <w:rsid w:val="05C017FD"/>
    <w:rsid w:val="0687687D"/>
    <w:rsid w:val="06F2489E"/>
    <w:rsid w:val="070268E6"/>
    <w:rsid w:val="07501427"/>
    <w:rsid w:val="076636BD"/>
    <w:rsid w:val="07B216D8"/>
    <w:rsid w:val="094A00EB"/>
    <w:rsid w:val="094D7C7A"/>
    <w:rsid w:val="097507C7"/>
    <w:rsid w:val="097D22E2"/>
    <w:rsid w:val="09AD2157"/>
    <w:rsid w:val="09C76A73"/>
    <w:rsid w:val="0A3C4D43"/>
    <w:rsid w:val="0B6C6FDB"/>
    <w:rsid w:val="0B854314"/>
    <w:rsid w:val="0B89067A"/>
    <w:rsid w:val="0C5F0F6E"/>
    <w:rsid w:val="0D004BE0"/>
    <w:rsid w:val="0D6635DC"/>
    <w:rsid w:val="0EC51CF1"/>
    <w:rsid w:val="0EF763F9"/>
    <w:rsid w:val="0F1113DA"/>
    <w:rsid w:val="0F1862C4"/>
    <w:rsid w:val="0F783207"/>
    <w:rsid w:val="0F797A29"/>
    <w:rsid w:val="0FBB34F5"/>
    <w:rsid w:val="0FFD54BA"/>
    <w:rsid w:val="103435D2"/>
    <w:rsid w:val="10525110"/>
    <w:rsid w:val="110E7C3C"/>
    <w:rsid w:val="11625F1D"/>
    <w:rsid w:val="120F5BA7"/>
    <w:rsid w:val="1235718D"/>
    <w:rsid w:val="128A3A09"/>
    <w:rsid w:val="12A6008B"/>
    <w:rsid w:val="12D009A7"/>
    <w:rsid w:val="13C54541"/>
    <w:rsid w:val="14676D7E"/>
    <w:rsid w:val="14CB5B87"/>
    <w:rsid w:val="14D964F6"/>
    <w:rsid w:val="15916DD0"/>
    <w:rsid w:val="16413351"/>
    <w:rsid w:val="164E090F"/>
    <w:rsid w:val="16937390"/>
    <w:rsid w:val="172F5937"/>
    <w:rsid w:val="17660053"/>
    <w:rsid w:val="177C482D"/>
    <w:rsid w:val="190E59FE"/>
    <w:rsid w:val="19393A07"/>
    <w:rsid w:val="195F5500"/>
    <w:rsid w:val="1A294B27"/>
    <w:rsid w:val="1A683441"/>
    <w:rsid w:val="1A824F3A"/>
    <w:rsid w:val="1A961142"/>
    <w:rsid w:val="1B2E0477"/>
    <w:rsid w:val="1C4C57FF"/>
    <w:rsid w:val="1D5554CD"/>
    <w:rsid w:val="1D64697C"/>
    <w:rsid w:val="1DD969AB"/>
    <w:rsid w:val="1DE33BE3"/>
    <w:rsid w:val="1E55532E"/>
    <w:rsid w:val="1ED14404"/>
    <w:rsid w:val="1EF74148"/>
    <w:rsid w:val="1FA15E62"/>
    <w:rsid w:val="1FDB7383"/>
    <w:rsid w:val="20A629C0"/>
    <w:rsid w:val="21196F94"/>
    <w:rsid w:val="21263865"/>
    <w:rsid w:val="213571AA"/>
    <w:rsid w:val="217D645B"/>
    <w:rsid w:val="21843C8D"/>
    <w:rsid w:val="21F13065"/>
    <w:rsid w:val="2236563F"/>
    <w:rsid w:val="22A07CA6"/>
    <w:rsid w:val="237F15B6"/>
    <w:rsid w:val="240E783E"/>
    <w:rsid w:val="246966F1"/>
    <w:rsid w:val="2470465E"/>
    <w:rsid w:val="24F6510A"/>
    <w:rsid w:val="24FA55ED"/>
    <w:rsid w:val="25CC5B88"/>
    <w:rsid w:val="26163096"/>
    <w:rsid w:val="26933E36"/>
    <w:rsid w:val="26BC19A6"/>
    <w:rsid w:val="26E941C8"/>
    <w:rsid w:val="279E3E6D"/>
    <w:rsid w:val="27A73E71"/>
    <w:rsid w:val="27B8643F"/>
    <w:rsid w:val="284D6CAB"/>
    <w:rsid w:val="28564D7B"/>
    <w:rsid w:val="289607B9"/>
    <w:rsid w:val="28F11C08"/>
    <w:rsid w:val="290166AE"/>
    <w:rsid w:val="2A494963"/>
    <w:rsid w:val="2A5A72A6"/>
    <w:rsid w:val="2A7A0382"/>
    <w:rsid w:val="2AAB5DE7"/>
    <w:rsid w:val="2AC075D6"/>
    <w:rsid w:val="2B504FAF"/>
    <w:rsid w:val="2C0635BA"/>
    <w:rsid w:val="2C612895"/>
    <w:rsid w:val="2C672453"/>
    <w:rsid w:val="2EC03E0B"/>
    <w:rsid w:val="2EE64169"/>
    <w:rsid w:val="2F0804AC"/>
    <w:rsid w:val="300E355A"/>
    <w:rsid w:val="30337F16"/>
    <w:rsid w:val="30407D6F"/>
    <w:rsid w:val="30464A25"/>
    <w:rsid w:val="3082583C"/>
    <w:rsid w:val="31A45B7D"/>
    <w:rsid w:val="31A5035D"/>
    <w:rsid w:val="32FD564D"/>
    <w:rsid w:val="33980AB1"/>
    <w:rsid w:val="343739B5"/>
    <w:rsid w:val="344A7D4E"/>
    <w:rsid w:val="347D19AD"/>
    <w:rsid w:val="34A57D4B"/>
    <w:rsid w:val="34C32719"/>
    <w:rsid w:val="34E44129"/>
    <w:rsid w:val="34E65643"/>
    <w:rsid w:val="3539753D"/>
    <w:rsid w:val="354A3431"/>
    <w:rsid w:val="35771A99"/>
    <w:rsid w:val="361436EF"/>
    <w:rsid w:val="363D49D0"/>
    <w:rsid w:val="36481456"/>
    <w:rsid w:val="36626F3F"/>
    <w:rsid w:val="371A057C"/>
    <w:rsid w:val="37296A11"/>
    <w:rsid w:val="388861A3"/>
    <w:rsid w:val="38DC340E"/>
    <w:rsid w:val="38FD24A9"/>
    <w:rsid w:val="3964604E"/>
    <w:rsid w:val="397321C6"/>
    <w:rsid w:val="3A801D52"/>
    <w:rsid w:val="3A810912"/>
    <w:rsid w:val="3ABF1B60"/>
    <w:rsid w:val="3ACA215E"/>
    <w:rsid w:val="3B10121D"/>
    <w:rsid w:val="3B910246"/>
    <w:rsid w:val="3BA23F27"/>
    <w:rsid w:val="3BB75F0B"/>
    <w:rsid w:val="3BF62074"/>
    <w:rsid w:val="3D2D4ECB"/>
    <w:rsid w:val="3D8E7046"/>
    <w:rsid w:val="3DB1150E"/>
    <w:rsid w:val="3DD85B51"/>
    <w:rsid w:val="3E197344"/>
    <w:rsid w:val="3E583D12"/>
    <w:rsid w:val="3E75253C"/>
    <w:rsid w:val="3ED4578B"/>
    <w:rsid w:val="3F213F33"/>
    <w:rsid w:val="3FE536F1"/>
    <w:rsid w:val="40083152"/>
    <w:rsid w:val="40085CD0"/>
    <w:rsid w:val="4041301D"/>
    <w:rsid w:val="404B5C4A"/>
    <w:rsid w:val="40FA4CB6"/>
    <w:rsid w:val="41A27AEC"/>
    <w:rsid w:val="42587944"/>
    <w:rsid w:val="42932E0A"/>
    <w:rsid w:val="43243278"/>
    <w:rsid w:val="435B56FC"/>
    <w:rsid w:val="43884ABF"/>
    <w:rsid w:val="44A00219"/>
    <w:rsid w:val="44CF5CFB"/>
    <w:rsid w:val="450A0C36"/>
    <w:rsid w:val="45367494"/>
    <w:rsid w:val="45877724"/>
    <w:rsid w:val="467A2DE5"/>
    <w:rsid w:val="470A03A4"/>
    <w:rsid w:val="47CC58C3"/>
    <w:rsid w:val="47F46EAE"/>
    <w:rsid w:val="48724017"/>
    <w:rsid w:val="48750F6C"/>
    <w:rsid w:val="492B4B3C"/>
    <w:rsid w:val="4A185620"/>
    <w:rsid w:val="4A6F4C2B"/>
    <w:rsid w:val="4B46598C"/>
    <w:rsid w:val="4B5D2E6D"/>
    <w:rsid w:val="4B964C95"/>
    <w:rsid w:val="4BDF7931"/>
    <w:rsid w:val="4CE73852"/>
    <w:rsid w:val="4D477799"/>
    <w:rsid w:val="4DCF4AEB"/>
    <w:rsid w:val="4DDD4677"/>
    <w:rsid w:val="4E0D1159"/>
    <w:rsid w:val="4E5A52AA"/>
    <w:rsid w:val="4EE10E98"/>
    <w:rsid w:val="4EE97C85"/>
    <w:rsid w:val="4F203C16"/>
    <w:rsid w:val="4FE70DC0"/>
    <w:rsid w:val="502E581F"/>
    <w:rsid w:val="50CC06E1"/>
    <w:rsid w:val="50F46497"/>
    <w:rsid w:val="514328A4"/>
    <w:rsid w:val="51875472"/>
    <w:rsid w:val="51EB2DE9"/>
    <w:rsid w:val="51F577C4"/>
    <w:rsid w:val="522E0F28"/>
    <w:rsid w:val="52884ADC"/>
    <w:rsid w:val="52A80CDA"/>
    <w:rsid w:val="533212A1"/>
    <w:rsid w:val="53364538"/>
    <w:rsid w:val="536F17F8"/>
    <w:rsid w:val="53EE72C6"/>
    <w:rsid w:val="54185D90"/>
    <w:rsid w:val="54887ACF"/>
    <w:rsid w:val="548B2661"/>
    <w:rsid w:val="54AA722A"/>
    <w:rsid w:val="55573243"/>
    <w:rsid w:val="55BE4F5F"/>
    <w:rsid w:val="55E22755"/>
    <w:rsid w:val="56B539C6"/>
    <w:rsid w:val="57193C9E"/>
    <w:rsid w:val="57541431"/>
    <w:rsid w:val="576C2775"/>
    <w:rsid w:val="58450CDC"/>
    <w:rsid w:val="586048F0"/>
    <w:rsid w:val="5881766D"/>
    <w:rsid w:val="588549CE"/>
    <w:rsid w:val="58AE7DA1"/>
    <w:rsid w:val="58DD7D9A"/>
    <w:rsid w:val="59AD4E28"/>
    <w:rsid w:val="5ACE14FA"/>
    <w:rsid w:val="5B1D65E8"/>
    <w:rsid w:val="5B6F4DA9"/>
    <w:rsid w:val="5C7326AA"/>
    <w:rsid w:val="5C8C341B"/>
    <w:rsid w:val="5CE3204B"/>
    <w:rsid w:val="5D2F2B1E"/>
    <w:rsid w:val="5D6F365F"/>
    <w:rsid w:val="5DEF5A0F"/>
    <w:rsid w:val="5DF72B16"/>
    <w:rsid w:val="5ECA3D86"/>
    <w:rsid w:val="5F100333"/>
    <w:rsid w:val="5F4D50E3"/>
    <w:rsid w:val="60303C60"/>
    <w:rsid w:val="607F1B18"/>
    <w:rsid w:val="612726B6"/>
    <w:rsid w:val="61E15FB7"/>
    <w:rsid w:val="626B0ACC"/>
    <w:rsid w:val="626F728B"/>
    <w:rsid w:val="62A42563"/>
    <w:rsid w:val="63210307"/>
    <w:rsid w:val="633B16F7"/>
    <w:rsid w:val="63613BBD"/>
    <w:rsid w:val="64132ACB"/>
    <w:rsid w:val="644F1AB3"/>
    <w:rsid w:val="661512EF"/>
    <w:rsid w:val="66A77D57"/>
    <w:rsid w:val="66C75014"/>
    <w:rsid w:val="672B6AD9"/>
    <w:rsid w:val="67CD5013"/>
    <w:rsid w:val="68E42148"/>
    <w:rsid w:val="68F9171A"/>
    <w:rsid w:val="693A47A3"/>
    <w:rsid w:val="69B61D6F"/>
    <w:rsid w:val="69C1618A"/>
    <w:rsid w:val="69D903C8"/>
    <w:rsid w:val="6A6D4C91"/>
    <w:rsid w:val="6AB2229E"/>
    <w:rsid w:val="6AFB2A69"/>
    <w:rsid w:val="6B3E4F40"/>
    <w:rsid w:val="6B4C26F3"/>
    <w:rsid w:val="6B73407C"/>
    <w:rsid w:val="6C465631"/>
    <w:rsid w:val="6C6400AB"/>
    <w:rsid w:val="6C8B590C"/>
    <w:rsid w:val="6C980533"/>
    <w:rsid w:val="6D343A27"/>
    <w:rsid w:val="6D9F199B"/>
    <w:rsid w:val="6DB261F4"/>
    <w:rsid w:val="6DCF182B"/>
    <w:rsid w:val="6F712728"/>
    <w:rsid w:val="6FF06CE8"/>
    <w:rsid w:val="704D2789"/>
    <w:rsid w:val="70DA60AB"/>
    <w:rsid w:val="71710FBA"/>
    <w:rsid w:val="72F9402A"/>
    <w:rsid w:val="733A4279"/>
    <w:rsid w:val="73D03795"/>
    <w:rsid w:val="74125240"/>
    <w:rsid w:val="74D06143"/>
    <w:rsid w:val="74F033AB"/>
    <w:rsid w:val="75284014"/>
    <w:rsid w:val="75D4756D"/>
    <w:rsid w:val="75E36E5B"/>
    <w:rsid w:val="770F7930"/>
    <w:rsid w:val="775744D2"/>
    <w:rsid w:val="77E24ED1"/>
    <w:rsid w:val="77ED0A5E"/>
    <w:rsid w:val="786D5A56"/>
    <w:rsid w:val="789C569A"/>
    <w:rsid w:val="789E730E"/>
    <w:rsid w:val="79042BD4"/>
    <w:rsid w:val="7A450456"/>
    <w:rsid w:val="7AC516D6"/>
    <w:rsid w:val="7B0B7A4F"/>
    <w:rsid w:val="7BBE5F26"/>
    <w:rsid w:val="7CD74E20"/>
    <w:rsid w:val="7CFB7AD5"/>
    <w:rsid w:val="7D6F401F"/>
    <w:rsid w:val="7D902913"/>
    <w:rsid w:val="7DA00113"/>
    <w:rsid w:val="7DE60785"/>
    <w:rsid w:val="7E6B5FAF"/>
    <w:rsid w:val="7EC34622"/>
    <w:rsid w:val="7ED33846"/>
    <w:rsid w:val="7F632E2D"/>
    <w:rsid w:val="7FD400C7"/>
    <w:rsid w:val="7FF802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qFormat="1"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2"/>
    <w:pPr>
      <w:keepNext/>
      <w:keepLines/>
      <w:spacing w:line="412" w:lineRule="auto"/>
      <w:outlineLvl w:val="1"/>
    </w:pPr>
    <w:rPr>
      <w:rFonts w:ascii="Arial" w:hAnsi="Arial" w:eastAsia="宋体" w:cs="Arial"/>
      <w:b/>
      <w:bCs/>
      <w:sz w:val="24"/>
      <w:szCs w:val="32"/>
    </w:rPr>
  </w:style>
  <w:style w:type="paragraph" w:styleId="3">
    <w:name w:val="heading 3"/>
    <w:basedOn w:val="1"/>
    <w:next w:val="1"/>
    <w:qFormat/>
    <w:uiPriority w:val="2"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next w:val="1"/>
    <w:qFormat/>
    <w:uiPriority w:val="0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6">
    <w:name w:val="Body Text Indent"/>
    <w:basedOn w:val="1"/>
    <w:next w:val="5"/>
    <w:qFormat/>
    <w:uiPriority w:val="0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 w:cs="金山简魏碑"/>
      <w:szCs w:val="21"/>
    </w:rPr>
  </w:style>
  <w:style w:type="paragraph" w:styleId="8">
    <w:name w:val="Balloon Text"/>
    <w:basedOn w:val="1"/>
    <w:link w:val="41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3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Subtitle"/>
    <w:basedOn w:val="1"/>
    <w:next w:val="1"/>
    <w:qFormat/>
    <w:uiPriority w:val="0"/>
    <w:pPr>
      <w:wordWrap w:val="0"/>
      <w:spacing w:after="60"/>
      <w:jc w:val="center"/>
    </w:pPr>
    <w:rPr>
      <w:sz w:val="24"/>
      <w:lang w:val="en-US" w:eastAsia="zh-CN" w:bidi="ar-SA"/>
    </w:rPr>
  </w:style>
  <w:style w:type="paragraph" w:styleId="12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13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4">
    <w:name w:val="Title"/>
    <w:basedOn w:val="1"/>
    <w:qFormat/>
    <w:uiPriority w:val="0"/>
    <w:pPr>
      <w:adjustRightInd w:val="0"/>
      <w:spacing w:before="240" w:beforeLines="0" w:after="60" w:afterLines="0" w:line="420" w:lineRule="atLeast"/>
      <w:jc w:val="center"/>
      <w:textAlignment w:val="baseline"/>
      <w:outlineLvl w:val="0"/>
    </w:pPr>
    <w:rPr>
      <w:rFonts w:ascii="Arial" w:hAnsi="Arial" w:eastAsia="宋体" w:cs="Times New Roman"/>
      <w:b/>
      <w:kern w:val="0"/>
      <w:sz w:val="32"/>
      <w:szCs w:val="20"/>
    </w:rPr>
  </w:style>
  <w:style w:type="paragraph" w:styleId="15">
    <w:name w:val="Body Text First Indent"/>
    <w:basedOn w:val="5"/>
    <w:unhideWhenUsed/>
    <w:qFormat/>
    <w:uiPriority w:val="99"/>
    <w:pPr>
      <w:spacing w:after="120" w:line="240" w:lineRule="auto"/>
      <w:ind w:firstLine="420" w:firstLineChars="100"/>
    </w:pPr>
    <w:rPr>
      <w:rFonts w:ascii="Arial" w:hAnsi="Arial"/>
      <w:sz w:val="20"/>
      <w:szCs w:val="20"/>
    </w:rPr>
  </w:style>
  <w:style w:type="paragraph" w:styleId="16">
    <w:name w:val="Body Text First Indent 2"/>
    <w:basedOn w:val="6"/>
    <w:next w:val="15"/>
    <w:qFormat/>
    <w:uiPriority w:val="0"/>
    <w:pPr>
      <w:spacing w:line="360" w:lineRule="auto"/>
      <w:ind w:firstLine="420" w:firstLineChars="200"/>
    </w:pPr>
    <w:rPr>
      <w:sz w:val="24"/>
    </w:rPr>
  </w:style>
  <w:style w:type="table" w:styleId="18">
    <w:name w:val="Table Grid"/>
    <w:basedOn w:val="1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basedOn w:val="19"/>
    <w:qFormat/>
    <w:uiPriority w:val="22"/>
    <w:rPr>
      <w:b/>
      <w:bCs/>
    </w:rPr>
  </w:style>
  <w:style w:type="character" w:styleId="21">
    <w:name w:val="page number"/>
    <w:basedOn w:val="19"/>
    <w:qFormat/>
    <w:uiPriority w:val="0"/>
  </w:style>
  <w:style w:type="character" w:styleId="22">
    <w:name w:val="FollowedHyperlink"/>
    <w:basedOn w:val="19"/>
    <w:semiHidden/>
    <w:unhideWhenUsed/>
    <w:qFormat/>
    <w:uiPriority w:val="99"/>
    <w:rPr>
      <w:color w:val="5C5C5C"/>
      <w:u w:val="none"/>
    </w:rPr>
  </w:style>
  <w:style w:type="character" w:styleId="23">
    <w:name w:val="Emphasis"/>
    <w:basedOn w:val="19"/>
    <w:qFormat/>
    <w:uiPriority w:val="20"/>
    <w:rPr>
      <w:b/>
      <w:bCs/>
    </w:rPr>
  </w:style>
  <w:style w:type="character" w:styleId="24">
    <w:name w:val="HTML Definition"/>
    <w:basedOn w:val="19"/>
    <w:semiHidden/>
    <w:unhideWhenUsed/>
    <w:qFormat/>
    <w:uiPriority w:val="99"/>
  </w:style>
  <w:style w:type="character" w:styleId="25">
    <w:name w:val="HTML Typewriter"/>
    <w:basedOn w:val="1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6">
    <w:name w:val="HTML Acronym"/>
    <w:basedOn w:val="19"/>
    <w:semiHidden/>
    <w:unhideWhenUsed/>
    <w:qFormat/>
    <w:uiPriority w:val="99"/>
  </w:style>
  <w:style w:type="character" w:styleId="27">
    <w:name w:val="HTML Variable"/>
    <w:basedOn w:val="19"/>
    <w:semiHidden/>
    <w:unhideWhenUsed/>
    <w:qFormat/>
    <w:uiPriority w:val="99"/>
  </w:style>
  <w:style w:type="character" w:styleId="28">
    <w:name w:val="Hyperlink"/>
    <w:basedOn w:val="19"/>
    <w:semiHidden/>
    <w:unhideWhenUsed/>
    <w:qFormat/>
    <w:uiPriority w:val="99"/>
    <w:rPr>
      <w:color w:val="0000FF"/>
      <w:u w:val="single"/>
    </w:rPr>
  </w:style>
  <w:style w:type="character" w:styleId="29">
    <w:name w:val="HTML Code"/>
    <w:basedOn w:val="1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30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styleId="31">
    <w:name w:val="HTML Cite"/>
    <w:basedOn w:val="19"/>
    <w:semiHidden/>
    <w:unhideWhenUsed/>
    <w:qFormat/>
    <w:uiPriority w:val="99"/>
    <w:rPr>
      <w:vanish/>
      <w:color w:val="FFFFFF"/>
      <w:sz w:val="18"/>
      <w:szCs w:val="18"/>
      <w:shd w:val="clear" w:color="auto" w:fill="7CBCF3"/>
    </w:rPr>
  </w:style>
  <w:style w:type="character" w:styleId="32">
    <w:name w:val="HTML Keyboard"/>
    <w:basedOn w:val="19"/>
    <w:semiHidden/>
    <w:unhideWhenUsed/>
    <w:qFormat/>
    <w:uiPriority w:val="99"/>
    <w:rPr>
      <w:rFonts w:ascii="monospace" w:hAnsi="monospace" w:eastAsia="monospace" w:cs="monospace"/>
      <w:sz w:val="16"/>
      <w:szCs w:val="16"/>
    </w:rPr>
  </w:style>
  <w:style w:type="character" w:styleId="33">
    <w:name w:val="HTML Sample"/>
    <w:basedOn w:val="19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4">
    <w:name w:val="普通(网站)1"/>
    <w:basedOn w:val="1"/>
    <w:qFormat/>
    <w:uiPriority w:val="0"/>
    <w:pPr>
      <w:widowControl/>
      <w:spacing w:before="100" w:beforeAutospacing="1" w:after="100" w:afterAutospacing="1" w:line="257" w:lineRule="auto"/>
    </w:pPr>
    <w:rPr>
      <w:rFonts w:ascii="Arial Unicode MS" w:hAnsi="Arial Unicode MS" w:eastAsia="Arial Unicode MS" w:cs="Arial Unicode MS"/>
      <w:color w:val="000000"/>
      <w:sz w:val="24"/>
    </w:rPr>
  </w:style>
  <w:style w:type="paragraph" w:customStyle="1" w:styleId="35">
    <w:name w:val="样式 小四 行距: 1.5 倍行距"/>
    <w:basedOn w:val="1"/>
    <w:qFormat/>
    <w:uiPriority w:val="0"/>
    <w:pPr>
      <w:ind w:firstLine="480" w:firstLineChars="200"/>
    </w:pPr>
    <w:rPr>
      <w:rFonts w:cs="宋体"/>
    </w:rPr>
  </w:style>
  <w:style w:type="paragraph" w:customStyle="1" w:styleId="36">
    <w:name w:val="p0"/>
    <w:basedOn w:val="1"/>
    <w:qFormat/>
    <w:uiPriority w:val="0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37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8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39">
    <w:name w:val="页眉 Char"/>
    <w:basedOn w:val="19"/>
    <w:link w:val="10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0">
    <w:name w:val="页脚 Char"/>
    <w:basedOn w:val="19"/>
    <w:link w:val="9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批注框文本 Char"/>
    <w:basedOn w:val="19"/>
    <w:link w:val="8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2">
    <w:name w:val="hover"/>
    <w:basedOn w:val="19"/>
    <w:qFormat/>
    <w:uiPriority w:val="0"/>
    <w:rPr>
      <w:shd w:val="clear" w:color="auto" w:fill="E9F4FD"/>
    </w:rPr>
  </w:style>
  <w:style w:type="character" w:customStyle="1" w:styleId="43">
    <w:name w:val="hover1"/>
    <w:basedOn w:val="19"/>
    <w:qFormat/>
    <w:uiPriority w:val="0"/>
    <w:rPr>
      <w:color w:val="2590EB"/>
    </w:rPr>
  </w:style>
  <w:style w:type="character" w:customStyle="1" w:styleId="44">
    <w:name w:val="hover2"/>
    <w:basedOn w:val="19"/>
    <w:qFormat/>
    <w:uiPriority w:val="0"/>
    <w:rPr>
      <w:color w:val="2590EB"/>
      <w:shd w:val="clear" w:color="auto" w:fill="E9F4FD"/>
    </w:rPr>
  </w:style>
  <w:style w:type="character" w:customStyle="1" w:styleId="45">
    <w:name w:val="hover3"/>
    <w:basedOn w:val="19"/>
    <w:qFormat/>
    <w:uiPriority w:val="0"/>
    <w:rPr>
      <w:color w:val="2590EB"/>
    </w:rPr>
  </w:style>
  <w:style w:type="character" w:customStyle="1" w:styleId="46">
    <w:name w:val="laydate-disabled"/>
    <w:basedOn w:val="19"/>
    <w:qFormat/>
    <w:uiPriority w:val="0"/>
    <w:rPr>
      <w:color w:val="2590EB"/>
    </w:rPr>
  </w:style>
  <w:style w:type="character" w:customStyle="1" w:styleId="47">
    <w:name w:val="status"/>
    <w:basedOn w:val="19"/>
    <w:qFormat/>
    <w:uiPriority w:val="0"/>
    <w:rPr>
      <w:color w:val="0776DD"/>
    </w:rPr>
  </w:style>
  <w:style w:type="character" w:customStyle="1" w:styleId="48">
    <w:name w:val="time"/>
    <w:basedOn w:val="19"/>
    <w:qFormat/>
    <w:uiPriority w:val="0"/>
  </w:style>
  <w:style w:type="paragraph" w:styleId="49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paragraph" w:customStyle="1" w:styleId="50">
    <w:name w:val="Body Text1"/>
    <w:basedOn w:val="1"/>
    <w:qFormat/>
    <w:uiPriority w:val="0"/>
    <w:pPr>
      <w:keepNext w:val="0"/>
      <w:keepLines w:val="0"/>
      <w:widowControl w:val="0"/>
      <w:suppressLineNumbers w:val="0"/>
      <w:tabs>
        <w:tab w:val="right" w:leader="dot" w:pos="9009"/>
      </w:tabs>
      <w:spacing w:before="0" w:beforeAutospacing="0" w:after="0" w:afterAutospacing="0"/>
      <w:ind w:left="0" w:right="0"/>
      <w:jc w:val="both"/>
    </w:pPr>
    <w:rPr>
      <w:rFonts w:hint="default" w:ascii="Arial" w:hAnsi="Arial" w:eastAsia="宋体" w:cs="Times New Roman"/>
      <w:kern w:val="2"/>
      <w:sz w:val="28"/>
      <w:szCs w:val="24"/>
      <w:lang w:val="en-US" w:eastAsia="zh-CN" w:bidi="ar"/>
    </w:rPr>
  </w:style>
  <w:style w:type="paragraph" w:customStyle="1" w:styleId="51">
    <w:name w:val="样式 标题 3 + (中文) 黑体 小四 非加粗 段前: 7.8 磅 段后: 0 磅 行距: 固定值 20 磅"/>
    <w:basedOn w:val="3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52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97996-C95E-494B-8C27-9CEF3560B8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3725</Words>
  <Characters>4021</Characters>
  <Lines>16</Lines>
  <Paragraphs>4</Paragraphs>
  <TotalTime>2</TotalTime>
  <ScaleCrop>false</ScaleCrop>
  <LinksUpToDate>false</LinksUpToDate>
  <CharactersWithSpaces>4836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2025-05-14T07:31:00Z</dcterms:created>
  <dc:creator>姚洪兵</dc:creator>
  <cp:lastModifiedBy>HUAWEI</cp:lastModifiedBy>
  <dcterms:modified xsi:type="dcterms:W3CDTF">2026-07-23T08:56:48Z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eyJoZGlkIjoiMzEwNTM5NzYwMDRjMzkwZTVkZjY2ODkwMGIxNGU0OTUiLCJ1c2VySWQiOiI1NzU3NTk1NDcifQ==</vt:lpwstr>
  </property>
  <property fmtid="{D5CDD505-2E9C-101B-9397-08002B2CF9AE}" pid="3" name="KSOProductBuildVer">
    <vt:lpwstr>2052-12.1.0.26895</vt:lpwstr>
  </property>
  <property fmtid="{D5CDD505-2E9C-101B-9397-08002B2CF9AE}" pid="4" name="ICV">
    <vt:lpwstr>638278A91B6247A3A14F33886A0DB3EB_13</vt:lpwstr>
  </property>
</Properties>
</file>