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3D7030">
      <w:pPr>
        <w:widowControl/>
        <w:jc w:val="center"/>
        <w:rPr>
          <w:rFonts w:hint="eastAsia" w:ascii="宋体" w:hAnsi="宋体" w:eastAsia="宋体" w:cs="宋体"/>
          <w:b/>
          <w:bCs/>
          <w:color w:val="000000" w:themeColor="text1"/>
          <w:kern w:val="0"/>
          <w:sz w:val="72"/>
          <w:szCs w:val="72"/>
          <w14:textFill>
            <w14:solidFill>
              <w14:schemeClr w14:val="tx1"/>
            </w14:solidFill>
          </w14:textFill>
        </w:rPr>
      </w:pPr>
      <w:r>
        <w:rPr>
          <w:rFonts w:hint="eastAsia" w:ascii="宋体" w:hAnsi="宋体" w:eastAsia="宋体" w:cs="宋体"/>
          <w:b/>
          <w:bCs/>
          <w:color w:val="000000" w:themeColor="text1"/>
          <w:kern w:val="0"/>
          <w:sz w:val="72"/>
          <w:szCs w:val="72"/>
          <w14:textFill>
            <w14:solidFill>
              <w14:schemeClr w14:val="tx1"/>
            </w14:solidFill>
          </w14:textFill>
        </w:rPr>
        <w:t>四川宏达股份有限公司</w:t>
      </w:r>
    </w:p>
    <w:p w14:paraId="2705BECD">
      <w:pPr>
        <w:widowControl/>
        <w:jc w:val="center"/>
        <w:rPr>
          <w:rFonts w:hint="eastAsia" w:ascii="宋体" w:hAnsi="宋体" w:eastAsia="宋体" w:cs="宋体"/>
          <w:b/>
          <w:bCs/>
          <w:color w:val="000000" w:themeColor="text1"/>
          <w:kern w:val="0"/>
          <w:sz w:val="72"/>
          <w:szCs w:val="72"/>
          <w14:textFill>
            <w14:solidFill>
              <w14:schemeClr w14:val="tx1"/>
            </w14:solidFill>
          </w14:textFill>
        </w:rPr>
      </w:pPr>
      <w:r>
        <w:rPr>
          <w:rFonts w:hint="eastAsia" w:ascii="宋体" w:hAnsi="宋体" w:eastAsia="宋体" w:cs="宋体"/>
          <w:b/>
          <w:bCs/>
          <w:color w:val="000000" w:themeColor="text1"/>
          <w:kern w:val="0"/>
          <w:sz w:val="72"/>
          <w:szCs w:val="72"/>
          <w14:textFill>
            <w14:solidFill>
              <w14:schemeClr w14:val="tx1"/>
            </w14:solidFill>
          </w14:textFill>
        </w:rPr>
        <w:t>有色金属分公司</w:t>
      </w:r>
    </w:p>
    <w:p w14:paraId="22757E63">
      <w:pPr>
        <w:widowControl/>
        <w:jc w:val="center"/>
        <w:rPr>
          <w:rFonts w:hint="eastAsia" w:ascii="宋体" w:hAnsi="宋体" w:eastAsia="宋体" w:cs="宋体"/>
          <w:b/>
          <w:bCs/>
          <w:color w:val="000000" w:themeColor="text1"/>
          <w:kern w:val="0"/>
          <w:sz w:val="72"/>
          <w:szCs w:val="72"/>
          <w14:textFill>
            <w14:solidFill>
              <w14:schemeClr w14:val="tx1"/>
            </w14:solidFill>
          </w14:textFill>
        </w:rPr>
      </w:pPr>
    </w:p>
    <w:p w14:paraId="107E737C">
      <w:pPr>
        <w:widowControl/>
        <w:jc w:val="center"/>
        <w:rPr>
          <w:rFonts w:hint="eastAsia" w:ascii="宋体" w:hAnsi="宋体" w:eastAsia="宋体" w:cs="宋体"/>
          <w:b/>
          <w:bCs/>
          <w:color w:val="000000" w:themeColor="text1"/>
          <w:kern w:val="0"/>
          <w:sz w:val="72"/>
          <w:szCs w:val="72"/>
          <w14:textFill>
            <w14:solidFill>
              <w14:schemeClr w14:val="tx1"/>
            </w14:solidFill>
          </w14:textFill>
        </w:rPr>
      </w:pPr>
    </w:p>
    <w:p w14:paraId="5E211584">
      <w:pPr>
        <w:widowControl/>
        <w:jc w:val="center"/>
        <w:rPr>
          <w:rFonts w:hint="eastAsia" w:ascii="宋体" w:hAnsi="宋体" w:eastAsia="宋体" w:cs="宋体"/>
          <w:b/>
          <w:bCs/>
          <w:color w:val="000000" w:themeColor="text1"/>
          <w:kern w:val="0"/>
          <w:sz w:val="72"/>
          <w:szCs w:val="72"/>
          <w14:textFill>
            <w14:solidFill>
              <w14:schemeClr w14:val="tx1"/>
            </w14:solidFill>
          </w14:textFill>
        </w:rPr>
      </w:pPr>
    </w:p>
    <w:p w14:paraId="36434F02">
      <w:pPr>
        <w:widowControl/>
        <w:jc w:val="center"/>
        <w:rPr>
          <w:rFonts w:hint="eastAsia" w:ascii="仿宋_GB2312" w:hAnsi="仿宋_GB2312" w:eastAsia="仿宋_GB2312" w:cs="仿宋_GB2312"/>
          <w:b/>
          <w:bCs/>
          <w:color w:val="000000" w:themeColor="text1"/>
          <w:kern w:val="0"/>
          <w:sz w:val="52"/>
          <w:szCs w:val="52"/>
          <w14:textFill>
            <w14:solidFill>
              <w14:schemeClr w14:val="tx1"/>
            </w14:solidFill>
          </w14:textFill>
        </w:rPr>
      </w:pPr>
      <w:r>
        <w:rPr>
          <w:rFonts w:hint="eastAsia" w:ascii="仿宋_GB2312" w:hAnsi="仿宋_GB2312" w:eastAsia="仿宋_GB2312" w:cs="仿宋_GB2312"/>
          <w:b/>
          <w:bCs/>
          <w:color w:val="000000" w:themeColor="text1"/>
          <w:kern w:val="0"/>
          <w:sz w:val="52"/>
          <w:szCs w:val="52"/>
          <w14:textFill>
            <w14:solidFill>
              <w14:schemeClr w14:val="tx1"/>
            </w14:solidFill>
          </w14:textFill>
        </w:rPr>
        <w:t>10万吨烟气制酸装置</w:t>
      </w:r>
    </w:p>
    <w:p w14:paraId="4F3AC256">
      <w:pPr>
        <w:widowControl/>
        <w:jc w:val="center"/>
        <w:rPr>
          <w:rFonts w:hint="eastAsia" w:ascii="仿宋_GB2312" w:hAnsi="仿宋_GB2312" w:eastAsia="仿宋_GB2312" w:cs="仿宋_GB2312"/>
          <w:b/>
          <w:bCs/>
          <w:color w:val="000000" w:themeColor="text1"/>
          <w:kern w:val="0"/>
          <w:sz w:val="52"/>
          <w:szCs w:val="52"/>
          <w14:textFill>
            <w14:solidFill>
              <w14:schemeClr w14:val="tx1"/>
            </w14:solidFill>
          </w14:textFill>
        </w:rPr>
      </w:pPr>
      <w:r>
        <w:rPr>
          <w:rFonts w:hint="eastAsia" w:ascii="仿宋_GB2312" w:hAnsi="仿宋_GB2312" w:eastAsia="仿宋_GB2312" w:cs="仿宋_GB2312"/>
          <w:b/>
          <w:bCs/>
          <w:color w:val="000000" w:themeColor="text1"/>
          <w:kern w:val="0"/>
          <w:sz w:val="52"/>
          <w:szCs w:val="52"/>
          <w14:textFill>
            <w14:solidFill>
              <w14:schemeClr w14:val="tx1"/>
            </w14:solidFill>
          </w14:textFill>
        </w:rPr>
        <w:t>二氧化硫风机出口烟气SO</w:t>
      </w:r>
      <w:r>
        <w:rPr>
          <w:rFonts w:hint="eastAsia" w:ascii="仿宋_GB2312" w:hAnsi="仿宋_GB2312" w:eastAsia="仿宋_GB2312" w:cs="仿宋_GB2312"/>
          <w:b/>
          <w:bCs/>
          <w:color w:val="000000" w:themeColor="text1"/>
          <w:kern w:val="0"/>
          <w:sz w:val="44"/>
          <w:szCs w:val="44"/>
          <w14:textFill>
            <w14:solidFill>
              <w14:schemeClr w14:val="tx1"/>
            </w14:solidFill>
          </w14:textFill>
        </w:rPr>
        <w:t>2</w:t>
      </w:r>
    </w:p>
    <w:p w14:paraId="1C3E4971">
      <w:pPr>
        <w:widowControl/>
        <w:jc w:val="center"/>
        <w:rPr>
          <w:rFonts w:hint="eastAsia" w:ascii="仿宋_GB2312" w:hAnsi="仿宋_GB2312" w:eastAsia="仿宋_GB2312" w:cs="仿宋_GB2312"/>
          <w:b/>
          <w:bCs/>
          <w:color w:val="000000" w:themeColor="text1"/>
          <w:kern w:val="0"/>
          <w:sz w:val="52"/>
          <w:szCs w:val="52"/>
          <w14:textFill>
            <w14:solidFill>
              <w14:schemeClr w14:val="tx1"/>
            </w14:solidFill>
          </w14:textFill>
        </w:rPr>
      </w:pPr>
      <w:r>
        <w:rPr>
          <w:rFonts w:hint="eastAsia" w:ascii="仿宋_GB2312" w:hAnsi="仿宋_GB2312" w:eastAsia="仿宋_GB2312" w:cs="仿宋_GB2312"/>
          <w:b/>
          <w:bCs/>
          <w:color w:val="000000" w:themeColor="text1"/>
          <w:kern w:val="0"/>
          <w:sz w:val="52"/>
          <w:szCs w:val="52"/>
          <w14:textFill>
            <w14:solidFill>
              <w14:schemeClr w14:val="tx1"/>
            </w14:solidFill>
          </w14:textFill>
        </w:rPr>
        <w:t>在线分析系统</w:t>
      </w:r>
    </w:p>
    <w:p w14:paraId="1C94329E">
      <w:pPr>
        <w:widowControl/>
        <w:jc w:val="center"/>
        <w:rPr>
          <w:color w:val="000000" w:themeColor="text1"/>
          <w14:textFill>
            <w14:solidFill>
              <w14:schemeClr w14:val="tx1"/>
            </w14:solidFill>
          </w14:textFill>
        </w:rPr>
      </w:pPr>
      <w:r>
        <w:rPr>
          <w:rFonts w:hint="eastAsia" w:ascii="仿宋_GB2312" w:hAnsi="仿宋_GB2312" w:eastAsia="仿宋_GB2312" w:cs="仿宋_GB2312"/>
          <w:b/>
          <w:bCs/>
          <w:color w:val="000000" w:themeColor="text1"/>
          <w:kern w:val="0"/>
          <w:sz w:val="52"/>
          <w:szCs w:val="52"/>
          <w14:textFill>
            <w14:solidFill>
              <w14:schemeClr w14:val="tx1"/>
            </w14:solidFill>
          </w14:textFill>
        </w:rPr>
        <w:t>技术规格书</w:t>
      </w:r>
    </w:p>
    <w:p w14:paraId="7C66A492">
      <w:pPr>
        <w:widowControl/>
        <w:jc w:val="left"/>
        <w:rPr>
          <w:rFonts w:hint="eastAsia" w:ascii="宋体" w:hAnsi="宋体" w:eastAsia="宋体" w:cs="宋体"/>
          <w:color w:val="000000" w:themeColor="text1"/>
          <w:kern w:val="0"/>
          <w:sz w:val="30"/>
          <w:szCs w:val="30"/>
          <w14:textFill>
            <w14:solidFill>
              <w14:schemeClr w14:val="tx1"/>
            </w14:solidFill>
          </w14:textFill>
        </w:rPr>
      </w:pPr>
    </w:p>
    <w:p w14:paraId="08C478B1">
      <w:pPr>
        <w:widowControl/>
        <w:jc w:val="left"/>
        <w:rPr>
          <w:rFonts w:hint="eastAsia" w:ascii="宋体" w:hAnsi="宋体" w:eastAsia="宋体" w:cs="宋体"/>
          <w:color w:val="000000" w:themeColor="text1"/>
          <w:kern w:val="0"/>
          <w:sz w:val="30"/>
          <w:szCs w:val="30"/>
          <w14:textFill>
            <w14:solidFill>
              <w14:schemeClr w14:val="tx1"/>
            </w14:solidFill>
          </w14:textFill>
        </w:rPr>
      </w:pPr>
    </w:p>
    <w:p w14:paraId="7456D751">
      <w:pPr>
        <w:widowControl/>
        <w:jc w:val="left"/>
        <w:rPr>
          <w:rFonts w:hint="eastAsia" w:ascii="宋体" w:hAnsi="宋体" w:eastAsia="宋体" w:cs="宋体"/>
          <w:color w:val="000000" w:themeColor="text1"/>
          <w:kern w:val="0"/>
          <w:sz w:val="30"/>
          <w:szCs w:val="30"/>
          <w14:textFill>
            <w14:solidFill>
              <w14:schemeClr w14:val="tx1"/>
            </w14:solidFill>
          </w14:textFill>
        </w:rPr>
      </w:pPr>
    </w:p>
    <w:p w14:paraId="428F4765">
      <w:pPr>
        <w:widowControl/>
        <w:jc w:val="left"/>
        <w:rPr>
          <w:rFonts w:hint="eastAsia" w:ascii="宋体" w:hAnsi="宋体" w:eastAsia="宋体" w:cs="宋体"/>
          <w:color w:val="000000" w:themeColor="text1"/>
          <w:kern w:val="0"/>
          <w:sz w:val="30"/>
          <w:szCs w:val="30"/>
          <w14:textFill>
            <w14:solidFill>
              <w14:schemeClr w14:val="tx1"/>
            </w14:solidFill>
          </w14:textFill>
        </w:rPr>
      </w:pPr>
    </w:p>
    <w:p w14:paraId="0DB2C908">
      <w:pPr>
        <w:widowControl/>
        <w:jc w:val="left"/>
        <w:rPr>
          <w:rFonts w:hint="eastAsia" w:ascii="宋体" w:hAnsi="宋体" w:eastAsia="宋体" w:cs="宋体"/>
          <w:color w:val="000000" w:themeColor="text1"/>
          <w:kern w:val="0"/>
          <w:sz w:val="30"/>
          <w:szCs w:val="30"/>
          <w14:textFill>
            <w14:solidFill>
              <w14:schemeClr w14:val="tx1"/>
            </w14:solidFill>
          </w14:textFill>
        </w:rPr>
      </w:pPr>
    </w:p>
    <w:p w14:paraId="1ED6FB7E">
      <w:pPr>
        <w:widowControl/>
        <w:jc w:val="left"/>
        <w:rPr>
          <w:rFonts w:hint="eastAsia" w:ascii="宋体" w:hAnsi="宋体" w:eastAsia="宋体" w:cs="宋体"/>
          <w:color w:val="000000" w:themeColor="text1"/>
          <w:kern w:val="0"/>
          <w:sz w:val="30"/>
          <w:szCs w:val="30"/>
          <w14:textFill>
            <w14:solidFill>
              <w14:schemeClr w14:val="tx1"/>
            </w14:solidFill>
          </w14:textFill>
        </w:rPr>
      </w:pPr>
    </w:p>
    <w:p w14:paraId="387AE478">
      <w:pPr>
        <w:widowControl/>
        <w:jc w:val="left"/>
        <w:rPr>
          <w:rFonts w:hint="eastAsia" w:ascii="宋体" w:hAnsi="宋体" w:eastAsia="宋体" w:cs="宋体"/>
          <w:color w:val="000000" w:themeColor="text1"/>
          <w:kern w:val="0"/>
          <w:sz w:val="30"/>
          <w:szCs w:val="30"/>
          <w14:textFill>
            <w14:solidFill>
              <w14:schemeClr w14:val="tx1"/>
            </w14:solidFill>
          </w14:textFill>
        </w:rPr>
      </w:pPr>
    </w:p>
    <w:p w14:paraId="5D9BA54F">
      <w:pPr>
        <w:widowControl/>
        <w:jc w:val="right"/>
        <w:rPr>
          <w:rFonts w:hint="eastAsia" w:ascii="楷体" w:hAnsi="楷体" w:eastAsia="楷体" w:cs="楷体"/>
          <w:color w:val="000000" w:themeColor="text1"/>
          <w:kern w:val="0"/>
          <w:sz w:val="28"/>
          <w:szCs w:val="28"/>
          <w14:textFill>
            <w14:solidFill>
              <w14:schemeClr w14:val="tx1"/>
            </w14:solidFill>
          </w14:textFill>
        </w:rPr>
      </w:pPr>
      <w:r>
        <w:rPr>
          <w:rFonts w:hint="eastAsia" w:ascii="楷体" w:hAnsi="楷体" w:eastAsia="楷体" w:cs="楷体"/>
          <w:color w:val="000000" w:themeColor="text1"/>
          <w:kern w:val="0"/>
          <w:sz w:val="28"/>
          <w:szCs w:val="28"/>
          <w14:textFill>
            <w14:solidFill>
              <w14:schemeClr w14:val="tx1"/>
            </w14:solidFill>
          </w14:textFill>
        </w:rPr>
        <w:t>202</w:t>
      </w:r>
      <w:r>
        <w:rPr>
          <w:rFonts w:hint="eastAsia" w:ascii="楷体" w:hAnsi="楷体" w:eastAsia="楷体" w:cs="楷体"/>
          <w:color w:val="000000" w:themeColor="text1"/>
          <w:kern w:val="0"/>
          <w:sz w:val="28"/>
          <w:szCs w:val="28"/>
          <w:lang w:val="en-US" w:eastAsia="zh-CN"/>
          <w14:textFill>
            <w14:solidFill>
              <w14:schemeClr w14:val="tx1"/>
            </w14:solidFill>
          </w14:textFill>
        </w:rPr>
        <w:t>6</w:t>
      </w:r>
      <w:r>
        <w:rPr>
          <w:rFonts w:hint="eastAsia" w:ascii="楷体" w:hAnsi="楷体" w:eastAsia="楷体" w:cs="楷体"/>
          <w:color w:val="000000" w:themeColor="text1"/>
          <w:kern w:val="0"/>
          <w:sz w:val="28"/>
          <w:szCs w:val="28"/>
          <w14:textFill>
            <w14:solidFill>
              <w14:schemeClr w14:val="tx1"/>
            </w14:solidFill>
          </w14:textFill>
        </w:rPr>
        <w:t>年</w:t>
      </w:r>
      <w:r>
        <w:rPr>
          <w:rFonts w:hint="eastAsia" w:ascii="楷体" w:hAnsi="楷体" w:eastAsia="楷体" w:cs="楷体"/>
          <w:color w:val="000000" w:themeColor="text1"/>
          <w:kern w:val="0"/>
          <w:sz w:val="28"/>
          <w:szCs w:val="28"/>
          <w:lang w:val="en-US" w:eastAsia="zh-CN"/>
          <w14:textFill>
            <w14:solidFill>
              <w14:schemeClr w14:val="tx1"/>
            </w14:solidFill>
          </w14:textFill>
        </w:rPr>
        <w:t>7</w:t>
      </w:r>
      <w:r>
        <w:rPr>
          <w:rFonts w:hint="eastAsia" w:ascii="楷体" w:hAnsi="楷体" w:eastAsia="楷体" w:cs="楷体"/>
          <w:color w:val="000000" w:themeColor="text1"/>
          <w:kern w:val="0"/>
          <w:sz w:val="28"/>
          <w:szCs w:val="28"/>
          <w14:textFill>
            <w14:solidFill>
              <w14:schemeClr w14:val="tx1"/>
            </w14:solidFill>
          </w14:textFill>
        </w:rPr>
        <w:t>月2</w:t>
      </w:r>
      <w:r>
        <w:rPr>
          <w:rFonts w:hint="eastAsia" w:ascii="楷体" w:hAnsi="楷体" w:eastAsia="楷体" w:cs="楷体"/>
          <w:color w:val="000000" w:themeColor="text1"/>
          <w:kern w:val="0"/>
          <w:sz w:val="28"/>
          <w:szCs w:val="28"/>
          <w:lang w:val="en-US" w:eastAsia="zh-CN"/>
          <w14:textFill>
            <w14:solidFill>
              <w14:schemeClr w14:val="tx1"/>
            </w14:solidFill>
          </w14:textFill>
        </w:rPr>
        <w:t>0</w:t>
      </w:r>
      <w:r>
        <w:rPr>
          <w:rFonts w:hint="eastAsia" w:ascii="楷体" w:hAnsi="楷体" w:eastAsia="楷体" w:cs="楷体"/>
          <w:color w:val="000000" w:themeColor="text1"/>
          <w:kern w:val="0"/>
          <w:sz w:val="28"/>
          <w:szCs w:val="28"/>
          <w14:textFill>
            <w14:solidFill>
              <w14:schemeClr w14:val="tx1"/>
            </w14:solidFill>
          </w14:textFill>
        </w:rPr>
        <w:t>日</w:t>
      </w:r>
    </w:p>
    <w:p w14:paraId="3721C01C">
      <w:pPr>
        <w:widowControl/>
        <w:jc w:val="right"/>
        <w:rPr>
          <w:rFonts w:hint="default" w:ascii="楷体" w:hAnsi="楷体" w:eastAsia="楷体" w:cs="楷体"/>
          <w:color w:val="000000" w:themeColor="text1"/>
          <w:kern w:val="0"/>
          <w:sz w:val="28"/>
          <w:szCs w:val="28"/>
          <w:lang w:val="en-US" w:eastAsia="zh-CN"/>
          <w14:textFill>
            <w14:solidFill>
              <w14:schemeClr w14:val="tx1"/>
            </w14:solidFill>
          </w14:textFill>
        </w:rPr>
      </w:pPr>
      <w:r>
        <w:rPr>
          <w:rFonts w:hint="eastAsia" w:ascii="楷体" w:hAnsi="楷体" w:eastAsia="楷体" w:cs="楷体"/>
          <w:color w:val="000000" w:themeColor="text1"/>
          <w:kern w:val="0"/>
          <w:sz w:val="28"/>
          <w:szCs w:val="28"/>
          <w:lang w:val="en-US" w:eastAsia="zh-CN"/>
          <w14:textFill>
            <w14:solidFill>
              <w14:schemeClr w14:val="tx1"/>
            </w14:solidFill>
          </w14:textFill>
        </w:rPr>
        <w:t>魏世平：13980111611</w:t>
      </w:r>
    </w:p>
    <w:p w14:paraId="24D3C80B">
      <w:pPr>
        <w:widowControl/>
        <w:jc w:val="left"/>
        <w:rPr>
          <w:rFonts w:hint="eastAsia" w:ascii="仿宋_GB2312" w:hAnsi="仿宋_GB2312" w:eastAsia="仿宋_GB2312" w:cs="仿宋_GB2312"/>
          <w:b/>
          <w:bCs/>
          <w:color w:val="000000" w:themeColor="text1"/>
          <w:kern w:val="0"/>
          <w:sz w:val="28"/>
          <w:szCs w:val="28"/>
          <w14:textFill>
            <w14:solidFill>
              <w14:schemeClr w14:val="tx1"/>
            </w14:solidFill>
          </w14:textFill>
        </w:rPr>
      </w:pPr>
      <w:r>
        <w:rPr>
          <w:rFonts w:hint="eastAsia" w:ascii="仿宋_GB2312" w:hAnsi="仿宋_GB2312" w:eastAsia="仿宋_GB2312" w:cs="仿宋_GB2312"/>
          <w:b/>
          <w:bCs/>
          <w:color w:val="000000" w:themeColor="text1"/>
          <w:kern w:val="0"/>
          <w:sz w:val="28"/>
          <w:szCs w:val="28"/>
          <w14:textFill>
            <w14:solidFill>
              <w14:schemeClr w14:val="tx1"/>
            </w14:solidFill>
          </w14:textFill>
        </w:rPr>
        <w:t>1.项目地点</w:t>
      </w:r>
    </w:p>
    <w:p w14:paraId="6BAE079D">
      <w:pPr>
        <w:widowControl/>
        <w:ind w:firstLine="560" w:firstLineChars="200"/>
        <w:jc w:val="left"/>
        <w:rPr>
          <w:rFonts w:hint="eastAsia" w:ascii="仿宋_GB2312" w:hAnsi="仿宋_GB2312" w:eastAsia="仿宋_GB2312" w:cs="仿宋_GB2312"/>
          <w:b/>
          <w:bCs/>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项目位于四川省什邡市师古镇，</w:t>
      </w:r>
      <w:r>
        <w:rPr>
          <w:rFonts w:hint="eastAsia" w:ascii="仿宋_GB2312" w:hAnsi="仿宋_GB2312" w:eastAsia="仿宋_GB2312" w:cs="仿宋_GB2312"/>
          <w:color w:val="000000" w:themeColor="text1"/>
          <w:sz w:val="28"/>
          <w:szCs w:val="28"/>
          <w:shd w:val="clear" w:color="auto" w:fill="FFFFFF"/>
          <w14:textFill>
            <w14:solidFill>
              <w14:schemeClr w14:val="tx1"/>
            </w14:solidFill>
          </w14:textFill>
        </w:rPr>
        <w:t>四川省辖县级市，由德阳市代管，位于四川盆地腹地成都平原，东与绵竹市和旌阳区相邻，南与广汉市接壤，西与彭州市毗连。</w:t>
      </w:r>
    </w:p>
    <w:p w14:paraId="0E670607">
      <w:pPr>
        <w:widowControl/>
        <w:jc w:val="left"/>
        <w:rPr>
          <w:rFonts w:hint="eastAsia" w:ascii="仿宋_GB2312" w:hAnsi="仿宋_GB2312" w:eastAsia="仿宋_GB2312" w:cs="仿宋_GB2312"/>
          <w:color w:val="000000" w:themeColor="text1"/>
          <w:sz w:val="28"/>
          <w:szCs w:val="28"/>
          <w:shd w:val="clear" w:color="auto" w:fill="FFFFFF"/>
          <w14:textFill>
            <w14:solidFill>
              <w14:schemeClr w14:val="tx1"/>
            </w14:solidFill>
          </w14:textFill>
        </w:rPr>
      </w:pPr>
      <w:r>
        <w:rPr>
          <w:rFonts w:hint="eastAsia" w:ascii="仿宋_GB2312" w:hAnsi="仿宋_GB2312" w:eastAsia="仿宋_GB2312" w:cs="仿宋_GB2312"/>
          <w:b/>
          <w:bCs/>
          <w:color w:val="000000" w:themeColor="text1"/>
          <w:kern w:val="0"/>
          <w:sz w:val="28"/>
          <w:szCs w:val="28"/>
          <w14:textFill>
            <w14:solidFill>
              <w14:schemeClr w14:val="tx1"/>
            </w14:solidFill>
          </w14:textFill>
        </w:rPr>
        <w:t>2.气象资料</w:t>
      </w:r>
    </w:p>
    <w:p w14:paraId="215EF4EA">
      <w:pPr>
        <w:widowControl/>
        <w:ind w:firstLine="560" w:firstLineChars="200"/>
        <w:jc w:val="left"/>
        <w:rPr>
          <w:rFonts w:hint="eastAsia" w:ascii="仿宋_GB2312" w:hAnsi="仿宋_GB2312" w:eastAsia="仿宋_GB2312" w:cs="仿宋_GB2312"/>
          <w:color w:val="000000" w:themeColor="text1"/>
          <w:sz w:val="28"/>
          <w:szCs w:val="28"/>
          <w:shd w:val="clear" w:color="auto" w:fill="FFFFFF"/>
          <w14:textFill>
            <w14:solidFill>
              <w14:schemeClr w14:val="tx1"/>
            </w14:solidFill>
          </w14:textFill>
        </w:rPr>
      </w:pPr>
      <w:r>
        <w:rPr>
          <w:rFonts w:hint="eastAsia" w:ascii="仿宋_GB2312" w:hAnsi="仿宋_GB2312" w:eastAsia="仿宋_GB2312" w:cs="仿宋_GB2312"/>
          <w:color w:val="000000" w:themeColor="text1"/>
          <w:sz w:val="28"/>
          <w:szCs w:val="28"/>
          <w:shd w:val="clear" w:color="auto" w:fill="FFFFFF"/>
          <w14:textFill>
            <w14:solidFill>
              <w14:schemeClr w14:val="tx1"/>
            </w14:solidFill>
          </w14:textFill>
        </w:rPr>
        <w:t>什邡市属于亚热带湿润气候区。特点为夏雨冬阴，云雾多，日照少，年温差不太大的暖温环境。由于纬度条件和海洋季风的影响，年平均气温在十三至十七摄氏度之间。平坝区为盆西气候带类型，其北部受山地亚热带常绿森林气候的影响，东西南三面与邻县大气互为回流。气候温和，雨量充沛，日照偏少，四季分明。</w:t>
      </w:r>
    </w:p>
    <w:p w14:paraId="52E67B97">
      <w:pPr>
        <w:widowControl/>
        <w:numPr>
          <w:ilvl w:val="0"/>
          <w:numId w:val="1"/>
        </w:numPr>
        <w:jc w:val="left"/>
        <w:rPr>
          <w:rFonts w:hint="eastAsia" w:ascii="仿宋_GB2312" w:hAnsi="仿宋_GB2312" w:eastAsia="仿宋_GB2312" w:cs="仿宋_GB2312"/>
          <w:b/>
          <w:bCs/>
          <w:color w:val="000000" w:themeColor="text1"/>
          <w:kern w:val="0"/>
          <w:sz w:val="28"/>
          <w:szCs w:val="28"/>
          <w:vertAlign w:val="baseline"/>
          <w14:textFill>
            <w14:solidFill>
              <w14:schemeClr w14:val="tx1"/>
            </w14:solidFill>
          </w14:textFill>
        </w:rPr>
      </w:pPr>
      <w:r>
        <w:rPr>
          <w:rFonts w:hint="eastAsia" w:ascii="仿宋_GB2312" w:hAnsi="仿宋_GB2312" w:eastAsia="仿宋_GB2312" w:cs="仿宋_GB2312"/>
          <w:b/>
          <w:bCs/>
          <w:color w:val="000000" w:themeColor="text1"/>
          <w:kern w:val="0"/>
          <w:sz w:val="28"/>
          <w:szCs w:val="28"/>
          <w14:textFill>
            <w14:solidFill>
              <w14:schemeClr w14:val="tx1"/>
            </w14:solidFill>
          </w14:textFill>
        </w:rPr>
        <w:t>项目安装点烟气工况</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4"/>
        <w:gridCol w:w="2766"/>
        <w:gridCol w:w="2766"/>
      </w:tblGrid>
      <w:tr w14:paraId="3FAD1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4" w:type="dxa"/>
            <w:vAlign w:val="center"/>
          </w:tcPr>
          <w:p w14:paraId="7ADA8BA1">
            <w:pPr>
              <w:widowControl/>
              <w:numPr>
                <w:ilvl w:val="0"/>
                <w:numId w:val="0"/>
              </w:numPr>
              <w:jc w:val="center"/>
              <w:rPr>
                <w:rFonts w:hint="eastAsia" w:ascii="仿宋_GB2312" w:hAnsi="仿宋_GB2312" w:eastAsia="仿宋_GB2312" w:cs="仿宋_GB2312"/>
                <w:b/>
                <w:bCs/>
                <w:color w:val="000000" w:themeColor="text1"/>
                <w:kern w:val="0"/>
                <w:sz w:val="28"/>
                <w:szCs w:val="28"/>
                <w:vertAlign w:val="baseline"/>
                <w:lang w:val="en-US" w:eastAsia="zh-CN"/>
                <w14:textFill>
                  <w14:solidFill>
                    <w14:schemeClr w14:val="tx1"/>
                  </w14:solidFill>
                </w14:textFill>
              </w:rPr>
            </w:pPr>
            <w:r>
              <w:rPr>
                <w:rFonts w:hint="eastAsia" w:ascii="仿宋_GB2312" w:hAnsi="仿宋_GB2312" w:eastAsia="仿宋_GB2312" w:cs="仿宋_GB2312"/>
                <w:b/>
                <w:bCs/>
                <w:color w:val="000000" w:themeColor="text1"/>
                <w:kern w:val="0"/>
                <w:sz w:val="28"/>
                <w:szCs w:val="28"/>
                <w:vertAlign w:val="baseline"/>
                <w:lang w:val="en-US" w:eastAsia="zh-CN"/>
                <w14:textFill>
                  <w14:solidFill>
                    <w14:schemeClr w14:val="tx1"/>
                  </w14:solidFill>
                </w14:textFill>
              </w:rPr>
              <w:t>项目</w:t>
            </w:r>
          </w:p>
        </w:tc>
        <w:tc>
          <w:tcPr>
            <w:tcW w:w="2766" w:type="dxa"/>
            <w:vAlign w:val="center"/>
          </w:tcPr>
          <w:p w14:paraId="21ED2728">
            <w:pPr>
              <w:widowControl/>
              <w:numPr>
                <w:ilvl w:val="0"/>
                <w:numId w:val="0"/>
              </w:numPr>
              <w:jc w:val="center"/>
              <w:rPr>
                <w:rFonts w:hint="eastAsia" w:ascii="仿宋_GB2312" w:hAnsi="仿宋_GB2312" w:eastAsia="仿宋_GB2312" w:cs="仿宋_GB2312"/>
                <w:b/>
                <w:bCs/>
                <w:color w:val="000000" w:themeColor="text1"/>
                <w:kern w:val="0"/>
                <w:sz w:val="28"/>
                <w:szCs w:val="28"/>
                <w:vertAlign w:val="baseline"/>
                <w:lang w:val="en-US" w:eastAsia="zh-CN"/>
                <w14:textFill>
                  <w14:solidFill>
                    <w14:schemeClr w14:val="tx1"/>
                  </w14:solidFill>
                </w14:textFill>
              </w:rPr>
            </w:pPr>
            <w:r>
              <w:rPr>
                <w:rFonts w:hint="eastAsia" w:ascii="仿宋_GB2312" w:hAnsi="仿宋_GB2312" w:eastAsia="仿宋_GB2312" w:cs="仿宋_GB2312"/>
                <w:b/>
                <w:bCs/>
                <w:color w:val="000000" w:themeColor="text1"/>
                <w:kern w:val="0"/>
                <w:sz w:val="28"/>
                <w:szCs w:val="28"/>
                <w:vertAlign w:val="baseline"/>
                <w:lang w:val="en-US" w:eastAsia="zh-CN"/>
                <w14:textFill>
                  <w14:solidFill>
                    <w14:schemeClr w14:val="tx1"/>
                  </w14:solidFill>
                </w14:textFill>
              </w:rPr>
              <w:t>参数</w:t>
            </w:r>
          </w:p>
        </w:tc>
        <w:tc>
          <w:tcPr>
            <w:tcW w:w="2766" w:type="dxa"/>
            <w:vAlign w:val="center"/>
          </w:tcPr>
          <w:p w14:paraId="4DCF748D">
            <w:pPr>
              <w:widowControl/>
              <w:numPr>
                <w:ilvl w:val="0"/>
                <w:numId w:val="0"/>
              </w:numPr>
              <w:jc w:val="center"/>
              <w:rPr>
                <w:rFonts w:hint="eastAsia" w:ascii="仿宋_GB2312" w:hAnsi="仿宋_GB2312" w:eastAsia="仿宋_GB2312" w:cs="仿宋_GB2312"/>
                <w:b/>
                <w:bCs/>
                <w:color w:val="000000" w:themeColor="text1"/>
                <w:kern w:val="0"/>
                <w:sz w:val="28"/>
                <w:szCs w:val="28"/>
                <w:vertAlign w:val="baseline"/>
                <w:lang w:val="en-US" w:eastAsia="zh-CN"/>
                <w14:textFill>
                  <w14:solidFill>
                    <w14:schemeClr w14:val="tx1"/>
                  </w14:solidFill>
                </w14:textFill>
              </w:rPr>
            </w:pPr>
            <w:r>
              <w:rPr>
                <w:rFonts w:hint="eastAsia" w:ascii="仿宋_GB2312" w:hAnsi="仿宋_GB2312" w:eastAsia="仿宋_GB2312" w:cs="仿宋_GB2312"/>
                <w:b/>
                <w:bCs/>
                <w:color w:val="000000" w:themeColor="text1"/>
                <w:kern w:val="0"/>
                <w:sz w:val="28"/>
                <w:szCs w:val="28"/>
                <w:vertAlign w:val="baseline"/>
                <w:lang w:val="en-US" w:eastAsia="zh-CN"/>
                <w14:textFill>
                  <w14:solidFill>
                    <w14:schemeClr w14:val="tx1"/>
                  </w14:solidFill>
                </w14:textFill>
              </w:rPr>
              <w:t>单位</w:t>
            </w:r>
          </w:p>
        </w:tc>
      </w:tr>
      <w:tr w14:paraId="60160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4" w:type="dxa"/>
            <w:vMerge w:val="restart"/>
            <w:vAlign w:val="center"/>
          </w:tcPr>
          <w:p w14:paraId="7EF749E6">
            <w:pPr>
              <w:widowControl/>
              <w:numPr>
                <w:ilvl w:val="0"/>
                <w:numId w:val="0"/>
              </w:numPr>
              <w:jc w:val="center"/>
              <w:rPr>
                <w:rFonts w:hint="default" w:ascii="仿宋_GB2312" w:hAnsi="仿宋_GB2312" w:eastAsia="仿宋_GB2312" w:cs="仿宋_GB2312"/>
                <w:b/>
                <w:bCs/>
                <w:color w:val="000000" w:themeColor="text1"/>
                <w:kern w:val="0"/>
                <w:sz w:val="28"/>
                <w:szCs w:val="28"/>
                <w:vertAlign w:val="baseline"/>
                <w:lang w:val="en-US" w:eastAsia="zh-CN"/>
                <w14:textFill>
                  <w14:solidFill>
                    <w14:schemeClr w14:val="tx1"/>
                  </w14:solidFill>
                </w14:textFill>
              </w:rPr>
            </w:pPr>
            <w:r>
              <w:rPr>
                <w:rFonts w:hint="eastAsia" w:ascii="仿宋_GB2312" w:hAnsi="仿宋_GB2312" w:eastAsia="仿宋_GB2312" w:cs="仿宋_GB2312"/>
                <w:b/>
                <w:bCs/>
                <w:color w:val="000000" w:themeColor="text1"/>
                <w:kern w:val="0"/>
                <w:sz w:val="28"/>
                <w:szCs w:val="28"/>
                <w:vertAlign w:val="baseline"/>
                <w:lang w:val="en-US" w:eastAsia="zh-CN"/>
                <w14:textFill>
                  <w14:solidFill>
                    <w14:schemeClr w14:val="tx1"/>
                  </w14:solidFill>
                </w14:textFill>
              </w:rPr>
              <w:t>烟气组分</w:t>
            </w:r>
          </w:p>
        </w:tc>
        <w:tc>
          <w:tcPr>
            <w:tcW w:w="2766" w:type="dxa"/>
            <w:vAlign w:val="center"/>
          </w:tcPr>
          <w:p w14:paraId="33079674">
            <w:pPr>
              <w:widowControl/>
              <w:numPr>
                <w:ilvl w:val="0"/>
                <w:numId w:val="0"/>
              </w:numPr>
              <w:jc w:val="center"/>
              <w:rPr>
                <w:rFonts w:hint="default" w:ascii="仿宋_GB2312" w:hAnsi="仿宋_GB2312" w:eastAsia="仿宋_GB2312" w:cs="仿宋_GB2312"/>
                <w:b/>
                <w:bCs/>
                <w:color w:val="000000" w:themeColor="text1"/>
                <w:kern w:val="0"/>
                <w:sz w:val="28"/>
                <w:szCs w:val="28"/>
                <w:vertAlign w:val="baseline"/>
                <w:lang w:val="en-US" w:eastAsia="zh-CN"/>
                <w14:textFill>
                  <w14:solidFill>
                    <w14:schemeClr w14:val="tx1"/>
                  </w14:solidFill>
                </w14:textFill>
              </w:rPr>
            </w:pPr>
            <w:r>
              <w:rPr>
                <w:rFonts w:hint="eastAsia" w:ascii="仿宋_GB2312" w:hAnsi="仿宋_GB2312" w:eastAsia="仿宋_GB2312" w:cs="仿宋_GB2312"/>
                <w:b/>
                <w:bCs/>
                <w:color w:val="000000" w:themeColor="text1"/>
                <w:kern w:val="0"/>
                <w:sz w:val="28"/>
                <w:szCs w:val="28"/>
                <w:vertAlign w:val="baseline"/>
                <w:lang w:val="en-US" w:eastAsia="zh-CN"/>
                <w14:textFill>
                  <w14:solidFill>
                    <w14:schemeClr w14:val="tx1"/>
                  </w14:solidFill>
                </w14:textFill>
              </w:rPr>
              <w:t>SO</w:t>
            </w:r>
            <w:r>
              <w:rPr>
                <w:rFonts w:hint="eastAsia" w:ascii="仿宋_GB2312" w:hAnsi="仿宋_GB2312" w:eastAsia="仿宋_GB2312" w:cs="仿宋_GB2312"/>
                <w:b/>
                <w:bCs/>
                <w:color w:val="000000" w:themeColor="text1"/>
                <w:kern w:val="0"/>
                <w:sz w:val="28"/>
                <w:szCs w:val="28"/>
                <w:vertAlign w:val="subscript"/>
                <w:lang w:val="en-US" w:eastAsia="zh-CN"/>
                <w14:textFill>
                  <w14:solidFill>
                    <w14:schemeClr w14:val="tx1"/>
                  </w14:solidFill>
                </w14:textFill>
              </w:rPr>
              <w:t>2</w:t>
            </w:r>
            <w:r>
              <w:rPr>
                <w:rFonts w:hint="eastAsia" w:ascii="仿宋_GB2312" w:hAnsi="仿宋_GB2312" w:eastAsia="仿宋_GB2312" w:cs="仿宋_GB2312"/>
                <w:b/>
                <w:bCs/>
                <w:color w:val="000000" w:themeColor="text1"/>
                <w:kern w:val="0"/>
                <w:sz w:val="28"/>
                <w:szCs w:val="28"/>
                <w:vertAlign w:val="baseline"/>
                <w:lang w:val="en-US" w:eastAsia="zh-CN"/>
                <w14:textFill>
                  <w14:solidFill>
                    <w14:schemeClr w14:val="tx1"/>
                  </w14:solidFill>
                </w14:textFill>
              </w:rPr>
              <w:t>: 4-10</w:t>
            </w:r>
          </w:p>
        </w:tc>
        <w:tc>
          <w:tcPr>
            <w:tcW w:w="2766" w:type="dxa"/>
            <w:vAlign w:val="center"/>
          </w:tcPr>
          <w:p w14:paraId="074188DC">
            <w:pPr>
              <w:widowControl/>
              <w:numPr>
                <w:ilvl w:val="0"/>
                <w:numId w:val="0"/>
              </w:numPr>
              <w:jc w:val="center"/>
              <w:rPr>
                <w:rFonts w:hint="eastAsia" w:ascii="仿宋_GB2312" w:hAnsi="仿宋_GB2312" w:eastAsia="仿宋_GB2312" w:cs="仿宋_GB2312"/>
                <w:b/>
                <w:bCs/>
                <w:color w:val="000000" w:themeColor="text1"/>
                <w:kern w:val="0"/>
                <w:sz w:val="28"/>
                <w:szCs w:val="28"/>
                <w:vertAlign w:val="baseline"/>
                <w:lang w:val="en-US" w:eastAsia="zh-CN"/>
                <w14:textFill>
                  <w14:solidFill>
                    <w14:schemeClr w14:val="tx1"/>
                  </w14:solidFill>
                </w14:textFill>
              </w:rPr>
            </w:pPr>
            <w:r>
              <w:rPr>
                <w:rFonts w:hint="eastAsia" w:ascii="仿宋_GB2312" w:hAnsi="仿宋_GB2312" w:eastAsia="仿宋_GB2312" w:cs="仿宋_GB2312"/>
                <w:b/>
                <w:bCs/>
                <w:color w:val="000000" w:themeColor="text1"/>
                <w:kern w:val="0"/>
                <w:sz w:val="28"/>
                <w:szCs w:val="28"/>
                <w:vertAlign w:val="baseline"/>
                <w:lang w:val="en-US" w:eastAsia="zh-CN"/>
                <w14:textFill>
                  <w14:solidFill>
                    <w14:schemeClr w14:val="tx1"/>
                  </w14:solidFill>
                </w14:textFill>
              </w:rPr>
              <w:t>%</w:t>
            </w:r>
          </w:p>
        </w:tc>
      </w:tr>
      <w:tr w14:paraId="4AE9B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4" w:type="dxa"/>
            <w:vMerge w:val="continue"/>
            <w:vAlign w:val="center"/>
          </w:tcPr>
          <w:p w14:paraId="120F6D4E">
            <w:pPr>
              <w:widowControl/>
              <w:numPr>
                <w:ilvl w:val="0"/>
                <w:numId w:val="0"/>
              </w:numPr>
              <w:jc w:val="center"/>
              <w:rPr>
                <w:rFonts w:hint="eastAsia" w:ascii="仿宋_GB2312" w:hAnsi="仿宋_GB2312" w:eastAsia="仿宋_GB2312" w:cs="仿宋_GB2312"/>
                <w:b/>
                <w:bCs/>
                <w:color w:val="000000" w:themeColor="text1"/>
                <w:kern w:val="0"/>
                <w:sz w:val="28"/>
                <w:szCs w:val="28"/>
                <w:vertAlign w:val="baseline"/>
                <w14:textFill>
                  <w14:solidFill>
                    <w14:schemeClr w14:val="tx1"/>
                  </w14:solidFill>
                </w14:textFill>
              </w:rPr>
            </w:pPr>
          </w:p>
        </w:tc>
        <w:tc>
          <w:tcPr>
            <w:tcW w:w="2766" w:type="dxa"/>
            <w:vAlign w:val="center"/>
          </w:tcPr>
          <w:p w14:paraId="2CE535AE">
            <w:pPr>
              <w:widowControl/>
              <w:numPr>
                <w:ilvl w:val="0"/>
                <w:numId w:val="0"/>
              </w:numPr>
              <w:jc w:val="center"/>
              <w:rPr>
                <w:rFonts w:hint="default" w:ascii="仿宋_GB2312" w:hAnsi="仿宋_GB2312" w:eastAsia="仿宋_GB2312" w:cs="仿宋_GB2312"/>
                <w:b/>
                <w:bCs/>
                <w:color w:val="000000" w:themeColor="text1"/>
                <w:kern w:val="0"/>
                <w:sz w:val="28"/>
                <w:szCs w:val="28"/>
                <w:vertAlign w:val="baseline"/>
                <w:lang w:val="en-US" w:eastAsia="zh-CN"/>
                <w14:textFill>
                  <w14:solidFill>
                    <w14:schemeClr w14:val="tx1"/>
                  </w14:solidFill>
                </w14:textFill>
              </w:rPr>
            </w:pPr>
            <w:r>
              <w:rPr>
                <w:rFonts w:hint="eastAsia" w:ascii="仿宋_GB2312" w:hAnsi="仿宋_GB2312" w:eastAsia="仿宋_GB2312" w:cs="仿宋_GB2312"/>
                <w:b/>
                <w:bCs/>
                <w:color w:val="000000" w:themeColor="text1"/>
                <w:kern w:val="0"/>
                <w:sz w:val="28"/>
                <w:szCs w:val="28"/>
                <w:vertAlign w:val="baseline"/>
                <w:lang w:val="en-US" w:eastAsia="zh-CN"/>
                <w14:textFill>
                  <w14:solidFill>
                    <w14:schemeClr w14:val="tx1"/>
                  </w14:solidFill>
                </w14:textFill>
              </w:rPr>
              <w:t>N</w:t>
            </w:r>
            <w:r>
              <w:rPr>
                <w:rFonts w:hint="eastAsia" w:ascii="仿宋_GB2312" w:hAnsi="仿宋_GB2312" w:eastAsia="仿宋_GB2312" w:cs="仿宋_GB2312"/>
                <w:b/>
                <w:bCs/>
                <w:color w:val="000000" w:themeColor="text1"/>
                <w:kern w:val="0"/>
                <w:sz w:val="28"/>
                <w:szCs w:val="28"/>
                <w:vertAlign w:val="subscript"/>
                <w:lang w:val="en-US" w:eastAsia="zh-CN"/>
                <w14:textFill>
                  <w14:solidFill>
                    <w14:schemeClr w14:val="tx1"/>
                  </w14:solidFill>
                </w14:textFill>
              </w:rPr>
              <w:t>2</w:t>
            </w:r>
            <w:r>
              <w:rPr>
                <w:rFonts w:hint="eastAsia" w:ascii="仿宋_GB2312" w:hAnsi="仿宋_GB2312" w:eastAsia="仿宋_GB2312" w:cs="仿宋_GB2312"/>
                <w:b/>
                <w:bCs/>
                <w:color w:val="000000" w:themeColor="text1"/>
                <w:kern w:val="0"/>
                <w:sz w:val="28"/>
                <w:szCs w:val="28"/>
                <w:vertAlign w:val="baseline"/>
                <w:lang w:val="en-US" w:eastAsia="zh-CN"/>
                <w14:textFill>
                  <w14:solidFill>
                    <w14:schemeClr w14:val="tx1"/>
                  </w14:solidFill>
                </w14:textFill>
              </w:rPr>
              <w:t>: 78</w:t>
            </w:r>
          </w:p>
        </w:tc>
        <w:tc>
          <w:tcPr>
            <w:tcW w:w="2766" w:type="dxa"/>
            <w:vAlign w:val="center"/>
          </w:tcPr>
          <w:p w14:paraId="544CE89A">
            <w:pPr>
              <w:widowControl/>
              <w:numPr>
                <w:ilvl w:val="0"/>
                <w:numId w:val="0"/>
              </w:numPr>
              <w:jc w:val="center"/>
              <w:rPr>
                <w:rFonts w:hint="eastAsia" w:ascii="仿宋_GB2312" w:hAnsi="仿宋_GB2312" w:eastAsia="仿宋_GB2312" w:cs="仿宋_GB2312"/>
                <w:b/>
                <w:bCs/>
                <w:color w:val="000000" w:themeColor="text1"/>
                <w:kern w:val="0"/>
                <w:sz w:val="28"/>
                <w:szCs w:val="28"/>
                <w:vertAlign w:val="baseline"/>
                <w14:textFill>
                  <w14:solidFill>
                    <w14:schemeClr w14:val="tx1"/>
                  </w14:solidFill>
                </w14:textFill>
              </w:rPr>
            </w:pPr>
            <w:r>
              <w:rPr>
                <w:rFonts w:hint="eastAsia" w:ascii="仿宋_GB2312" w:hAnsi="仿宋_GB2312" w:eastAsia="仿宋_GB2312" w:cs="仿宋_GB2312"/>
                <w:b/>
                <w:bCs/>
                <w:color w:val="000000" w:themeColor="text1"/>
                <w:kern w:val="0"/>
                <w:sz w:val="28"/>
                <w:szCs w:val="28"/>
                <w:vertAlign w:val="baseline"/>
                <w:lang w:val="en-US" w:eastAsia="zh-CN"/>
                <w14:textFill>
                  <w14:solidFill>
                    <w14:schemeClr w14:val="tx1"/>
                  </w14:solidFill>
                </w14:textFill>
              </w:rPr>
              <w:t>%</w:t>
            </w:r>
          </w:p>
        </w:tc>
      </w:tr>
      <w:tr w14:paraId="7A28A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4" w:type="dxa"/>
            <w:vMerge w:val="continue"/>
            <w:vAlign w:val="center"/>
          </w:tcPr>
          <w:p w14:paraId="0993A998">
            <w:pPr>
              <w:widowControl/>
              <w:numPr>
                <w:ilvl w:val="0"/>
                <w:numId w:val="0"/>
              </w:numPr>
              <w:jc w:val="center"/>
              <w:rPr>
                <w:rFonts w:hint="eastAsia" w:ascii="仿宋_GB2312" w:hAnsi="仿宋_GB2312" w:eastAsia="仿宋_GB2312" w:cs="仿宋_GB2312"/>
                <w:b/>
                <w:bCs/>
                <w:color w:val="000000" w:themeColor="text1"/>
                <w:kern w:val="0"/>
                <w:sz w:val="28"/>
                <w:szCs w:val="28"/>
                <w:vertAlign w:val="baseline"/>
                <w14:textFill>
                  <w14:solidFill>
                    <w14:schemeClr w14:val="tx1"/>
                  </w14:solidFill>
                </w14:textFill>
              </w:rPr>
            </w:pPr>
          </w:p>
        </w:tc>
        <w:tc>
          <w:tcPr>
            <w:tcW w:w="2766" w:type="dxa"/>
            <w:vAlign w:val="center"/>
          </w:tcPr>
          <w:p w14:paraId="6B0B361F">
            <w:pPr>
              <w:widowControl/>
              <w:numPr>
                <w:ilvl w:val="0"/>
                <w:numId w:val="0"/>
              </w:numPr>
              <w:jc w:val="center"/>
              <w:rPr>
                <w:rFonts w:hint="default" w:ascii="仿宋_GB2312" w:hAnsi="仿宋_GB2312" w:eastAsia="仿宋_GB2312" w:cs="仿宋_GB2312"/>
                <w:b/>
                <w:bCs/>
                <w:color w:val="000000" w:themeColor="text1"/>
                <w:kern w:val="0"/>
                <w:sz w:val="28"/>
                <w:szCs w:val="28"/>
                <w:vertAlign w:val="baseline"/>
                <w:lang w:val="en-US" w:eastAsia="zh-CN"/>
                <w14:textFill>
                  <w14:solidFill>
                    <w14:schemeClr w14:val="tx1"/>
                  </w14:solidFill>
                </w14:textFill>
              </w:rPr>
            </w:pPr>
            <w:r>
              <w:rPr>
                <w:rFonts w:hint="eastAsia" w:ascii="仿宋_GB2312" w:hAnsi="仿宋_GB2312" w:eastAsia="仿宋_GB2312" w:cs="仿宋_GB2312"/>
                <w:b/>
                <w:bCs/>
                <w:color w:val="000000" w:themeColor="text1"/>
                <w:kern w:val="0"/>
                <w:sz w:val="28"/>
                <w:szCs w:val="28"/>
                <w:vertAlign w:val="baseline"/>
                <w:lang w:val="en-US" w:eastAsia="zh-CN"/>
                <w14:textFill>
                  <w14:solidFill>
                    <w14:schemeClr w14:val="tx1"/>
                  </w14:solidFill>
                </w14:textFill>
              </w:rPr>
              <w:t>O</w:t>
            </w:r>
            <w:r>
              <w:rPr>
                <w:rFonts w:hint="eastAsia" w:ascii="仿宋_GB2312" w:hAnsi="仿宋_GB2312" w:eastAsia="仿宋_GB2312" w:cs="仿宋_GB2312"/>
                <w:b/>
                <w:bCs/>
                <w:color w:val="000000" w:themeColor="text1"/>
                <w:kern w:val="0"/>
                <w:sz w:val="28"/>
                <w:szCs w:val="28"/>
                <w:vertAlign w:val="subscript"/>
                <w:lang w:val="en-US" w:eastAsia="zh-CN"/>
                <w14:textFill>
                  <w14:solidFill>
                    <w14:schemeClr w14:val="tx1"/>
                  </w14:solidFill>
                </w14:textFill>
              </w:rPr>
              <w:t>2</w:t>
            </w:r>
            <w:r>
              <w:rPr>
                <w:rFonts w:hint="eastAsia" w:ascii="仿宋_GB2312" w:hAnsi="仿宋_GB2312" w:eastAsia="仿宋_GB2312" w:cs="仿宋_GB2312"/>
                <w:b/>
                <w:bCs/>
                <w:color w:val="000000" w:themeColor="text1"/>
                <w:kern w:val="0"/>
                <w:sz w:val="28"/>
                <w:szCs w:val="28"/>
                <w:vertAlign w:val="baseline"/>
                <w:lang w:val="en-US" w:eastAsia="zh-CN"/>
                <w14:textFill>
                  <w14:solidFill>
                    <w14:schemeClr w14:val="tx1"/>
                  </w14:solidFill>
                </w14:textFill>
              </w:rPr>
              <w:t>: 3-10</w:t>
            </w:r>
          </w:p>
        </w:tc>
        <w:tc>
          <w:tcPr>
            <w:tcW w:w="2766" w:type="dxa"/>
            <w:vAlign w:val="center"/>
          </w:tcPr>
          <w:p w14:paraId="266CF83C">
            <w:pPr>
              <w:widowControl/>
              <w:numPr>
                <w:ilvl w:val="0"/>
                <w:numId w:val="0"/>
              </w:numPr>
              <w:jc w:val="center"/>
              <w:rPr>
                <w:rFonts w:hint="eastAsia" w:ascii="仿宋_GB2312" w:hAnsi="仿宋_GB2312" w:eastAsia="仿宋_GB2312" w:cs="仿宋_GB2312"/>
                <w:b/>
                <w:bCs/>
                <w:color w:val="000000" w:themeColor="text1"/>
                <w:kern w:val="0"/>
                <w:sz w:val="28"/>
                <w:szCs w:val="28"/>
                <w:vertAlign w:val="baseline"/>
                <w14:textFill>
                  <w14:solidFill>
                    <w14:schemeClr w14:val="tx1"/>
                  </w14:solidFill>
                </w14:textFill>
              </w:rPr>
            </w:pPr>
            <w:r>
              <w:rPr>
                <w:rFonts w:hint="eastAsia" w:ascii="仿宋_GB2312" w:hAnsi="仿宋_GB2312" w:eastAsia="仿宋_GB2312" w:cs="仿宋_GB2312"/>
                <w:b/>
                <w:bCs/>
                <w:color w:val="000000" w:themeColor="text1"/>
                <w:kern w:val="0"/>
                <w:sz w:val="28"/>
                <w:szCs w:val="28"/>
                <w:vertAlign w:val="baseline"/>
                <w:lang w:val="en-US" w:eastAsia="zh-CN"/>
                <w14:textFill>
                  <w14:solidFill>
                    <w14:schemeClr w14:val="tx1"/>
                  </w14:solidFill>
                </w14:textFill>
              </w:rPr>
              <w:t>%</w:t>
            </w:r>
          </w:p>
        </w:tc>
      </w:tr>
      <w:tr w14:paraId="4BAD8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4" w:type="dxa"/>
            <w:vMerge w:val="continue"/>
            <w:vAlign w:val="center"/>
          </w:tcPr>
          <w:p w14:paraId="37107D1D">
            <w:pPr>
              <w:widowControl/>
              <w:numPr>
                <w:ilvl w:val="0"/>
                <w:numId w:val="0"/>
              </w:numPr>
              <w:jc w:val="center"/>
              <w:rPr>
                <w:rFonts w:hint="eastAsia" w:ascii="仿宋_GB2312" w:hAnsi="仿宋_GB2312" w:eastAsia="仿宋_GB2312" w:cs="仿宋_GB2312"/>
                <w:b/>
                <w:bCs/>
                <w:color w:val="000000" w:themeColor="text1"/>
                <w:kern w:val="0"/>
                <w:sz w:val="28"/>
                <w:szCs w:val="28"/>
                <w:vertAlign w:val="baseline"/>
                <w14:textFill>
                  <w14:solidFill>
                    <w14:schemeClr w14:val="tx1"/>
                  </w14:solidFill>
                </w14:textFill>
              </w:rPr>
            </w:pPr>
          </w:p>
        </w:tc>
        <w:tc>
          <w:tcPr>
            <w:tcW w:w="2766" w:type="dxa"/>
            <w:vAlign w:val="center"/>
          </w:tcPr>
          <w:p w14:paraId="3B48F6A5">
            <w:pPr>
              <w:widowControl/>
              <w:numPr>
                <w:ilvl w:val="0"/>
                <w:numId w:val="0"/>
              </w:numPr>
              <w:jc w:val="center"/>
              <w:rPr>
                <w:rFonts w:hint="default" w:ascii="仿宋_GB2312" w:hAnsi="仿宋_GB2312" w:eastAsia="仿宋_GB2312" w:cs="仿宋_GB2312"/>
                <w:b/>
                <w:bCs/>
                <w:color w:val="000000" w:themeColor="text1"/>
                <w:kern w:val="0"/>
                <w:sz w:val="28"/>
                <w:szCs w:val="28"/>
                <w:vertAlign w:val="baseline"/>
                <w:lang w:val="en-US" w:eastAsia="zh-CN"/>
                <w14:textFill>
                  <w14:solidFill>
                    <w14:schemeClr w14:val="tx1"/>
                  </w14:solidFill>
                </w14:textFill>
              </w:rPr>
            </w:pPr>
            <w:r>
              <w:rPr>
                <w:rFonts w:hint="eastAsia" w:ascii="仿宋_GB2312" w:hAnsi="仿宋_GB2312" w:eastAsia="仿宋_GB2312" w:cs="仿宋_GB2312"/>
                <w:b/>
                <w:bCs/>
                <w:color w:val="000000" w:themeColor="text1"/>
                <w:kern w:val="0"/>
                <w:sz w:val="28"/>
                <w:szCs w:val="28"/>
                <w:vertAlign w:val="baseline"/>
                <w:lang w:val="en-US" w:eastAsia="zh-CN"/>
                <w14:textFill>
                  <w14:solidFill>
                    <w14:schemeClr w14:val="tx1"/>
                  </w14:solidFill>
                </w14:textFill>
              </w:rPr>
              <w:t>SO</w:t>
            </w:r>
            <w:r>
              <w:rPr>
                <w:rFonts w:hint="eastAsia" w:ascii="仿宋_GB2312" w:hAnsi="仿宋_GB2312" w:eastAsia="仿宋_GB2312" w:cs="仿宋_GB2312"/>
                <w:b/>
                <w:bCs/>
                <w:color w:val="000000" w:themeColor="text1"/>
                <w:kern w:val="0"/>
                <w:sz w:val="28"/>
                <w:szCs w:val="28"/>
                <w:vertAlign w:val="subscript"/>
                <w:lang w:val="en-US" w:eastAsia="zh-CN"/>
                <w14:textFill>
                  <w14:solidFill>
                    <w14:schemeClr w14:val="tx1"/>
                  </w14:solidFill>
                </w14:textFill>
              </w:rPr>
              <w:t>3</w:t>
            </w:r>
            <w:r>
              <w:rPr>
                <w:rFonts w:hint="eastAsia" w:ascii="仿宋_GB2312" w:hAnsi="仿宋_GB2312" w:eastAsia="仿宋_GB2312" w:cs="仿宋_GB2312"/>
                <w:b/>
                <w:bCs/>
                <w:color w:val="000000" w:themeColor="text1"/>
                <w:kern w:val="0"/>
                <w:sz w:val="28"/>
                <w:szCs w:val="28"/>
                <w:vertAlign w:val="baseline"/>
                <w:lang w:val="en-US" w:eastAsia="zh-CN"/>
                <w14:textFill>
                  <w14:solidFill>
                    <w14:schemeClr w14:val="tx1"/>
                  </w14:solidFill>
                </w14:textFill>
              </w:rPr>
              <w:t>: 0.2-0.5</w:t>
            </w:r>
          </w:p>
        </w:tc>
        <w:tc>
          <w:tcPr>
            <w:tcW w:w="2766" w:type="dxa"/>
            <w:vAlign w:val="center"/>
          </w:tcPr>
          <w:p w14:paraId="609BAA2F">
            <w:pPr>
              <w:widowControl/>
              <w:numPr>
                <w:ilvl w:val="0"/>
                <w:numId w:val="0"/>
              </w:numPr>
              <w:jc w:val="center"/>
              <w:rPr>
                <w:rFonts w:hint="eastAsia" w:ascii="仿宋_GB2312" w:hAnsi="仿宋_GB2312" w:eastAsia="仿宋_GB2312" w:cs="仿宋_GB2312"/>
                <w:b/>
                <w:bCs/>
                <w:color w:val="000000" w:themeColor="text1"/>
                <w:kern w:val="0"/>
                <w:sz w:val="28"/>
                <w:szCs w:val="28"/>
                <w:vertAlign w:val="baseline"/>
                <w14:textFill>
                  <w14:solidFill>
                    <w14:schemeClr w14:val="tx1"/>
                  </w14:solidFill>
                </w14:textFill>
              </w:rPr>
            </w:pPr>
            <w:r>
              <w:rPr>
                <w:rFonts w:hint="eastAsia" w:ascii="仿宋_GB2312" w:hAnsi="仿宋_GB2312" w:eastAsia="仿宋_GB2312" w:cs="仿宋_GB2312"/>
                <w:b/>
                <w:bCs/>
                <w:color w:val="000000" w:themeColor="text1"/>
                <w:kern w:val="0"/>
                <w:sz w:val="28"/>
                <w:szCs w:val="28"/>
                <w:vertAlign w:val="baseline"/>
                <w:lang w:val="en-US" w:eastAsia="zh-CN"/>
                <w14:textFill>
                  <w14:solidFill>
                    <w14:schemeClr w14:val="tx1"/>
                  </w14:solidFill>
                </w14:textFill>
              </w:rPr>
              <w:t>%</w:t>
            </w:r>
          </w:p>
        </w:tc>
      </w:tr>
      <w:tr w14:paraId="27CF7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4" w:type="dxa"/>
            <w:vAlign w:val="center"/>
          </w:tcPr>
          <w:p w14:paraId="75979E11">
            <w:pPr>
              <w:widowControl/>
              <w:numPr>
                <w:ilvl w:val="0"/>
                <w:numId w:val="0"/>
              </w:numPr>
              <w:jc w:val="center"/>
              <w:rPr>
                <w:rFonts w:hint="default" w:ascii="仿宋_GB2312" w:hAnsi="仿宋_GB2312" w:eastAsia="仿宋_GB2312" w:cs="仿宋_GB2312"/>
                <w:b/>
                <w:bCs/>
                <w:color w:val="000000" w:themeColor="text1"/>
                <w:kern w:val="0"/>
                <w:sz w:val="28"/>
                <w:szCs w:val="28"/>
                <w:vertAlign w:val="baseline"/>
                <w:lang w:val="en-US" w:eastAsia="zh-CN"/>
                <w14:textFill>
                  <w14:solidFill>
                    <w14:schemeClr w14:val="tx1"/>
                  </w14:solidFill>
                </w14:textFill>
              </w:rPr>
            </w:pPr>
            <w:r>
              <w:rPr>
                <w:rFonts w:hint="eastAsia" w:ascii="仿宋_GB2312" w:hAnsi="仿宋_GB2312" w:eastAsia="仿宋_GB2312" w:cs="仿宋_GB2312"/>
                <w:b/>
                <w:bCs/>
                <w:color w:val="000000" w:themeColor="text1"/>
                <w:kern w:val="0"/>
                <w:sz w:val="28"/>
                <w:szCs w:val="28"/>
                <w:vertAlign w:val="baseline"/>
                <w:lang w:val="en-US" w:eastAsia="zh-CN"/>
                <w14:textFill>
                  <w14:solidFill>
                    <w14:schemeClr w14:val="tx1"/>
                  </w14:solidFill>
                </w14:textFill>
              </w:rPr>
              <w:t>烟气温度</w:t>
            </w:r>
          </w:p>
        </w:tc>
        <w:tc>
          <w:tcPr>
            <w:tcW w:w="2766" w:type="dxa"/>
            <w:vAlign w:val="center"/>
          </w:tcPr>
          <w:p w14:paraId="1AC6E5ED">
            <w:pPr>
              <w:widowControl/>
              <w:numPr>
                <w:ilvl w:val="0"/>
                <w:numId w:val="0"/>
              </w:numPr>
              <w:jc w:val="center"/>
              <w:rPr>
                <w:rFonts w:hint="default" w:ascii="仿宋_GB2312" w:hAnsi="仿宋_GB2312" w:eastAsia="仿宋_GB2312" w:cs="仿宋_GB2312"/>
                <w:b/>
                <w:bCs/>
                <w:color w:val="000000" w:themeColor="text1"/>
                <w:kern w:val="0"/>
                <w:sz w:val="28"/>
                <w:szCs w:val="28"/>
                <w:vertAlign w:val="baseline"/>
                <w:lang w:val="en-US" w:eastAsia="zh-CN"/>
                <w14:textFill>
                  <w14:solidFill>
                    <w14:schemeClr w14:val="tx1"/>
                  </w14:solidFill>
                </w14:textFill>
              </w:rPr>
            </w:pPr>
            <w:r>
              <w:rPr>
                <w:rFonts w:hint="eastAsia" w:ascii="仿宋_GB2312" w:hAnsi="仿宋_GB2312" w:eastAsia="仿宋_GB2312" w:cs="仿宋_GB2312"/>
                <w:b/>
                <w:bCs/>
                <w:color w:val="000000" w:themeColor="text1"/>
                <w:kern w:val="0"/>
                <w:sz w:val="28"/>
                <w:szCs w:val="28"/>
                <w:vertAlign w:val="baseline"/>
                <w:lang w:val="en-US" w:eastAsia="zh-CN"/>
                <w14:textFill>
                  <w14:solidFill>
                    <w14:schemeClr w14:val="tx1"/>
                  </w14:solidFill>
                </w14:textFill>
              </w:rPr>
              <w:t>100</w:t>
            </w:r>
          </w:p>
        </w:tc>
        <w:tc>
          <w:tcPr>
            <w:tcW w:w="2766" w:type="dxa"/>
            <w:vAlign w:val="center"/>
          </w:tcPr>
          <w:p w14:paraId="4F796DFA">
            <w:pPr>
              <w:widowControl/>
              <w:numPr>
                <w:ilvl w:val="0"/>
                <w:numId w:val="0"/>
              </w:numPr>
              <w:jc w:val="center"/>
              <w:rPr>
                <w:rFonts w:hint="eastAsia" w:ascii="仿宋_GB2312" w:hAnsi="仿宋_GB2312" w:eastAsia="仿宋_GB2312" w:cs="仿宋_GB2312"/>
                <w:b/>
                <w:bCs/>
                <w:color w:val="000000" w:themeColor="text1"/>
                <w:kern w:val="0"/>
                <w:sz w:val="28"/>
                <w:szCs w:val="28"/>
                <w:vertAlign w:val="baseline"/>
                <w14:textFill>
                  <w14:solidFill>
                    <w14:schemeClr w14:val="tx1"/>
                  </w14:solidFill>
                </w14:textFill>
              </w:rPr>
            </w:pPr>
            <w:r>
              <w:rPr>
                <w:rFonts w:hint="eastAsia" w:ascii="宋体" w:hAnsi="宋体" w:eastAsia="宋体" w:cs="宋体"/>
                <w:b/>
                <w:bCs/>
                <w:color w:val="000000" w:themeColor="text1"/>
                <w:kern w:val="0"/>
                <w:sz w:val="28"/>
                <w:szCs w:val="28"/>
                <w:vertAlign w:val="baseline"/>
                <w14:textFill>
                  <w14:solidFill>
                    <w14:schemeClr w14:val="tx1"/>
                  </w14:solidFill>
                </w14:textFill>
              </w:rPr>
              <w:t>℃</w:t>
            </w:r>
          </w:p>
        </w:tc>
      </w:tr>
      <w:tr w14:paraId="63B18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4" w:type="dxa"/>
            <w:vAlign w:val="center"/>
          </w:tcPr>
          <w:p w14:paraId="7EDE7E41">
            <w:pPr>
              <w:widowControl/>
              <w:numPr>
                <w:ilvl w:val="0"/>
                <w:numId w:val="0"/>
              </w:numPr>
              <w:jc w:val="center"/>
              <w:rPr>
                <w:rFonts w:hint="default" w:ascii="仿宋_GB2312" w:hAnsi="仿宋_GB2312" w:eastAsia="仿宋_GB2312" w:cs="仿宋_GB2312"/>
                <w:b/>
                <w:bCs/>
                <w:color w:val="000000" w:themeColor="text1"/>
                <w:kern w:val="0"/>
                <w:sz w:val="28"/>
                <w:szCs w:val="28"/>
                <w:vertAlign w:val="baseline"/>
                <w:lang w:val="en-US" w:eastAsia="zh-CN"/>
                <w14:textFill>
                  <w14:solidFill>
                    <w14:schemeClr w14:val="tx1"/>
                  </w14:solidFill>
                </w14:textFill>
              </w:rPr>
            </w:pPr>
            <w:r>
              <w:rPr>
                <w:rFonts w:hint="eastAsia" w:ascii="仿宋_GB2312" w:hAnsi="仿宋_GB2312" w:eastAsia="仿宋_GB2312" w:cs="仿宋_GB2312"/>
                <w:b/>
                <w:bCs/>
                <w:color w:val="000000" w:themeColor="text1"/>
                <w:kern w:val="0"/>
                <w:sz w:val="28"/>
                <w:szCs w:val="28"/>
                <w:vertAlign w:val="baseline"/>
                <w:lang w:val="en-US" w:eastAsia="zh-CN"/>
                <w14:textFill>
                  <w14:solidFill>
                    <w14:schemeClr w14:val="tx1"/>
                  </w14:solidFill>
                </w14:textFill>
              </w:rPr>
              <w:t>烟气压力</w:t>
            </w:r>
          </w:p>
        </w:tc>
        <w:tc>
          <w:tcPr>
            <w:tcW w:w="2766" w:type="dxa"/>
            <w:vAlign w:val="center"/>
          </w:tcPr>
          <w:p w14:paraId="21C394D7">
            <w:pPr>
              <w:widowControl/>
              <w:numPr>
                <w:ilvl w:val="0"/>
                <w:numId w:val="0"/>
              </w:numPr>
              <w:jc w:val="center"/>
              <w:rPr>
                <w:rFonts w:hint="default" w:ascii="仿宋_GB2312" w:hAnsi="仿宋_GB2312" w:eastAsia="仿宋_GB2312" w:cs="仿宋_GB2312"/>
                <w:b/>
                <w:bCs/>
                <w:color w:val="000000" w:themeColor="text1"/>
                <w:kern w:val="0"/>
                <w:sz w:val="28"/>
                <w:szCs w:val="28"/>
                <w:vertAlign w:val="baseline"/>
                <w:lang w:val="en-US" w:eastAsia="zh-CN"/>
                <w14:textFill>
                  <w14:solidFill>
                    <w14:schemeClr w14:val="tx1"/>
                  </w14:solidFill>
                </w14:textFill>
              </w:rPr>
            </w:pPr>
            <w:r>
              <w:rPr>
                <w:rFonts w:hint="eastAsia" w:ascii="仿宋_GB2312" w:hAnsi="仿宋_GB2312" w:eastAsia="仿宋_GB2312" w:cs="仿宋_GB2312"/>
                <w:b/>
                <w:bCs/>
                <w:color w:val="000000" w:themeColor="text1"/>
                <w:kern w:val="0"/>
                <w:sz w:val="28"/>
                <w:szCs w:val="28"/>
                <w:vertAlign w:val="baseline"/>
                <w:lang w:val="en-US" w:eastAsia="zh-CN"/>
                <w14:textFill>
                  <w14:solidFill>
                    <w14:schemeClr w14:val="tx1"/>
                  </w14:solidFill>
                </w14:textFill>
              </w:rPr>
              <w:t>30</w:t>
            </w:r>
          </w:p>
        </w:tc>
        <w:tc>
          <w:tcPr>
            <w:tcW w:w="2766" w:type="dxa"/>
            <w:vAlign w:val="center"/>
          </w:tcPr>
          <w:p w14:paraId="7A27AB30">
            <w:pPr>
              <w:widowControl/>
              <w:numPr>
                <w:ilvl w:val="0"/>
                <w:numId w:val="0"/>
              </w:numPr>
              <w:jc w:val="center"/>
              <w:rPr>
                <w:rFonts w:hint="default" w:ascii="仿宋_GB2312" w:hAnsi="仿宋_GB2312" w:eastAsia="仿宋_GB2312" w:cs="仿宋_GB2312"/>
                <w:b/>
                <w:bCs/>
                <w:color w:val="000000" w:themeColor="text1"/>
                <w:kern w:val="0"/>
                <w:sz w:val="28"/>
                <w:szCs w:val="28"/>
                <w:vertAlign w:val="baseline"/>
                <w:lang w:val="en-US" w:eastAsia="zh-CN"/>
                <w14:textFill>
                  <w14:solidFill>
                    <w14:schemeClr w14:val="tx1"/>
                  </w14:solidFill>
                </w14:textFill>
              </w:rPr>
            </w:pPr>
            <w:r>
              <w:rPr>
                <w:rFonts w:hint="eastAsia" w:ascii="仿宋_GB2312" w:hAnsi="仿宋_GB2312" w:eastAsia="仿宋_GB2312" w:cs="仿宋_GB2312"/>
                <w:b/>
                <w:bCs/>
                <w:color w:val="000000" w:themeColor="text1"/>
                <w:kern w:val="0"/>
                <w:sz w:val="28"/>
                <w:szCs w:val="28"/>
                <w:vertAlign w:val="baseline"/>
                <w:lang w:val="en-US" w:eastAsia="zh-CN"/>
                <w14:textFill>
                  <w14:solidFill>
                    <w14:schemeClr w14:val="tx1"/>
                  </w14:solidFill>
                </w14:textFill>
              </w:rPr>
              <w:t>KPa</w:t>
            </w:r>
          </w:p>
        </w:tc>
      </w:tr>
    </w:tbl>
    <w:p w14:paraId="40879C5A">
      <w:pPr>
        <w:widowControl/>
        <w:jc w:val="left"/>
        <w:rPr>
          <w:rFonts w:hint="eastAsia" w:ascii="仿宋_GB2312" w:hAnsi="仿宋_GB2312" w:eastAsia="仿宋_GB2312" w:cs="仿宋_GB2312"/>
          <w:b/>
          <w:bCs/>
          <w:color w:val="000000" w:themeColor="text1"/>
          <w:sz w:val="28"/>
          <w:szCs w:val="28"/>
          <w14:textFill>
            <w14:solidFill>
              <w14:schemeClr w14:val="tx1"/>
            </w14:solidFill>
          </w14:textFill>
        </w:rPr>
      </w:pPr>
      <w:r>
        <w:rPr>
          <w:rFonts w:hint="eastAsia" w:ascii="仿宋_GB2312" w:hAnsi="仿宋_GB2312" w:eastAsia="仿宋_GB2312" w:cs="仿宋_GB2312"/>
          <w:b/>
          <w:bCs/>
          <w:color w:val="000000" w:themeColor="text1"/>
          <w:sz w:val="28"/>
          <w:szCs w:val="28"/>
          <w14:textFill>
            <w14:solidFill>
              <w14:schemeClr w14:val="tx1"/>
            </w14:solidFill>
          </w14:textFill>
        </w:rPr>
        <w:t>4.说明</w:t>
      </w:r>
    </w:p>
    <w:p w14:paraId="2D8609BB">
      <w:pPr>
        <w:widowControl/>
        <w:ind w:firstLine="560" w:firstLineChars="200"/>
        <w:jc w:val="left"/>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4.1本技术规格书适用于我公司</w:t>
      </w: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1</w:t>
      </w:r>
      <w:r>
        <w:rPr>
          <w:rFonts w:hint="eastAsia" w:ascii="仿宋_GB2312" w:hAnsi="仿宋_GB2312" w:eastAsia="仿宋_GB2312" w:cs="仿宋_GB2312"/>
          <w:color w:val="000000" w:themeColor="text1"/>
          <w:kern w:val="0"/>
          <w:sz w:val="28"/>
          <w:szCs w:val="28"/>
          <w:highlight w:val="none"/>
          <w14:textFill>
            <w14:solidFill>
              <w14:schemeClr w14:val="tx1"/>
            </w14:solidFill>
          </w14:textFill>
        </w:rPr>
        <w:t>0万吨</w:t>
      </w: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锌精矿烟气</w:t>
      </w:r>
      <w:r>
        <w:rPr>
          <w:rFonts w:hint="eastAsia" w:ascii="仿宋_GB2312" w:hAnsi="仿宋_GB2312" w:eastAsia="仿宋_GB2312" w:cs="仿宋_GB2312"/>
          <w:color w:val="000000" w:themeColor="text1"/>
          <w:kern w:val="0"/>
          <w:sz w:val="28"/>
          <w:szCs w:val="28"/>
          <w:highlight w:val="none"/>
          <w14:textFill>
            <w14:solidFill>
              <w14:schemeClr w14:val="tx1"/>
            </w14:solidFill>
          </w14:textFill>
        </w:rPr>
        <w:t>制酸装置</w:t>
      </w: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二氧化硫风机</w:t>
      </w:r>
      <w:r>
        <w:rPr>
          <w:rFonts w:hint="eastAsia" w:ascii="仿宋_GB2312" w:hAnsi="仿宋_GB2312" w:eastAsia="仿宋_GB2312" w:cs="仿宋_GB2312"/>
          <w:color w:val="000000" w:themeColor="text1"/>
          <w:kern w:val="0"/>
          <w:sz w:val="28"/>
          <w:szCs w:val="28"/>
          <w:highlight w:val="none"/>
          <w14:textFill>
            <w14:solidFill>
              <w14:schemeClr w14:val="tx1"/>
            </w14:solidFill>
          </w14:textFill>
        </w:rPr>
        <w:t>出口烟气SO</w:t>
      </w:r>
      <w:r>
        <w:rPr>
          <w:rFonts w:hint="eastAsia" w:ascii="仿宋_GB2312" w:hAnsi="仿宋_GB2312" w:eastAsia="仿宋_GB2312" w:cs="仿宋_GB2312"/>
          <w:color w:val="000000" w:themeColor="text1"/>
          <w:kern w:val="0"/>
          <w:sz w:val="28"/>
          <w:szCs w:val="28"/>
          <w:highlight w:val="none"/>
          <w:vertAlign w:val="subscript"/>
          <w14:textFill>
            <w14:solidFill>
              <w14:schemeClr w14:val="tx1"/>
            </w14:solidFill>
          </w14:textFill>
        </w:rPr>
        <w:t>2</w:t>
      </w:r>
      <w:r>
        <w:rPr>
          <w:rFonts w:hint="eastAsia" w:ascii="仿宋_GB2312" w:hAnsi="仿宋_GB2312" w:eastAsia="仿宋_GB2312" w:cs="仿宋_GB2312"/>
          <w:color w:val="000000" w:themeColor="text1"/>
          <w:kern w:val="0"/>
          <w:sz w:val="28"/>
          <w:szCs w:val="28"/>
          <w:highlight w:val="none"/>
          <w14:textFill>
            <w14:solidFill>
              <w14:schemeClr w14:val="tx1"/>
            </w14:solidFill>
          </w14:textFill>
        </w:rPr>
        <w:t>在线分析系统的功能设计、结构、性能、安装和试验等有关方面的技术要求</w:t>
      </w: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锌精矿烟气</w:t>
      </w:r>
      <w:r>
        <w:rPr>
          <w:rFonts w:hint="eastAsia" w:ascii="仿宋_GB2312" w:hAnsi="仿宋_GB2312" w:eastAsia="仿宋_GB2312" w:cs="仿宋_GB2312"/>
          <w:color w:val="000000" w:themeColor="text1"/>
          <w:kern w:val="0"/>
          <w:sz w:val="28"/>
          <w:szCs w:val="28"/>
          <w:highlight w:val="none"/>
          <w14:textFill>
            <w14:solidFill>
              <w14:schemeClr w14:val="tx1"/>
            </w14:solidFill>
          </w14:textFill>
        </w:rPr>
        <w:t>制酸装置</w:t>
      </w: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二氧化硫风机</w:t>
      </w:r>
      <w:r>
        <w:rPr>
          <w:rFonts w:hint="eastAsia" w:ascii="仿宋_GB2312" w:hAnsi="仿宋_GB2312" w:eastAsia="仿宋_GB2312" w:cs="仿宋_GB2312"/>
          <w:color w:val="000000" w:themeColor="text1"/>
          <w:kern w:val="0"/>
          <w:sz w:val="28"/>
          <w:szCs w:val="28"/>
          <w:highlight w:val="none"/>
          <w14:textFill>
            <w14:solidFill>
              <w14:schemeClr w14:val="tx1"/>
            </w14:solidFill>
          </w14:textFill>
        </w:rPr>
        <w:t>出口烟气SO</w:t>
      </w:r>
      <w:r>
        <w:rPr>
          <w:rFonts w:hint="eastAsia" w:ascii="仿宋_GB2312" w:hAnsi="仿宋_GB2312" w:eastAsia="仿宋_GB2312" w:cs="仿宋_GB2312"/>
          <w:color w:val="000000" w:themeColor="text1"/>
          <w:kern w:val="0"/>
          <w:sz w:val="28"/>
          <w:szCs w:val="28"/>
          <w:highlight w:val="none"/>
          <w:vertAlign w:val="subscript"/>
          <w14:textFill>
            <w14:solidFill>
              <w14:schemeClr w14:val="tx1"/>
            </w14:solidFill>
          </w14:textFill>
        </w:rPr>
        <w:t>2</w:t>
      </w:r>
      <w:r>
        <w:rPr>
          <w:rFonts w:hint="eastAsia" w:ascii="仿宋_GB2312" w:hAnsi="仿宋_GB2312" w:eastAsia="仿宋_GB2312" w:cs="仿宋_GB2312"/>
          <w:color w:val="000000" w:themeColor="text1"/>
          <w:kern w:val="0"/>
          <w:sz w:val="28"/>
          <w:szCs w:val="28"/>
          <w:highlight w:val="none"/>
          <w14:textFill>
            <w14:solidFill>
              <w14:schemeClr w14:val="tx1"/>
            </w14:solidFill>
          </w14:textFill>
        </w:rPr>
        <w:t>在线分析系统由投标方提供如下服务：系统设计、设备制</w:t>
      </w:r>
      <w:r>
        <w:rPr>
          <w:rFonts w:hint="eastAsia" w:ascii="仿宋_GB2312" w:hAnsi="仿宋_GB2312" w:eastAsia="仿宋_GB2312" w:cs="仿宋_GB2312"/>
          <w:color w:val="000000" w:themeColor="text1"/>
          <w:kern w:val="0"/>
          <w:sz w:val="28"/>
          <w:szCs w:val="28"/>
          <w14:textFill>
            <w14:solidFill>
              <w14:schemeClr w14:val="tx1"/>
            </w14:solidFill>
          </w14:textFill>
        </w:rPr>
        <w:t>造与供货、运输、指导安装,调试，使用、操作、标定培训。</w:t>
      </w:r>
    </w:p>
    <w:p w14:paraId="0A300708">
      <w:pPr>
        <w:widowControl/>
        <w:ind w:firstLine="560" w:firstLineChars="200"/>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4.2本技术规格书提出的是最低限度的技术要求,乙方需提供符合本规范书和有关工业标准要求的优质产品。乙方所提供的分析仪系统，包括设计、制作和安装施工以及有关技术文件和图纸，遵循下述标准和规范：</w:t>
      </w:r>
    </w:p>
    <w:p w14:paraId="6F8A64F1">
      <w:pPr>
        <w:widowControl/>
        <w:ind w:firstLine="560" w:firstLineChars="200"/>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《包装储运图示标志》（GB/T 191-2008）</w:t>
      </w:r>
    </w:p>
    <w:p w14:paraId="2B4F63BE">
      <w:pPr>
        <w:widowControl/>
        <w:ind w:firstLine="560" w:firstLineChars="200"/>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《测量、控制和实验室用电气设备的安全要求 第 1 部分：通用要求》（GB 4793.1-2007）</w:t>
      </w:r>
    </w:p>
    <w:p w14:paraId="1FB242F9">
      <w:pPr>
        <w:widowControl/>
        <w:ind w:firstLine="560" w:firstLineChars="200"/>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《激光产品的安全 第 1 部分：设备分类、要求和用户指南》（GB 7247.1-2001）</w:t>
      </w:r>
    </w:p>
    <w:p w14:paraId="14C000DC">
      <w:pPr>
        <w:widowControl/>
        <w:ind w:firstLine="560" w:firstLineChars="200"/>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《分析仪器环境试验方法》（GB/T 11606-2007）</w:t>
      </w:r>
    </w:p>
    <w:p w14:paraId="24EDA674">
      <w:pPr>
        <w:widowControl/>
        <w:ind w:firstLine="560" w:firstLineChars="200"/>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《机电产品包装通用技术条件》（GB/T 13384-2008）</w:t>
      </w:r>
    </w:p>
    <w:p w14:paraId="4C178243">
      <w:pPr>
        <w:ind w:firstLine="560" w:firstLineChars="200"/>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《测量、控制和实验室用的电设备电磁兼容性要求》（GB/T18268-2000）</w:t>
      </w:r>
    </w:p>
    <w:p w14:paraId="3CED212D">
      <w:pPr>
        <w:widowControl/>
        <w:ind w:firstLine="560" w:firstLineChars="200"/>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《气体分析器性能表示 第 1 部分：总则》（GB/T 18403.1-2001）</w:t>
      </w:r>
    </w:p>
    <w:p w14:paraId="701E9735">
      <w:pPr>
        <w:widowControl/>
        <w:ind w:firstLine="560" w:firstLineChars="200"/>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《可调谐激光气体分析仪》（GB/T 25476-2010）</w:t>
      </w:r>
    </w:p>
    <w:p w14:paraId="609BC09E">
      <w:pPr>
        <w:widowControl/>
        <w:ind w:firstLine="560" w:firstLineChars="200"/>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《自动化仪表工程施工及验收规范》（GB 50093-2002）</w:t>
      </w:r>
    </w:p>
    <w:p w14:paraId="52394AAF">
      <w:pPr>
        <w:widowControl/>
        <w:ind w:firstLine="560" w:firstLineChars="200"/>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《在线分析仪系统的设计和安装》（EEMUA No.138）</w:t>
      </w:r>
    </w:p>
    <w:p w14:paraId="7AF2FAE1">
      <w:pPr>
        <w:widowControl/>
        <w:ind w:firstLine="560" w:firstLineChars="200"/>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《工艺配管》（ASME/ANSI B31.3）</w:t>
      </w:r>
    </w:p>
    <w:p w14:paraId="568F8BBD">
      <w:pPr>
        <w:widowControl/>
        <w:ind w:firstLine="560" w:firstLineChars="200"/>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《自动化仪表选型设计规定》（HG/T 20507-2000）</w:t>
      </w:r>
    </w:p>
    <w:p w14:paraId="5BF0B131">
      <w:pPr>
        <w:widowControl/>
        <w:ind w:firstLine="560" w:firstLineChars="200"/>
        <w:jc w:val="left"/>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《仪表配管配线设计规定》（HG/T 20512-2000）</w:t>
      </w:r>
    </w:p>
    <w:p w14:paraId="3BCA9558">
      <w:pPr>
        <w:widowControl/>
        <w:jc w:val="left"/>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b/>
          <w:bCs/>
          <w:color w:val="000000" w:themeColor="text1"/>
          <w:kern w:val="0"/>
          <w:sz w:val="28"/>
          <w:szCs w:val="28"/>
          <w14:textFill>
            <w14:solidFill>
              <w14:schemeClr w14:val="tx1"/>
            </w14:solidFill>
          </w14:textFill>
        </w:rPr>
        <w:t>注意：</w:t>
      </w:r>
      <w:r>
        <w:rPr>
          <w:rFonts w:hint="eastAsia" w:ascii="仿宋_GB2312" w:hAnsi="仿宋_GB2312" w:eastAsia="仿宋_GB2312" w:cs="仿宋_GB2312"/>
          <w:color w:val="000000" w:themeColor="text1"/>
          <w:kern w:val="0"/>
          <w:sz w:val="28"/>
          <w:szCs w:val="28"/>
          <w14:textFill>
            <w14:solidFill>
              <w14:schemeClr w14:val="tx1"/>
            </w14:solidFill>
          </w14:textFill>
        </w:rPr>
        <w:t>乙方提供的分析系统应满足但不限于规格书所列标准。</w:t>
      </w:r>
    </w:p>
    <w:p w14:paraId="65D02410">
      <w:pPr>
        <w:widowControl/>
        <w:ind w:firstLine="560" w:firstLineChars="200"/>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4.3所有文件、图纸、计算、说明、使用手册等，使用中华人民共和国法定计量单位。</w:t>
      </w:r>
    </w:p>
    <w:p w14:paraId="7D046482">
      <w:pPr>
        <w:widowControl/>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b/>
          <w:bCs/>
          <w:color w:val="000000" w:themeColor="text1"/>
          <w:kern w:val="0"/>
          <w:sz w:val="28"/>
          <w:szCs w:val="28"/>
          <w14:textFill>
            <w14:solidFill>
              <w14:schemeClr w14:val="tx1"/>
            </w14:solidFill>
          </w14:textFill>
        </w:rPr>
        <w:t>5.设计要求和设备规范</w:t>
      </w:r>
    </w:p>
    <w:p w14:paraId="2C90C23E">
      <w:pPr>
        <w:widowControl/>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b/>
          <w:bCs/>
          <w:color w:val="000000" w:themeColor="text1"/>
          <w:kern w:val="0"/>
          <w:sz w:val="28"/>
          <w:szCs w:val="28"/>
          <w14:textFill>
            <w14:solidFill>
              <w14:schemeClr w14:val="tx1"/>
            </w14:solidFill>
          </w14:textFill>
        </w:rPr>
        <w:t>5.1设计要求</w:t>
      </w:r>
    </w:p>
    <w:p w14:paraId="48789778">
      <w:pPr>
        <w:widowControl/>
        <w:jc w:val="left"/>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设备名称：烟气SO</w:t>
      </w:r>
      <w:r>
        <w:rPr>
          <w:rFonts w:hint="eastAsia" w:ascii="仿宋_GB2312" w:hAnsi="仿宋_GB2312" w:eastAsia="仿宋_GB2312" w:cs="仿宋_GB2312"/>
          <w:color w:val="000000" w:themeColor="text1"/>
          <w:kern w:val="0"/>
          <w:sz w:val="28"/>
          <w:szCs w:val="28"/>
          <w:vertAlign w:val="subscript"/>
          <w14:textFill>
            <w14:solidFill>
              <w14:schemeClr w14:val="tx1"/>
            </w14:solidFill>
          </w14:textFill>
        </w:rPr>
        <w:t>2</w:t>
      </w:r>
      <w:r>
        <w:rPr>
          <w:rFonts w:hint="eastAsia" w:ascii="仿宋_GB2312" w:hAnsi="仿宋_GB2312" w:eastAsia="仿宋_GB2312" w:cs="仿宋_GB2312"/>
          <w:color w:val="000000" w:themeColor="text1"/>
          <w:kern w:val="0"/>
          <w:sz w:val="28"/>
          <w:szCs w:val="28"/>
          <w14:textFill>
            <w14:solidFill>
              <w14:schemeClr w14:val="tx1"/>
            </w14:solidFill>
          </w14:textFill>
        </w:rPr>
        <w:t>在线分析系统</w:t>
      </w:r>
    </w:p>
    <w:p w14:paraId="5557B35B">
      <w:pPr>
        <w:widowControl/>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kern w:val="0"/>
          <w:sz w:val="28"/>
          <w:szCs w:val="28"/>
        </w:rPr>
        <w:t>介质：烟气（</w:t>
      </w:r>
      <w:r>
        <w:rPr>
          <w:rFonts w:hint="eastAsia" w:ascii="仿宋_GB2312" w:hAnsi="仿宋_GB2312" w:eastAsia="仿宋_GB2312" w:cs="仿宋_GB2312"/>
          <w:color w:val="auto"/>
          <w:kern w:val="0"/>
          <w:sz w:val="28"/>
          <w:szCs w:val="28"/>
          <w:lang w:val="en-US" w:eastAsia="zh-CN"/>
        </w:rPr>
        <w:t>含</w:t>
      </w:r>
      <w:r>
        <w:rPr>
          <w:rFonts w:hint="eastAsia" w:ascii="仿宋_GB2312" w:hAnsi="仿宋_GB2312" w:eastAsia="仿宋_GB2312" w:cs="仿宋_GB2312"/>
          <w:color w:val="auto"/>
          <w:kern w:val="0"/>
          <w:sz w:val="28"/>
          <w:szCs w:val="28"/>
          <w:lang w:eastAsia="zh-CN"/>
        </w:rPr>
        <w:t>水分：</w:t>
      </w:r>
      <w:r>
        <w:rPr>
          <w:rFonts w:hint="eastAsia" w:ascii="仿宋_GB2312" w:hAnsi="仿宋_GB2312" w:eastAsia="仿宋_GB2312" w:cs="仿宋_GB2312"/>
          <w:color w:val="auto"/>
          <w:kern w:val="0"/>
          <w:sz w:val="28"/>
          <w:szCs w:val="28"/>
          <w:lang w:val="en-US" w:eastAsia="zh-CN"/>
        </w:rPr>
        <w:t>0.1~0.2毫克每立方米</w:t>
      </w:r>
      <w:r>
        <w:rPr>
          <w:rFonts w:hint="eastAsia" w:ascii="仿宋_GB2312" w:hAnsi="仿宋_GB2312" w:eastAsia="仿宋_GB2312" w:cs="仿宋_GB2312"/>
          <w:color w:val="auto"/>
          <w:kern w:val="0"/>
          <w:sz w:val="28"/>
          <w:szCs w:val="28"/>
        </w:rPr>
        <w:t>）</w:t>
      </w:r>
    </w:p>
    <w:p w14:paraId="20887EF4">
      <w:pPr>
        <w:widowControl/>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采样型式：直接采样式(乙方提供采样气详细方案，采样管建议采用涂层，避免SO</w:t>
      </w:r>
      <w:r>
        <w:rPr>
          <w:rFonts w:hint="eastAsia" w:ascii="仿宋_GB2312" w:hAnsi="仿宋_GB2312" w:eastAsia="仿宋_GB2312" w:cs="仿宋_GB2312"/>
          <w:color w:val="000000" w:themeColor="text1"/>
          <w:kern w:val="0"/>
          <w:sz w:val="28"/>
          <w:szCs w:val="28"/>
          <w:vertAlign w:val="subscript"/>
          <w14:textFill>
            <w14:solidFill>
              <w14:schemeClr w14:val="tx1"/>
            </w14:solidFill>
          </w14:textFill>
        </w:rPr>
        <w:t>2</w:t>
      </w:r>
      <w:r>
        <w:rPr>
          <w:rFonts w:hint="eastAsia" w:ascii="仿宋_GB2312" w:hAnsi="仿宋_GB2312" w:eastAsia="仿宋_GB2312" w:cs="仿宋_GB2312"/>
          <w:color w:val="000000" w:themeColor="text1"/>
          <w:kern w:val="0"/>
          <w:sz w:val="28"/>
          <w:szCs w:val="28"/>
          <w14:textFill>
            <w14:solidFill>
              <w14:schemeClr w14:val="tx1"/>
            </w14:solidFill>
          </w14:textFill>
        </w:rPr>
        <w:t>吸附管道，影响测量结果)</w:t>
      </w:r>
    </w:p>
    <w:p w14:paraId="2F7B28C3">
      <w:pPr>
        <w:widowControl/>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安装位置：</w:t>
      </w:r>
      <w:r>
        <w:rPr>
          <w:rFonts w:hint="eastAsia" w:ascii="仿宋_GB2312" w:hAnsi="仿宋_GB2312" w:eastAsia="仿宋_GB2312" w:cs="仿宋_GB2312"/>
          <w:color w:val="000000" w:themeColor="text1"/>
          <w:kern w:val="0"/>
          <w:sz w:val="28"/>
          <w:szCs w:val="28"/>
          <w:lang w:val="en-US" w:eastAsia="zh-CN"/>
          <w14:textFill>
            <w14:solidFill>
              <w14:schemeClr w14:val="tx1"/>
            </w14:solidFill>
          </w14:textFill>
        </w:rPr>
        <w:t>二氧化硫风机</w:t>
      </w:r>
      <w:r>
        <w:rPr>
          <w:rFonts w:hint="eastAsia" w:ascii="仿宋_GB2312" w:hAnsi="仿宋_GB2312" w:eastAsia="仿宋_GB2312" w:cs="仿宋_GB2312"/>
          <w:color w:val="000000" w:themeColor="text1"/>
          <w:kern w:val="0"/>
          <w:sz w:val="28"/>
          <w:szCs w:val="28"/>
          <w14:textFill>
            <w14:solidFill>
              <w14:schemeClr w14:val="tx1"/>
            </w14:solidFill>
          </w14:textFill>
        </w:rPr>
        <w:t>出口（管道材质：碳钢，直径：φ</w:t>
      </w:r>
      <w:r>
        <w:rPr>
          <w:rFonts w:hint="eastAsia" w:ascii="仿宋_GB2312" w:hAnsi="仿宋_GB2312" w:eastAsia="仿宋_GB2312" w:cs="仿宋_GB2312"/>
          <w:color w:val="000000" w:themeColor="text1"/>
          <w:kern w:val="0"/>
          <w:sz w:val="28"/>
          <w:szCs w:val="28"/>
          <w:lang w:val="en-US" w:eastAsia="zh-CN"/>
          <w14:textFill>
            <w14:solidFill>
              <w14:schemeClr w14:val="tx1"/>
            </w14:solidFill>
          </w14:textFill>
        </w:rPr>
        <w:t>1</w:t>
      </w:r>
      <w:r>
        <w:rPr>
          <w:rFonts w:hint="eastAsia" w:ascii="仿宋_GB2312" w:hAnsi="仿宋_GB2312" w:eastAsia="仿宋_GB2312" w:cs="仿宋_GB2312"/>
          <w:color w:val="000000" w:themeColor="text1"/>
          <w:kern w:val="0"/>
          <w:sz w:val="28"/>
          <w:szCs w:val="28"/>
          <w14:textFill>
            <w14:solidFill>
              <w14:schemeClr w14:val="tx1"/>
            </w14:solidFill>
          </w14:textFill>
        </w:rPr>
        <w:t>000mm,现场</w:t>
      </w:r>
      <w:r>
        <w:rPr>
          <w:rFonts w:hint="eastAsia" w:ascii="仿宋_GB2312" w:hAnsi="仿宋_GB2312" w:eastAsia="仿宋_GB2312" w:cs="仿宋_GB2312"/>
          <w:color w:val="000000" w:themeColor="text1"/>
          <w:kern w:val="0"/>
          <w:sz w:val="28"/>
          <w:szCs w:val="28"/>
          <w:lang w:val="en-US" w:eastAsia="zh-CN"/>
          <w14:textFill>
            <w14:solidFill>
              <w14:schemeClr w14:val="tx1"/>
            </w14:solidFill>
          </w14:textFill>
        </w:rPr>
        <w:t>焊制有取样多口取压阀</w:t>
      </w:r>
      <w:r>
        <w:rPr>
          <w:rFonts w:hint="eastAsia" w:ascii="仿宋_GB2312" w:hAnsi="仿宋_GB2312" w:eastAsia="仿宋_GB2312" w:cs="仿宋_GB2312"/>
          <w:color w:val="000000" w:themeColor="text1"/>
          <w:kern w:val="0"/>
          <w:sz w:val="28"/>
          <w:szCs w:val="28"/>
          <w14:textFill>
            <w14:solidFill>
              <w14:schemeClr w14:val="tx1"/>
            </w14:solidFill>
          </w14:textFill>
        </w:rPr>
        <w:t>（可改）），现场安装。</w:t>
      </w:r>
    </w:p>
    <w:p w14:paraId="22D79DAE">
      <w:pPr>
        <w:widowControl/>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安装台数：1套</w:t>
      </w:r>
    </w:p>
    <w:p w14:paraId="44C8D1B6">
      <w:pPr>
        <w:widowControl/>
        <w:jc w:val="left"/>
        <w:rPr>
          <w:rFonts w:hint="eastAsia" w:ascii="仿宋_GB2312" w:hAnsi="仿宋_GB2312" w:eastAsia="仿宋_GB2312" w:cs="仿宋_GB2312"/>
          <w:color w:val="000000" w:themeColor="text1"/>
          <w:kern w:val="0"/>
          <w:sz w:val="24"/>
          <w14:textFill>
            <w14:solidFill>
              <w14:schemeClr w14:val="tx1"/>
            </w14:solidFill>
          </w14:textFill>
        </w:rPr>
      </w:pPr>
      <w:r>
        <w:rPr>
          <w:rFonts w:hint="eastAsia" w:ascii="仿宋_GB2312" w:hAnsi="仿宋_GB2312" w:eastAsia="仿宋_GB2312" w:cs="仿宋_GB2312"/>
          <w:b/>
          <w:bCs/>
          <w:color w:val="000000" w:themeColor="text1"/>
          <w:kern w:val="0"/>
          <w:sz w:val="28"/>
          <w:szCs w:val="28"/>
          <w14:textFill>
            <w14:solidFill>
              <w14:schemeClr w14:val="tx1"/>
            </w14:solidFill>
          </w14:textFill>
        </w:rPr>
        <w:t>5.2分析参数（</w:t>
      </w:r>
      <w:r>
        <w:rPr>
          <w:rFonts w:hint="eastAsia" w:ascii="仿宋_GB2312" w:hAnsi="仿宋_GB2312" w:eastAsia="仿宋_GB2312" w:cs="仿宋_GB2312"/>
          <w:b/>
          <w:bCs/>
          <w:color w:val="000000" w:themeColor="text1"/>
          <w:kern w:val="0"/>
          <w:sz w:val="28"/>
          <w:szCs w:val="28"/>
          <w:lang w:eastAsia="zh-CN"/>
          <w14:textFill>
            <w14:solidFill>
              <w14:schemeClr w14:val="tx1"/>
            </w14:solidFill>
          </w14:textFill>
        </w:rPr>
        <w:t>组分</w:t>
      </w:r>
      <w:r>
        <w:rPr>
          <w:rFonts w:hint="eastAsia" w:ascii="仿宋_GB2312" w:hAnsi="仿宋_GB2312" w:eastAsia="仿宋_GB2312" w:cs="仿宋_GB2312"/>
          <w:b/>
          <w:bCs/>
          <w:color w:val="000000" w:themeColor="text1"/>
          <w:kern w:val="0"/>
          <w:sz w:val="28"/>
          <w:szCs w:val="28"/>
          <w14:textFill>
            <w14:solidFill>
              <w14:schemeClr w14:val="tx1"/>
            </w14:solidFill>
          </w14:textFill>
        </w:rPr>
        <w:t>）：</w:t>
      </w:r>
      <w:r>
        <w:rPr>
          <w:rFonts w:hint="eastAsia" w:ascii="仿宋_GB2312" w:hAnsi="仿宋_GB2312" w:eastAsia="仿宋_GB2312" w:cs="仿宋_GB2312"/>
          <w:color w:val="000000" w:themeColor="text1"/>
          <w:kern w:val="0"/>
          <w:sz w:val="28"/>
          <w:szCs w:val="28"/>
          <w14:textFill>
            <w14:solidFill>
              <w14:schemeClr w14:val="tx1"/>
            </w14:solidFill>
          </w14:textFill>
        </w:rPr>
        <w:t>工况SO</w:t>
      </w:r>
      <w:r>
        <w:rPr>
          <w:rFonts w:hint="eastAsia" w:ascii="仿宋_GB2312" w:hAnsi="仿宋_GB2312" w:eastAsia="仿宋_GB2312" w:cs="仿宋_GB2312"/>
          <w:color w:val="000000" w:themeColor="text1"/>
          <w:kern w:val="0"/>
          <w:sz w:val="28"/>
          <w:szCs w:val="28"/>
          <w:vertAlign w:val="subscript"/>
          <w14:textFill>
            <w14:solidFill>
              <w14:schemeClr w14:val="tx1"/>
            </w14:solidFill>
          </w14:textFill>
        </w:rPr>
        <w:t>2</w:t>
      </w:r>
      <w:r>
        <w:rPr>
          <w:rFonts w:hint="eastAsia" w:ascii="仿宋_GB2312" w:hAnsi="仿宋_GB2312" w:eastAsia="仿宋_GB2312" w:cs="仿宋_GB2312"/>
          <w:color w:val="000000" w:themeColor="text1"/>
          <w:kern w:val="0"/>
          <w:sz w:val="28"/>
          <w:szCs w:val="28"/>
          <w14:textFill>
            <w14:solidFill>
              <w14:schemeClr w14:val="tx1"/>
            </w14:solidFill>
          </w14:textFill>
        </w:rPr>
        <w:t>浓度</w:t>
      </w:r>
    </w:p>
    <w:p w14:paraId="6722011E">
      <w:pPr>
        <w:widowControl/>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b/>
          <w:bCs/>
          <w:color w:val="000000" w:themeColor="text1"/>
          <w:kern w:val="0"/>
          <w:sz w:val="28"/>
          <w:szCs w:val="28"/>
          <w14:textFill>
            <w14:solidFill>
              <w14:schemeClr w14:val="tx1"/>
            </w14:solidFill>
          </w14:textFill>
        </w:rPr>
        <w:t>5.3测量范围：</w:t>
      </w:r>
      <w:r>
        <w:rPr>
          <w:rFonts w:hint="eastAsia" w:ascii="仿宋_GB2312" w:hAnsi="仿宋_GB2312" w:eastAsia="仿宋_GB2312" w:cs="仿宋_GB2312"/>
          <w:color w:val="000000" w:themeColor="text1"/>
          <w:kern w:val="0"/>
          <w:sz w:val="28"/>
          <w:szCs w:val="28"/>
          <w14:textFill>
            <w14:solidFill>
              <w14:schemeClr w14:val="tx1"/>
            </w14:solidFill>
          </w14:textFill>
        </w:rPr>
        <w:t>二氧化硫（0~15）%，(分辨率0.01%)</w:t>
      </w:r>
    </w:p>
    <w:p w14:paraId="1E91B91D">
      <w:pPr>
        <w:widowControl/>
        <w:jc w:val="left"/>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b/>
          <w:bCs/>
          <w:color w:val="000000" w:themeColor="text1"/>
          <w:kern w:val="0"/>
          <w:sz w:val="28"/>
          <w:szCs w:val="28"/>
          <w14:textFill>
            <w14:solidFill>
              <w14:schemeClr w14:val="tx1"/>
            </w14:solidFill>
          </w14:textFill>
        </w:rPr>
        <w:t>5.4输出信号为</w:t>
      </w:r>
      <w:r>
        <w:rPr>
          <w:rFonts w:hint="eastAsia" w:ascii="仿宋_GB2312" w:hAnsi="仿宋_GB2312" w:eastAsia="仿宋_GB2312" w:cs="仿宋_GB2312"/>
          <w:color w:val="000000" w:themeColor="text1"/>
          <w:kern w:val="0"/>
          <w:sz w:val="28"/>
          <w:szCs w:val="28"/>
          <w14:textFill>
            <w14:solidFill>
              <w14:schemeClr w14:val="tx1"/>
            </w14:solidFill>
          </w14:textFill>
        </w:rPr>
        <w:t>：1路（4~20）mA；1路报警输出（详见下文）</w:t>
      </w:r>
    </w:p>
    <w:p w14:paraId="57773F83">
      <w:pPr>
        <w:widowControl/>
        <w:jc w:val="left"/>
        <w:rPr>
          <w:rFonts w:hint="eastAsia" w:ascii="仿宋_GB2312" w:hAnsi="仿宋_GB2312" w:eastAsia="仿宋_GB2312" w:cs="仿宋_GB2312"/>
          <w:b/>
          <w:bCs/>
          <w:color w:val="000000" w:themeColor="text1"/>
          <w:sz w:val="28"/>
          <w:szCs w:val="28"/>
          <w14:textFill>
            <w14:solidFill>
              <w14:schemeClr w14:val="tx1"/>
            </w14:solidFill>
          </w14:textFill>
        </w:rPr>
      </w:pPr>
      <w:r>
        <w:rPr>
          <w:rFonts w:hint="eastAsia" w:ascii="仿宋_GB2312" w:hAnsi="仿宋_GB2312" w:eastAsia="仿宋_GB2312" w:cs="仿宋_GB2312"/>
          <w:b/>
          <w:bCs/>
          <w:color w:val="000000" w:themeColor="text1"/>
          <w:kern w:val="0"/>
          <w:sz w:val="28"/>
          <w:szCs w:val="28"/>
          <w14:textFill>
            <w14:solidFill>
              <w14:schemeClr w14:val="tx1"/>
            </w14:solidFill>
          </w14:textFill>
        </w:rPr>
        <w:t>5.5烟气SO2在线分析系统需求的性能</w:t>
      </w:r>
    </w:p>
    <w:p w14:paraId="14CC645A">
      <w:pPr>
        <w:widowControl/>
        <w:ind w:firstLine="560" w:firstLineChars="200"/>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烟气温度限制(最低—最高)(℃):（0-</w:t>
      </w:r>
      <w:r>
        <w:rPr>
          <w:rFonts w:hint="eastAsia" w:ascii="仿宋_GB2312" w:hAnsi="仿宋_GB2312" w:eastAsia="仿宋_GB2312" w:cs="仿宋_GB2312"/>
          <w:color w:val="000000" w:themeColor="text1"/>
          <w:kern w:val="0"/>
          <w:sz w:val="28"/>
          <w:szCs w:val="28"/>
          <w:lang w:val="en-US" w:eastAsia="zh-CN"/>
          <w14:textFill>
            <w14:solidFill>
              <w14:schemeClr w14:val="tx1"/>
            </w14:solidFill>
          </w14:textFill>
        </w:rPr>
        <w:t>1</w:t>
      </w:r>
      <w:r>
        <w:rPr>
          <w:rFonts w:hint="eastAsia" w:ascii="仿宋_GB2312" w:hAnsi="仿宋_GB2312" w:eastAsia="仿宋_GB2312" w:cs="仿宋_GB2312"/>
          <w:color w:val="000000" w:themeColor="text1"/>
          <w:kern w:val="0"/>
          <w:sz w:val="28"/>
          <w:szCs w:val="28"/>
          <w14:textFill>
            <w14:solidFill>
              <w14:schemeClr w14:val="tx1"/>
            </w14:solidFill>
          </w14:textFill>
        </w:rPr>
        <w:t>00）℃</w:t>
      </w:r>
    </w:p>
    <w:p w14:paraId="0032896C">
      <w:pPr>
        <w:widowControl/>
        <w:ind w:firstLine="560" w:firstLineChars="200"/>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设备对振动的要求：适应轻微振动</w:t>
      </w:r>
    </w:p>
    <w:p w14:paraId="2DCE949B">
      <w:pPr>
        <w:widowControl/>
        <w:ind w:firstLine="560" w:firstLineChars="200"/>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甲方提供压缩空气：干燥、洁净、无油的仪表空气</w:t>
      </w:r>
    </w:p>
    <w:p w14:paraId="6927C3C4">
      <w:pPr>
        <w:widowControl/>
        <w:ind w:firstLine="560" w:firstLineChars="200"/>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采样流量(L/min)：≤1.0 L/min</w:t>
      </w:r>
    </w:p>
    <w:p w14:paraId="358E2D0A">
      <w:pPr>
        <w:widowControl/>
        <w:ind w:firstLine="560" w:firstLineChars="200"/>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流量误差(L/min)：≤0.02 L/min</w:t>
      </w:r>
    </w:p>
    <w:p w14:paraId="2A62B59F">
      <w:pPr>
        <w:widowControl/>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b/>
          <w:bCs/>
          <w:color w:val="000000" w:themeColor="text1"/>
          <w:kern w:val="0"/>
          <w:sz w:val="28"/>
          <w:szCs w:val="28"/>
          <w14:textFill>
            <w14:solidFill>
              <w14:schemeClr w14:val="tx1"/>
            </w14:solidFill>
          </w14:textFill>
        </w:rPr>
        <w:t>5.6 SO</w:t>
      </w:r>
      <w:r>
        <w:rPr>
          <w:rFonts w:hint="eastAsia" w:ascii="仿宋_GB2312" w:hAnsi="仿宋_GB2312" w:eastAsia="仿宋_GB2312" w:cs="仿宋_GB2312"/>
          <w:b/>
          <w:bCs/>
          <w:color w:val="000000" w:themeColor="text1"/>
          <w:kern w:val="0"/>
          <w:sz w:val="28"/>
          <w:szCs w:val="28"/>
          <w:vertAlign w:val="subscript"/>
          <w14:textFill>
            <w14:solidFill>
              <w14:schemeClr w14:val="tx1"/>
            </w14:solidFill>
          </w14:textFill>
        </w:rPr>
        <w:t>2</w:t>
      </w:r>
      <w:r>
        <w:rPr>
          <w:rFonts w:hint="eastAsia" w:ascii="仿宋_GB2312" w:hAnsi="仿宋_GB2312" w:eastAsia="仿宋_GB2312" w:cs="仿宋_GB2312"/>
          <w:b/>
          <w:bCs/>
          <w:color w:val="000000" w:themeColor="text1"/>
          <w:kern w:val="0"/>
          <w:sz w:val="28"/>
          <w:szCs w:val="28"/>
          <w14:textFill>
            <w14:solidFill>
              <w14:schemeClr w14:val="tx1"/>
            </w14:solidFill>
          </w14:textFill>
        </w:rPr>
        <w:t>分析仪</w:t>
      </w:r>
    </w:p>
    <w:p w14:paraId="27DE5833">
      <w:pPr>
        <w:widowControl/>
        <w:ind w:firstLine="560" w:firstLineChars="200"/>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量程(%)：（0~15）%</w:t>
      </w:r>
    </w:p>
    <w:p w14:paraId="17EA624A">
      <w:pPr>
        <w:widowControl/>
        <w:ind w:firstLine="560" w:firstLineChars="200"/>
        <w:jc w:val="left"/>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精确度(%)：≤±1%F.S./半年</w:t>
      </w:r>
    </w:p>
    <w:p w14:paraId="15C9687C">
      <w:pPr>
        <w:widowControl/>
        <w:ind w:firstLine="560" w:firstLineChars="200"/>
        <w:jc w:val="left"/>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零点漂移：≤±1%F.S./半年</w:t>
      </w:r>
    </w:p>
    <w:p w14:paraId="6ABA07FA">
      <w:pPr>
        <w:widowControl/>
        <w:ind w:firstLine="560" w:firstLineChars="200"/>
        <w:jc w:val="left"/>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误差(%)：≤±1%F.S./半年</w:t>
      </w:r>
    </w:p>
    <w:p w14:paraId="7DD10517">
      <w:pPr>
        <w:widowControl/>
        <w:ind w:firstLine="560" w:firstLineChars="200"/>
        <w:jc w:val="left"/>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重复性：≤1%</w:t>
      </w:r>
    </w:p>
    <w:p w14:paraId="56BD4C8C">
      <w:pPr>
        <w:widowControl/>
        <w:ind w:firstLine="560" w:firstLineChars="200"/>
        <w:jc w:val="left"/>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防爆要求：非防爆型</w:t>
      </w:r>
    </w:p>
    <w:p w14:paraId="372E872E">
      <w:pPr>
        <w:widowControl/>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分析原理：紫/红外差分法</w:t>
      </w:r>
    </w:p>
    <w:p w14:paraId="0F04ADE8">
      <w:pPr>
        <w:widowControl/>
        <w:jc w:val="left"/>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适用温度限制(最低/最高)温度(℃)：（0/46）℃</w:t>
      </w:r>
    </w:p>
    <w:p w14:paraId="4190479E">
      <w:pPr>
        <w:widowControl/>
        <w:ind w:firstLine="560" w:firstLineChars="200"/>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用电量(kVA)：≤1.0KVA</w:t>
      </w:r>
    </w:p>
    <w:p w14:paraId="571843ED">
      <w:pPr>
        <w:widowControl/>
        <w:ind w:firstLine="560" w:firstLineChars="200"/>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仪用空气要求：0.4-0.7MPa</w:t>
      </w:r>
    </w:p>
    <w:p w14:paraId="58F2B888">
      <w:pPr>
        <w:widowControl/>
        <w:ind w:firstLine="560" w:firstLineChars="200"/>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警报输出：至少1路继电器输出（干接点），AC/DC，220、24V/1A</w:t>
      </w:r>
    </w:p>
    <w:p w14:paraId="729E26A6">
      <w:pPr>
        <w:widowControl/>
        <w:ind w:firstLine="560" w:firstLineChars="200"/>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输出信号：（4-20）mA、隔离，最大允许负载 750Ω</w:t>
      </w:r>
    </w:p>
    <w:p w14:paraId="383DA810">
      <w:pPr>
        <w:widowControl/>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b/>
          <w:bCs/>
          <w:color w:val="000000" w:themeColor="text1"/>
          <w:kern w:val="0"/>
          <w:sz w:val="28"/>
          <w:szCs w:val="28"/>
          <w14:textFill>
            <w14:solidFill>
              <w14:schemeClr w14:val="tx1"/>
            </w14:solidFill>
          </w14:textFill>
        </w:rPr>
        <w:t>5.7安装要求</w:t>
      </w:r>
    </w:p>
    <w:p w14:paraId="30654E19">
      <w:pPr>
        <w:widowControl/>
        <w:ind w:firstLine="560" w:firstLineChars="200"/>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1.乙方负责全套设备的指导安装。</w:t>
      </w:r>
    </w:p>
    <w:p w14:paraId="3971D838">
      <w:pPr>
        <w:widowControl/>
        <w:ind w:firstLine="560" w:firstLineChars="200"/>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2.烟气SO</w:t>
      </w:r>
      <w:r>
        <w:rPr>
          <w:rFonts w:hint="eastAsia" w:ascii="仿宋_GB2312" w:hAnsi="仿宋_GB2312" w:eastAsia="仿宋_GB2312" w:cs="仿宋_GB2312"/>
          <w:color w:val="000000" w:themeColor="text1"/>
          <w:kern w:val="0"/>
          <w:sz w:val="28"/>
          <w:szCs w:val="28"/>
          <w:vertAlign w:val="subscript"/>
          <w14:textFill>
            <w14:solidFill>
              <w14:schemeClr w14:val="tx1"/>
            </w14:solidFill>
          </w14:textFill>
        </w:rPr>
        <w:t>2</w:t>
      </w:r>
      <w:r>
        <w:rPr>
          <w:rFonts w:hint="eastAsia" w:ascii="仿宋_GB2312" w:hAnsi="仿宋_GB2312" w:eastAsia="仿宋_GB2312" w:cs="仿宋_GB2312"/>
          <w:color w:val="000000" w:themeColor="text1"/>
          <w:kern w:val="0"/>
          <w:sz w:val="28"/>
          <w:szCs w:val="28"/>
          <w14:textFill>
            <w14:solidFill>
              <w14:schemeClr w14:val="tx1"/>
            </w14:solidFill>
          </w14:textFill>
        </w:rPr>
        <w:t>在线分析系统的设备及安装附件全部由乙方提供。</w:t>
      </w:r>
    </w:p>
    <w:p w14:paraId="5F80AC97">
      <w:pPr>
        <w:widowControl/>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b/>
          <w:bCs/>
          <w:color w:val="000000" w:themeColor="text1"/>
          <w:kern w:val="0"/>
          <w:sz w:val="28"/>
          <w:szCs w:val="28"/>
          <w14:textFill>
            <w14:solidFill>
              <w14:schemeClr w14:val="tx1"/>
            </w14:solidFill>
          </w14:textFill>
        </w:rPr>
        <w:t>5.8外观要求</w:t>
      </w:r>
    </w:p>
    <w:p w14:paraId="666A0B4C">
      <w:pPr>
        <w:widowControl/>
        <w:ind w:firstLine="560" w:firstLineChars="200"/>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1.铭牌上应标有仪器名称、型号、生产单位、出厂编号、制造日期。</w:t>
      </w:r>
    </w:p>
    <w:p w14:paraId="0D4058C6">
      <w:pPr>
        <w:widowControl/>
        <w:ind w:firstLine="560" w:firstLineChars="200"/>
        <w:jc w:val="left"/>
        <w:rPr>
          <w:rFonts w:hint="eastAsia" w:ascii="仿宋_GB2312" w:hAnsi="仿宋_GB2312" w:eastAsia="仿宋_GB2312" w:cs="仿宋_GB2312"/>
          <w:color w:val="000000" w:themeColor="text1"/>
          <w:sz w:val="28"/>
          <w:szCs w:val="28"/>
          <w:u w:val="single"/>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2.仪器各零</w:t>
      </w:r>
      <w:r>
        <w:rPr>
          <w:rFonts w:hint="eastAsia" w:ascii="仿宋_GB2312" w:hAnsi="仿宋_GB2312" w:eastAsia="仿宋_GB2312" w:cs="仿宋_GB2312"/>
          <w:color w:val="000000" w:themeColor="text1"/>
          <w:kern w:val="0"/>
          <w:sz w:val="28"/>
          <w:szCs w:val="28"/>
          <w:u w:val="none"/>
          <w14:textFill>
            <w14:solidFill>
              <w14:schemeClr w14:val="tx1"/>
            </w14:solidFill>
          </w14:textFill>
        </w:rPr>
        <w:t>部</w:t>
      </w:r>
      <w:r>
        <w:rPr>
          <w:rFonts w:hint="eastAsia" w:ascii="仿宋_GB2312" w:hAnsi="仿宋_GB2312" w:eastAsia="仿宋_GB2312" w:cs="仿宋_GB2312"/>
          <w:color w:val="000000" w:themeColor="text1"/>
          <w:kern w:val="0"/>
          <w:sz w:val="28"/>
          <w:szCs w:val="28"/>
          <w14:textFill>
            <w14:solidFill>
              <w14:schemeClr w14:val="tx1"/>
            </w14:solidFill>
          </w14:textFill>
        </w:rPr>
        <w:t>件应连接可靠，表面无明显缺陷，各操作键使用灵活，定位准确。</w:t>
      </w:r>
    </w:p>
    <w:p w14:paraId="789A6890">
      <w:pPr>
        <w:widowControl/>
        <w:ind w:firstLine="560" w:firstLineChars="200"/>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3.仪器各显示部分的刻度、数字清晰，涂色牢固，不应有影响读数的缺陷。仪器外壳或外罩应耐腐蚀、密封性能良好、防尘、防雨。</w:t>
      </w:r>
    </w:p>
    <w:p w14:paraId="56AA44D6">
      <w:pPr>
        <w:widowControl/>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b/>
          <w:bCs/>
          <w:color w:val="000000" w:themeColor="text1"/>
          <w:kern w:val="0"/>
          <w:sz w:val="28"/>
          <w:szCs w:val="28"/>
          <w14:textFill>
            <w14:solidFill>
              <w14:schemeClr w14:val="tx1"/>
            </w14:solidFill>
          </w14:textFill>
        </w:rPr>
        <w:t>5.9安全要求</w:t>
      </w:r>
    </w:p>
    <w:p w14:paraId="5D1FAE91">
      <w:pPr>
        <w:widowControl/>
        <w:ind w:firstLine="560" w:firstLineChars="200"/>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1.在环境（0~45）℃，相对湿度≤85%条件下，仪器电源引入线与机壳之间的绝缘电阻应不小于 20MΩ。</w:t>
      </w:r>
    </w:p>
    <w:p w14:paraId="2378CEF0">
      <w:pPr>
        <w:widowControl/>
        <w:ind w:firstLine="560" w:firstLineChars="200"/>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2.仪器应设有漏电保护装置，防止人身触电。</w:t>
      </w:r>
    </w:p>
    <w:p w14:paraId="6CA793FE">
      <w:pPr>
        <w:widowControl/>
        <w:ind w:firstLine="560" w:firstLineChars="200"/>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3.仪器应有良好的接地措施，防止雷击对仪器造成损坏。</w:t>
      </w:r>
    </w:p>
    <w:p w14:paraId="73E56A10">
      <w:pPr>
        <w:widowControl/>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b/>
          <w:bCs/>
          <w:color w:val="000000" w:themeColor="text1"/>
          <w:kern w:val="0"/>
          <w:sz w:val="28"/>
          <w:szCs w:val="28"/>
          <w14:textFill>
            <w14:solidFill>
              <w14:schemeClr w14:val="tx1"/>
            </w14:solidFill>
          </w14:textFill>
        </w:rPr>
        <w:t>5.10校准</w:t>
      </w:r>
    </w:p>
    <w:p w14:paraId="4322CC24">
      <w:pPr>
        <w:widowControl/>
        <w:ind w:firstLine="560" w:firstLineChars="200"/>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仪器应能用手动和/或自动方法进行零点漂移和量程漂移校准。</w:t>
      </w:r>
    </w:p>
    <w:p w14:paraId="28FE6350">
      <w:pPr>
        <w:widowControl/>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b/>
          <w:bCs/>
          <w:color w:val="000000" w:themeColor="text1"/>
          <w:kern w:val="0"/>
          <w:sz w:val="28"/>
          <w:szCs w:val="28"/>
          <w14:textFill>
            <w14:solidFill>
              <w14:schemeClr w14:val="tx1"/>
            </w14:solidFill>
          </w14:textFill>
        </w:rPr>
        <w:t>5.10净化</w:t>
      </w:r>
    </w:p>
    <w:p w14:paraId="4234AC8F">
      <w:pPr>
        <w:widowControl/>
        <w:ind w:firstLine="560" w:firstLineChars="200"/>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仪器应具有防止SO</w:t>
      </w:r>
      <w:r>
        <w:rPr>
          <w:rFonts w:hint="eastAsia" w:ascii="仿宋_GB2312" w:hAnsi="仿宋_GB2312" w:eastAsia="仿宋_GB2312" w:cs="仿宋_GB2312"/>
          <w:color w:val="000000" w:themeColor="text1"/>
          <w:kern w:val="0"/>
          <w:sz w:val="28"/>
          <w:szCs w:val="28"/>
          <w:vertAlign w:val="subscript"/>
          <w14:textFill>
            <w14:solidFill>
              <w14:schemeClr w14:val="tx1"/>
            </w14:solidFill>
          </w14:textFill>
        </w:rPr>
        <w:t>3</w:t>
      </w:r>
      <w:r>
        <w:rPr>
          <w:rFonts w:hint="eastAsia" w:ascii="仿宋_GB2312" w:hAnsi="仿宋_GB2312" w:eastAsia="仿宋_GB2312" w:cs="仿宋_GB2312"/>
          <w:color w:val="000000" w:themeColor="text1"/>
          <w:kern w:val="0"/>
          <w:sz w:val="28"/>
          <w:szCs w:val="28"/>
          <w14:textFill>
            <w14:solidFill>
              <w14:schemeClr w14:val="tx1"/>
            </w14:solidFill>
          </w14:textFill>
        </w:rPr>
        <w:t>污染光学镜头和预处的净化系统；净化系统能克服烟气压力、酸雾、SO</w:t>
      </w:r>
      <w:r>
        <w:rPr>
          <w:rFonts w:hint="eastAsia" w:ascii="仿宋_GB2312" w:hAnsi="仿宋_GB2312" w:eastAsia="仿宋_GB2312" w:cs="仿宋_GB2312"/>
          <w:color w:val="000000" w:themeColor="text1"/>
          <w:kern w:val="0"/>
          <w:sz w:val="28"/>
          <w:szCs w:val="28"/>
          <w:vertAlign w:val="subscript"/>
          <w14:textFill>
            <w14:solidFill>
              <w14:schemeClr w14:val="tx1"/>
            </w14:solidFill>
          </w14:textFill>
        </w:rPr>
        <w:t>3</w:t>
      </w:r>
      <w:r>
        <w:rPr>
          <w:rFonts w:hint="eastAsia" w:ascii="仿宋_GB2312" w:hAnsi="仿宋_GB2312" w:eastAsia="仿宋_GB2312" w:cs="仿宋_GB2312"/>
          <w:color w:val="000000" w:themeColor="text1"/>
          <w:kern w:val="0"/>
          <w:sz w:val="28"/>
          <w:szCs w:val="28"/>
          <w14:textFill>
            <w14:solidFill>
              <w14:schemeClr w14:val="tx1"/>
            </w14:solidFill>
          </w14:textFill>
        </w:rPr>
        <w:t>波动，保持光学镜头和系统的清洁。酸雾净化后小于0.1mg/Nm3。</w:t>
      </w:r>
    </w:p>
    <w:p w14:paraId="79CCC223">
      <w:pPr>
        <w:widowControl/>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b/>
          <w:bCs/>
          <w:color w:val="000000" w:themeColor="text1"/>
          <w:kern w:val="0"/>
          <w:sz w:val="28"/>
          <w:szCs w:val="28"/>
          <w14:textFill>
            <w14:solidFill>
              <w14:schemeClr w14:val="tx1"/>
            </w14:solidFill>
          </w14:textFill>
        </w:rPr>
        <w:t>5.11系统配置要求</w:t>
      </w:r>
    </w:p>
    <w:p w14:paraId="3F40B0E6">
      <w:pPr>
        <w:widowControl/>
        <w:ind w:firstLine="560" w:firstLineChars="200"/>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1.本系统所采用仪表设备必须具有行业先进技术水平。</w:t>
      </w:r>
    </w:p>
    <w:p w14:paraId="2FCF4EE2">
      <w:pPr>
        <w:widowControl/>
        <w:ind w:firstLine="560" w:firstLineChars="200"/>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2.仪表传输信号应为国际通用标准信号（4~20）mA。留有与 DCS 通讯接口（RS485）。</w:t>
      </w:r>
    </w:p>
    <w:p w14:paraId="3F11FA16">
      <w:pPr>
        <w:widowControl/>
        <w:ind w:firstLine="560" w:firstLineChars="200"/>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3.仪器能够自动进行补偿，能及时、自动校正零点漂移，仪器本身能够进行故障自诊断。这些诊断功能包括超出量程情况、以及状态报警等功能。</w:t>
      </w:r>
    </w:p>
    <w:p w14:paraId="2FB3EA7F">
      <w:pPr>
        <w:widowControl/>
        <w:ind w:firstLine="560" w:firstLineChars="200"/>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4.仪器的灵敏度应能反应出被测量组分的极细微小的变化，并能迅速反应到信号上。</w:t>
      </w:r>
    </w:p>
    <w:p w14:paraId="2437CF13">
      <w:pPr>
        <w:widowControl/>
        <w:ind w:firstLine="560" w:firstLineChars="200"/>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5.取样预处理系统应采取必要的处理措施，保证处理后的样品气使仪器在最佳的状态下连续</w:t>
      </w:r>
      <w:r>
        <w:rPr>
          <w:rFonts w:hint="eastAsia" w:ascii="仿宋_GB2312" w:hAnsi="仿宋_GB2312" w:eastAsia="仿宋_GB2312" w:cs="仿宋_GB2312"/>
          <w:color w:val="000000" w:themeColor="text1"/>
          <w:kern w:val="0"/>
          <w:sz w:val="28"/>
          <w:szCs w:val="28"/>
          <w:lang w:eastAsia="zh-CN"/>
          <w14:textFill>
            <w14:solidFill>
              <w14:schemeClr w14:val="tx1"/>
            </w14:solidFill>
          </w14:textFill>
        </w:rPr>
        <w:t>、</w:t>
      </w:r>
      <w:r>
        <w:rPr>
          <w:rFonts w:hint="eastAsia" w:ascii="仿宋_GB2312" w:hAnsi="仿宋_GB2312" w:eastAsia="仿宋_GB2312" w:cs="仿宋_GB2312"/>
          <w:color w:val="000000" w:themeColor="text1"/>
          <w:kern w:val="0"/>
          <w:sz w:val="28"/>
          <w:szCs w:val="28"/>
          <w14:textFill>
            <w14:solidFill>
              <w14:schemeClr w14:val="tx1"/>
            </w14:solidFill>
          </w14:textFill>
        </w:rPr>
        <w:t>稳定</w:t>
      </w:r>
      <w:r>
        <w:rPr>
          <w:rFonts w:hint="eastAsia" w:ascii="仿宋_GB2312" w:hAnsi="仿宋_GB2312" w:eastAsia="仿宋_GB2312" w:cs="仿宋_GB2312"/>
          <w:color w:val="000000" w:themeColor="text1"/>
          <w:kern w:val="0"/>
          <w:sz w:val="28"/>
          <w:szCs w:val="28"/>
          <w:lang w:eastAsia="zh-CN"/>
          <w14:textFill>
            <w14:solidFill>
              <w14:schemeClr w14:val="tx1"/>
            </w14:solidFill>
          </w14:textFill>
        </w:rPr>
        <w:t>、</w:t>
      </w:r>
      <w:r>
        <w:rPr>
          <w:rFonts w:hint="eastAsia" w:ascii="仿宋_GB2312" w:hAnsi="仿宋_GB2312" w:eastAsia="仿宋_GB2312" w:cs="仿宋_GB2312"/>
          <w:color w:val="000000" w:themeColor="text1"/>
          <w:kern w:val="0"/>
          <w:sz w:val="28"/>
          <w:szCs w:val="28"/>
          <w14:textFill>
            <w14:solidFill>
              <w14:schemeClr w14:val="tx1"/>
            </w14:solidFill>
          </w14:textFill>
        </w:rPr>
        <w:t>可靠运行。</w:t>
      </w:r>
    </w:p>
    <w:p w14:paraId="0C0FC394">
      <w:pPr>
        <w:widowControl/>
        <w:ind w:firstLine="560" w:firstLineChars="200"/>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6.采样方法：具有反吹功能，采样管、过滤器、接头材质：316L采样流量：≤1.0升／分钟</w:t>
      </w:r>
    </w:p>
    <w:p w14:paraId="53CEB6AB">
      <w:pPr>
        <w:widowControl/>
        <w:ind w:firstLine="560" w:firstLineChars="200"/>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7.分析仪器的结构配置应安全可靠、技术先进、结构合理，便于现场维护、检修，并保证仪器连续稳定的生产运行。</w:t>
      </w:r>
    </w:p>
    <w:p w14:paraId="3C4296E9">
      <w:pPr>
        <w:widowControl/>
        <w:ind w:firstLine="560" w:firstLineChars="200"/>
        <w:jc w:val="left"/>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8.校正系统具备日常自动校验功能以及用于维护的手动检验功能；零、满量程及自动和手动校正功能。</w:t>
      </w:r>
    </w:p>
    <w:p w14:paraId="61A44BD9">
      <w:pPr>
        <w:widowControl/>
        <w:ind w:firstLine="560" w:firstLineChars="200"/>
        <w:jc w:val="left"/>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9.烟气SO</w:t>
      </w:r>
      <w:r>
        <w:rPr>
          <w:rFonts w:hint="eastAsia" w:ascii="仿宋_GB2312" w:hAnsi="仿宋_GB2312" w:eastAsia="仿宋_GB2312" w:cs="仿宋_GB2312"/>
          <w:color w:val="000000" w:themeColor="text1"/>
          <w:kern w:val="0"/>
          <w:sz w:val="28"/>
          <w:szCs w:val="28"/>
          <w:vertAlign w:val="subscript"/>
          <w14:textFill>
            <w14:solidFill>
              <w14:schemeClr w14:val="tx1"/>
            </w14:solidFill>
          </w14:textFill>
        </w:rPr>
        <w:t>2</w:t>
      </w:r>
      <w:r>
        <w:rPr>
          <w:rFonts w:hint="eastAsia" w:ascii="仿宋_GB2312" w:hAnsi="仿宋_GB2312" w:eastAsia="仿宋_GB2312" w:cs="仿宋_GB2312"/>
          <w:color w:val="000000" w:themeColor="text1"/>
          <w:kern w:val="0"/>
          <w:sz w:val="28"/>
          <w:szCs w:val="28"/>
          <w14:textFill>
            <w14:solidFill>
              <w14:schemeClr w14:val="tx1"/>
            </w14:solidFill>
          </w14:textFill>
        </w:rPr>
        <w:t>在线分析的关</w:t>
      </w:r>
      <w:bookmarkStart w:id="0" w:name="_GoBack"/>
      <w:bookmarkEnd w:id="0"/>
      <w:r>
        <w:rPr>
          <w:rFonts w:hint="eastAsia" w:ascii="仿宋_GB2312" w:hAnsi="仿宋_GB2312" w:eastAsia="仿宋_GB2312" w:cs="仿宋_GB2312"/>
          <w:color w:val="000000" w:themeColor="text1"/>
          <w:kern w:val="0"/>
          <w:sz w:val="28"/>
          <w:szCs w:val="28"/>
          <w14:textFill>
            <w14:solidFill>
              <w14:schemeClr w14:val="tx1"/>
            </w14:solidFill>
          </w14:textFill>
        </w:rPr>
        <w:t>键部件</w:t>
      </w:r>
      <w:r>
        <w:rPr>
          <w:rFonts w:hint="eastAsia" w:ascii="仿宋_GB2312" w:hAnsi="仿宋_GB2312" w:eastAsia="仿宋_GB2312" w:cs="仿宋_GB2312"/>
          <w:color w:val="auto"/>
          <w:kern w:val="0"/>
          <w:sz w:val="28"/>
          <w:szCs w:val="28"/>
          <w:lang w:val="en-US" w:eastAsia="zh-CN"/>
        </w:rPr>
        <w:t>-</w:t>
      </w:r>
      <w:r>
        <w:rPr>
          <w:rFonts w:hint="eastAsia" w:ascii="仿宋_GB2312" w:hAnsi="仿宋_GB2312" w:eastAsia="仿宋_GB2312" w:cs="仿宋_GB2312"/>
          <w:color w:val="auto"/>
          <w:kern w:val="0"/>
          <w:sz w:val="28"/>
          <w:szCs w:val="28"/>
        </w:rPr>
        <w:t>光源</w:t>
      </w:r>
      <w:r>
        <w:rPr>
          <w:rFonts w:hint="eastAsia" w:ascii="仿宋_GB2312" w:hAnsi="仿宋_GB2312" w:eastAsia="仿宋_GB2312" w:cs="仿宋_GB2312"/>
          <w:color w:val="000000" w:themeColor="text1"/>
          <w:kern w:val="0"/>
          <w:sz w:val="28"/>
          <w:szCs w:val="28"/>
          <w:lang w:eastAsia="zh-CN"/>
          <w14:textFill>
            <w14:solidFill>
              <w14:schemeClr w14:val="tx1"/>
            </w14:solidFill>
          </w14:textFill>
        </w:rPr>
        <w:t>，</w:t>
      </w:r>
      <w:r>
        <w:rPr>
          <w:rFonts w:hint="eastAsia" w:ascii="仿宋_GB2312" w:hAnsi="仿宋_GB2312" w:eastAsia="仿宋_GB2312" w:cs="仿宋_GB2312"/>
          <w:color w:val="000000" w:themeColor="text1"/>
          <w:kern w:val="0"/>
          <w:sz w:val="28"/>
          <w:szCs w:val="28"/>
          <w14:textFill>
            <w14:solidFill>
              <w14:schemeClr w14:val="tx1"/>
            </w14:solidFill>
          </w14:textFill>
        </w:rPr>
        <w:t>采用技术先进、长期稳定</w:t>
      </w:r>
      <w:r>
        <w:rPr>
          <w:rFonts w:hint="eastAsia" w:ascii="仿宋_GB2312" w:hAnsi="仿宋_GB2312" w:eastAsia="仿宋_GB2312" w:cs="仿宋_GB2312"/>
          <w:color w:val="auto"/>
          <w:kern w:val="0"/>
          <w:sz w:val="28"/>
          <w:szCs w:val="28"/>
        </w:rPr>
        <w:t>运行的原装进口产品</w:t>
      </w:r>
      <w:r>
        <w:rPr>
          <w:rFonts w:hint="eastAsia" w:ascii="仿宋_GB2312" w:hAnsi="仿宋_GB2312" w:eastAsia="仿宋_GB2312" w:cs="仿宋_GB2312"/>
          <w:color w:val="000000" w:themeColor="text1"/>
          <w:kern w:val="0"/>
          <w:sz w:val="28"/>
          <w:szCs w:val="28"/>
          <w14:textFill>
            <w14:solidFill>
              <w14:schemeClr w14:val="tx1"/>
            </w14:solidFill>
          </w14:textFill>
        </w:rPr>
        <w:t>。预处理系统应考虑针对硫磺制酸装置研发的高效去除酸雾和SO</w:t>
      </w:r>
      <w:r>
        <w:rPr>
          <w:rFonts w:hint="eastAsia" w:ascii="仿宋_GB2312" w:hAnsi="仿宋_GB2312" w:eastAsia="仿宋_GB2312" w:cs="仿宋_GB2312"/>
          <w:color w:val="000000" w:themeColor="text1"/>
          <w:kern w:val="0"/>
          <w:sz w:val="28"/>
          <w:szCs w:val="28"/>
          <w:vertAlign w:val="subscript"/>
          <w14:textFill>
            <w14:solidFill>
              <w14:schemeClr w14:val="tx1"/>
            </w14:solidFill>
          </w14:textFill>
        </w:rPr>
        <w:t>3</w:t>
      </w:r>
      <w:r>
        <w:rPr>
          <w:rFonts w:hint="eastAsia" w:ascii="仿宋_GB2312" w:hAnsi="仿宋_GB2312" w:eastAsia="仿宋_GB2312" w:cs="仿宋_GB2312"/>
          <w:color w:val="000000" w:themeColor="text1"/>
          <w:kern w:val="0"/>
          <w:sz w:val="28"/>
          <w:szCs w:val="28"/>
          <w14:textFill>
            <w14:solidFill>
              <w14:schemeClr w14:val="tx1"/>
            </w14:solidFill>
          </w14:textFill>
        </w:rPr>
        <w:t>系统</w:t>
      </w:r>
    </w:p>
    <w:p w14:paraId="76FEB08D">
      <w:pPr>
        <w:widowControl/>
        <w:ind w:firstLine="560" w:firstLineChars="200"/>
        <w:jc w:val="left"/>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10.运行性能，烟气SO</w:t>
      </w:r>
      <w:r>
        <w:rPr>
          <w:rFonts w:hint="eastAsia" w:ascii="仿宋_GB2312" w:hAnsi="仿宋_GB2312" w:eastAsia="仿宋_GB2312" w:cs="仿宋_GB2312"/>
          <w:color w:val="000000" w:themeColor="text1"/>
          <w:kern w:val="0"/>
          <w:sz w:val="28"/>
          <w:szCs w:val="28"/>
          <w:vertAlign w:val="subscript"/>
          <w14:textFill>
            <w14:solidFill>
              <w14:schemeClr w14:val="tx1"/>
            </w14:solidFill>
          </w14:textFill>
        </w:rPr>
        <w:t>2</w:t>
      </w:r>
      <w:r>
        <w:rPr>
          <w:rFonts w:hint="eastAsia" w:ascii="仿宋_GB2312" w:hAnsi="仿宋_GB2312" w:eastAsia="仿宋_GB2312" w:cs="仿宋_GB2312"/>
          <w:color w:val="000000" w:themeColor="text1"/>
          <w:kern w:val="0"/>
          <w:sz w:val="28"/>
          <w:szCs w:val="28"/>
          <w14:textFill>
            <w14:solidFill>
              <w14:schemeClr w14:val="tx1"/>
            </w14:solidFill>
          </w14:textFill>
        </w:rPr>
        <w:t>在线分析系统满足在至少 90 天运行中不需要日常维修。</w:t>
      </w:r>
    </w:p>
    <w:p w14:paraId="23C80091">
      <w:pPr>
        <w:widowControl/>
        <w:ind w:firstLine="560" w:firstLineChars="200"/>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11.分析仪器的自诊断，系统中分析仪器应具有自诊断功能。自诊断功能至少将包括检测探头的失效、超出量程情况、以及没有足够的采样流量能力的情况。</w:t>
      </w:r>
    </w:p>
    <w:p w14:paraId="4ACA9184">
      <w:pPr>
        <w:widowControl/>
        <w:ind w:firstLine="560" w:firstLineChars="200"/>
        <w:jc w:val="left"/>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12.分析烟气收集，烟气SO</w:t>
      </w:r>
      <w:r>
        <w:rPr>
          <w:rFonts w:hint="eastAsia" w:ascii="仿宋_GB2312" w:hAnsi="仿宋_GB2312" w:eastAsia="仿宋_GB2312" w:cs="仿宋_GB2312"/>
          <w:color w:val="000000" w:themeColor="text1"/>
          <w:kern w:val="0"/>
          <w:sz w:val="28"/>
          <w:szCs w:val="28"/>
          <w:vertAlign w:val="subscript"/>
          <w14:textFill>
            <w14:solidFill>
              <w14:schemeClr w14:val="tx1"/>
            </w14:solidFill>
          </w14:textFill>
        </w:rPr>
        <w:t>2</w:t>
      </w:r>
      <w:r>
        <w:rPr>
          <w:rFonts w:hint="eastAsia" w:ascii="仿宋_GB2312" w:hAnsi="仿宋_GB2312" w:eastAsia="仿宋_GB2312" w:cs="仿宋_GB2312"/>
          <w:color w:val="000000" w:themeColor="text1"/>
          <w:kern w:val="0"/>
          <w:sz w:val="28"/>
          <w:szCs w:val="28"/>
          <w14:textFill>
            <w14:solidFill>
              <w14:schemeClr w14:val="tx1"/>
            </w14:solidFill>
          </w14:textFill>
        </w:rPr>
        <w:t>在线分析系统所取样的所有烟气回</w:t>
      </w:r>
      <w:r>
        <w:rPr>
          <w:rFonts w:hint="eastAsia" w:ascii="仿宋_GB2312" w:hAnsi="仿宋_GB2312" w:eastAsia="仿宋_GB2312" w:cs="仿宋_GB2312"/>
          <w:color w:val="000000" w:themeColor="text1"/>
          <w:kern w:val="0"/>
          <w:sz w:val="28"/>
          <w:szCs w:val="28"/>
          <w:lang w:val="en-US" w:eastAsia="zh-CN"/>
          <w14:textFill>
            <w14:solidFill>
              <w14:schemeClr w14:val="tx1"/>
            </w14:solidFill>
          </w14:textFill>
        </w:rPr>
        <w:t>二氧化硫风机进口管道</w:t>
      </w:r>
      <w:r>
        <w:rPr>
          <w:rFonts w:hint="eastAsia" w:ascii="仿宋_GB2312" w:hAnsi="仿宋_GB2312" w:eastAsia="仿宋_GB2312" w:cs="仿宋_GB2312"/>
          <w:color w:val="auto"/>
          <w:kern w:val="0"/>
          <w:sz w:val="28"/>
          <w:szCs w:val="28"/>
        </w:rPr>
        <w:t>（</w:t>
      </w:r>
      <w:r>
        <w:rPr>
          <w:rFonts w:hint="eastAsia" w:ascii="仿宋_GB2312" w:hAnsi="仿宋_GB2312" w:eastAsia="仿宋_GB2312" w:cs="仿宋_GB2312"/>
          <w:color w:val="auto"/>
          <w:kern w:val="0"/>
          <w:sz w:val="28"/>
          <w:szCs w:val="28"/>
          <w:lang w:val="en-US" w:eastAsia="zh-CN"/>
        </w:rPr>
        <w:t>负</w:t>
      </w:r>
      <w:r>
        <w:rPr>
          <w:rFonts w:hint="eastAsia" w:ascii="仿宋_GB2312" w:hAnsi="仿宋_GB2312" w:eastAsia="仿宋_GB2312" w:cs="仿宋_GB2312"/>
          <w:color w:val="auto"/>
          <w:kern w:val="0"/>
          <w:sz w:val="28"/>
          <w:szCs w:val="28"/>
        </w:rPr>
        <w:t>压</w:t>
      </w:r>
      <w:r>
        <w:rPr>
          <w:rFonts w:hint="eastAsia" w:ascii="仿宋_GB2312" w:hAnsi="仿宋_GB2312" w:eastAsia="仿宋_GB2312" w:cs="仿宋_GB2312"/>
          <w:color w:val="auto"/>
          <w:kern w:val="0"/>
          <w:sz w:val="28"/>
          <w:szCs w:val="28"/>
          <w:lang w:val="en-US" w:eastAsia="zh-CN"/>
        </w:rPr>
        <w:t>-1</w:t>
      </w:r>
      <w:r>
        <w:rPr>
          <w:rFonts w:hint="eastAsia" w:ascii="仿宋_GB2312" w:hAnsi="仿宋_GB2312" w:eastAsia="仿宋_GB2312" w:cs="仿宋_GB2312"/>
          <w:color w:val="auto"/>
          <w:kern w:val="0"/>
          <w:sz w:val="28"/>
          <w:szCs w:val="28"/>
        </w:rPr>
        <w:t>0KPa）</w:t>
      </w:r>
      <w:r>
        <w:rPr>
          <w:rFonts w:hint="eastAsia" w:ascii="仿宋_GB2312" w:hAnsi="仿宋_GB2312" w:eastAsia="仿宋_GB2312" w:cs="仿宋_GB2312"/>
          <w:color w:val="000000" w:themeColor="text1"/>
          <w:kern w:val="0"/>
          <w:sz w:val="28"/>
          <w:szCs w:val="28"/>
          <w14:textFill>
            <w14:solidFill>
              <w14:schemeClr w14:val="tx1"/>
            </w14:solidFill>
          </w14:textFill>
        </w:rPr>
        <w:t>，禁止向往环境中排放。</w:t>
      </w:r>
    </w:p>
    <w:p w14:paraId="583D62CC">
      <w:pPr>
        <w:widowControl/>
        <w:ind w:firstLine="560" w:firstLineChars="200"/>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13.使用的材料，凡是与烟气或校正气接触的探头等部件应满足在硫酸装置运行工况的烟气成分、温度条件下能连续可靠地运行的要求,一般由以下材料构成:聚四氟乙烯、能承受</w:t>
      </w:r>
      <w:r>
        <w:rPr>
          <w:rFonts w:hint="eastAsia" w:ascii="仿宋_GB2312" w:hAnsi="仿宋_GB2312" w:eastAsia="仿宋_GB2312" w:cs="仿宋_GB2312"/>
          <w:color w:val="000000" w:themeColor="text1"/>
          <w:kern w:val="0"/>
          <w:sz w:val="28"/>
          <w:szCs w:val="28"/>
          <w:lang w:val="en-US" w:eastAsia="zh-CN"/>
          <w14:textFill>
            <w14:solidFill>
              <w14:schemeClr w14:val="tx1"/>
            </w14:solidFill>
          </w14:textFill>
        </w:rPr>
        <w:t>15</w:t>
      </w:r>
      <w:r>
        <w:rPr>
          <w:rFonts w:hint="eastAsia" w:ascii="仿宋_GB2312" w:hAnsi="仿宋_GB2312" w:eastAsia="仿宋_GB2312" w:cs="仿宋_GB2312"/>
          <w:color w:val="000000" w:themeColor="text1"/>
          <w:kern w:val="0"/>
          <w:sz w:val="28"/>
          <w:szCs w:val="28"/>
          <w14:textFill>
            <w14:solidFill>
              <w14:schemeClr w14:val="tx1"/>
            </w14:solidFill>
          </w14:textFill>
        </w:rPr>
        <w:t>0℃温度的不锈钢、耐腐蚀、耐高温镍基合金(Hasteloy C-276)或其他耐腐蚀合金。卖方提供的预处系统材料必须耐硫酸腐蚀。</w:t>
      </w:r>
    </w:p>
    <w:p w14:paraId="460410E3">
      <w:pPr>
        <w:widowControl/>
        <w:ind w:firstLine="560" w:firstLineChars="200"/>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14.采样管线，采样管线的长度为从分析仪器至采样点（约6~10米）。采样管线应设计为克服硫酸制酸烟气环境，结晶等。</w:t>
      </w:r>
    </w:p>
    <w:p w14:paraId="2508BA12">
      <w:pPr>
        <w:widowControl/>
        <w:ind w:firstLine="560" w:firstLineChars="200"/>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15.干扰，烟气SO</w:t>
      </w:r>
      <w:r>
        <w:rPr>
          <w:rFonts w:hint="eastAsia" w:ascii="仿宋_GB2312" w:hAnsi="仿宋_GB2312" w:eastAsia="仿宋_GB2312" w:cs="仿宋_GB2312"/>
          <w:color w:val="000000" w:themeColor="text1"/>
          <w:kern w:val="0"/>
          <w:sz w:val="28"/>
          <w:szCs w:val="28"/>
          <w:vertAlign w:val="subscript"/>
          <w14:textFill>
            <w14:solidFill>
              <w14:schemeClr w14:val="tx1"/>
            </w14:solidFill>
          </w14:textFill>
        </w:rPr>
        <w:t>2</w:t>
      </w:r>
      <w:r>
        <w:rPr>
          <w:rFonts w:hint="eastAsia" w:ascii="仿宋_GB2312" w:hAnsi="仿宋_GB2312" w:eastAsia="仿宋_GB2312" w:cs="仿宋_GB2312"/>
          <w:color w:val="000000" w:themeColor="text1"/>
          <w:kern w:val="0"/>
          <w:sz w:val="28"/>
          <w:szCs w:val="28"/>
          <w14:textFill>
            <w14:solidFill>
              <w14:schemeClr w14:val="tx1"/>
            </w14:solidFill>
          </w14:textFill>
        </w:rPr>
        <w:t>在线分析仪系统提供的分析仪器应没有明显的干扰,即在测量单个烟气或多种烟气混合成分时浓度值结果差异没有一位数以上的数值。当浓度值大于满量程的0.2%或测量标定值时,分析仪器对此应有反应。</w:t>
      </w:r>
    </w:p>
    <w:p w14:paraId="5AD703B4">
      <w:pPr>
        <w:widowControl/>
        <w:ind w:firstLine="560" w:firstLineChars="200"/>
        <w:jc w:val="left"/>
        <w:rPr>
          <w:rFonts w:hint="eastAsia" w:ascii="仿宋_GB2312" w:hAnsi="仿宋_GB2312" w:eastAsia="仿宋_GB2312" w:cs="仿宋_GB2312"/>
          <w:b/>
          <w:bCs/>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16.系统设计成，在预处理系统失效时自动报警。报警在操作盘（柜）上通过蜂鸣器实现，同时继电器输出（干接点），AC/DC，220、24V/1A。</w:t>
      </w:r>
    </w:p>
    <w:p w14:paraId="05B5EEF4">
      <w:pPr>
        <w:widowControl/>
        <w:jc w:val="left"/>
        <w:rPr>
          <w:rFonts w:hint="eastAsia" w:ascii="仿宋_GB2312" w:hAnsi="仿宋_GB2312" w:eastAsia="仿宋_GB2312" w:cs="仿宋_GB2312"/>
          <w:b/>
          <w:bCs/>
          <w:color w:val="000000" w:themeColor="text1"/>
          <w:sz w:val="28"/>
          <w:szCs w:val="28"/>
          <w14:textFill>
            <w14:solidFill>
              <w14:schemeClr w14:val="tx1"/>
            </w14:solidFill>
          </w14:textFill>
        </w:rPr>
      </w:pPr>
      <w:r>
        <w:rPr>
          <w:rFonts w:hint="eastAsia" w:ascii="仿宋_GB2312" w:hAnsi="仿宋_GB2312" w:eastAsia="仿宋_GB2312" w:cs="仿宋_GB2312"/>
          <w:b/>
          <w:bCs/>
          <w:color w:val="000000" w:themeColor="text1"/>
          <w:kern w:val="0"/>
          <w:sz w:val="28"/>
          <w:szCs w:val="28"/>
          <w14:textFill>
            <w14:solidFill>
              <w14:schemeClr w14:val="tx1"/>
            </w14:solidFill>
          </w14:textFill>
        </w:rPr>
        <w:t>6.设备安装与调试</w:t>
      </w:r>
    </w:p>
    <w:p w14:paraId="2F9CC2F6">
      <w:pPr>
        <w:widowControl/>
        <w:ind w:firstLine="560" w:firstLineChars="200"/>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1.在设备安装调试期间，派合格的安装人员到现场进行指导安装。</w:t>
      </w:r>
    </w:p>
    <w:p w14:paraId="2BF01350">
      <w:pPr>
        <w:widowControl/>
        <w:ind w:firstLine="560" w:firstLineChars="200"/>
        <w:jc w:val="left"/>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2.设备安装前卖方需向买方进行技术交底。安装过程中，应当完全接受买方协调。向买方提供安装所需的所有图纸(电气图纸保证完整、有效、正确，原理图以展开图的形式绘出)、标准、专用工具、要求及注意事项，供卖方认可。</w:t>
      </w:r>
    </w:p>
    <w:p w14:paraId="3421A387">
      <w:pPr>
        <w:widowControl/>
        <w:ind w:firstLine="560" w:firstLineChars="200"/>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3.乙方提供1套烟气SO</w:t>
      </w:r>
      <w:r>
        <w:rPr>
          <w:rFonts w:hint="eastAsia" w:ascii="仿宋_GB2312" w:hAnsi="仿宋_GB2312" w:eastAsia="仿宋_GB2312" w:cs="仿宋_GB2312"/>
          <w:color w:val="000000" w:themeColor="text1"/>
          <w:kern w:val="0"/>
          <w:sz w:val="28"/>
          <w:szCs w:val="28"/>
          <w:vertAlign w:val="subscript"/>
          <w14:textFill>
            <w14:solidFill>
              <w14:schemeClr w14:val="tx1"/>
            </w14:solidFill>
          </w14:textFill>
        </w:rPr>
        <w:t>2</w:t>
      </w:r>
      <w:r>
        <w:rPr>
          <w:rFonts w:hint="eastAsia" w:ascii="仿宋_GB2312" w:hAnsi="仿宋_GB2312" w:eastAsia="仿宋_GB2312" w:cs="仿宋_GB2312"/>
          <w:color w:val="000000" w:themeColor="text1"/>
          <w:kern w:val="0"/>
          <w:sz w:val="28"/>
          <w:szCs w:val="28"/>
          <w14:textFill>
            <w14:solidFill>
              <w14:schemeClr w14:val="tx1"/>
            </w14:solidFill>
          </w14:textFill>
        </w:rPr>
        <w:t>在线分析仪系统应在所有方面都是完整的，并能满足本规格书提到的设计要求、技术要求和质量保证要求。</w:t>
      </w:r>
    </w:p>
    <w:p w14:paraId="098B461E">
      <w:pPr>
        <w:widowControl/>
        <w:ind w:firstLine="560" w:firstLineChars="200"/>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4.提供所有采样分析仪器，及其环境控制条件。另外，应为所有安装在外且暴露在外的仪器提供保护罩。</w:t>
      </w:r>
    </w:p>
    <w:p w14:paraId="3F0D98BB">
      <w:pPr>
        <w:widowControl/>
        <w:ind w:firstLine="560" w:firstLineChars="200"/>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5.提供分析仪表柜，装配包括所有的分析仪表和电气设备。</w:t>
      </w:r>
    </w:p>
    <w:p w14:paraId="07A921BE">
      <w:pPr>
        <w:widowControl/>
        <w:ind w:firstLine="560" w:firstLineChars="200"/>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6.提供完整的维修手册，它包括所有的日常和非正常维修、故障排除和有关步骤。</w:t>
      </w:r>
    </w:p>
    <w:p w14:paraId="7E802766">
      <w:pPr>
        <w:widowControl/>
        <w:ind w:firstLine="560" w:firstLineChars="200"/>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7.提供分析仪表柜详细的安装图、内部布置图、内部接线图。</w:t>
      </w:r>
    </w:p>
    <w:p w14:paraId="157468CC">
      <w:pPr>
        <w:widowControl/>
        <w:ind w:firstLine="560" w:firstLineChars="200"/>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8.提供电气单元和主接线图、接地、避雷、用电等要求；用于信号测量系统的控制接线图、电路和供电的设计；设备重量等有关资料。</w:t>
      </w:r>
    </w:p>
    <w:p w14:paraId="2DE50D96">
      <w:pPr>
        <w:widowControl/>
        <w:ind w:firstLine="560" w:firstLineChars="200"/>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9.提供校正气储存设备和储存方法的要求。</w:t>
      </w:r>
    </w:p>
    <w:p w14:paraId="4747052A">
      <w:pPr>
        <w:widowControl/>
        <w:jc w:val="left"/>
        <w:rPr>
          <w:rFonts w:hint="eastAsia" w:ascii="仿宋_GB2312" w:hAnsi="仿宋_GB2312" w:eastAsia="仿宋_GB2312" w:cs="仿宋_GB2312"/>
          <w:b/>
          <w:bCs/>
          <w:color w:val="000000" w:themeColor="text1"/>
          <w:kern w:val="0"/>
          <w:sz w:val="28"/>
          <w:szCs w:val="28"/>
          <w14:textFill>
            <w14:solidFill>
              <w14:schemeClr w14:val="tx1"/>
            </w14:solidFill>
          </w14:textFill>
        </w:rPr>
      </w:pPr>
      <w:r>
        <w:rPr>
          <w:rFonts w:hint="eastAsia" w:ascii="仿宋_GB2312" w:hAnsi="仿宋_GB2312" w:eastAsia="仿宋_GB2312" w:cs="仿宋_GB2312"/>
          <w:b/>
          <w:bCs/>
          <w:color w:val="000000" w:themeColor="text1"/>
          <w:kern w:val="0"/>
          <w:sz w:val="28"/>
          <w:szCs w:val="28"/>
          <w14:textFill>
            <w14:solidFill>
              <w14:schemeClr w14:val="tx1"/>
            </w14:solidFill>
          </w14:textFill>
        </w:rPr>
        <w:t>7.设备供货清单</w:t>
      </w:r>
    </w:p>
    <w:p w14:paraId="0A9DF5A7">
      <w:pPr>
        <w:ind w:firstLine="560" w:firstLineChars="200"/>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乙方需提供主要设备的详细清单（列表）。</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291524">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8420" cy="1397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58420" cy="139700"/>
                      </a:xfrm>
                      <a:prstGeom prst="rect">
                        <a:avLst/>
                      </a:prstGeom>
                      <a:noFill/>
                      <a:ln w="6350">
                        <a:noFill/>
                      </a:ln>
                    </wps:spPr>
                    <wps:txbx>
                      <w:txbxContent>
                        <w:p w14:paraId="579DDE02">
                          <w:pPr>
                            <w:pStyle w:val="3"/>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1pt;width:4.6pt;mso-position-horizontal:center;mso-position-horizontal-relative:margin;mso-wrap-style:none;z-index:251659264;mso-width-relative:page;mso-height-relative:page;" filled="f" stroked="f" coordsize="21600,21600" o:gfxdata="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vbGRr0QAAAAIBAAAPAAAAAAAAAAEAIAAAACIAAABkcnMvZG93bnJldi54bWxQSwECFAAUAAAA&#10;CACHTuJAMiyCei4CAABSBAAADgAAAAAAAAABACAAAAAgAQAAZHJzL2Uyb0RvYy54bWxQSwUGAAAA&#10;AAYABgBZAQAAwAUAAAAA&#10;">
              <v:fill on="f" focussize="0,0"/>
              <v:stroke on="f" weight="0.5pt"/>
              <v:imagedata o:title=""/>
              <o:lock v:ext="edit" aspectratio="f"/>
              <v:textbox inset="0mm,0mm,0mm,0mm" style="mso-fit-shape-to-text:t;">
                <w:txbxContent>
                  <w:p w14:paraId="579DDE02">
                    <w:pPr>
                      <w:pStyle w:val="3"/>
                    </w:pPr>
                    <w:r>
                      <w:fldChar w:fldCharType="begin"/>
                    </w:r>
                    <w:r>
                      <w:instrText xml:space="preserve"> PAGE  \* MERGEFORMAT </w:instrText>
                    </w:r>
                    <w:r>
                      <w:fldChar w:fldCharType="separate"/>
                    </w:r>
                    <w:r>
                      <w:t>9</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B50143">
    <w:pPr>
      <w:pStyle w:val="4"/>
    </w:pPr>
    <w:r>
      <w:rPr>
        <w:rFonts w:hint="eastAsia"/>
      </w:rPr>
      <w:t>四川宏达股份有限公司（磷化工基地）</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829DC7"/>
    <w:multiLevelType w:val="singleLevel"/>
    <w:tmpl w:val="BF829DC7"/>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16BB"/>
    <w:rsid w:val="001847E4"/>
    <w:rsid w:val="001E1164"/>
    <w:rsid w:val="001F35CF"/>
    <w:rsid w:val="002C1732"/>
    <w:rsid w:val="003053A8"/>
    <w:rsid w:val="00387394"/>
    <w:rsid w:val="00445BD1"/>
    <w:rsid w:val="00493DC0"/>
    <w:rsid w:val="004D7593"/>
    <w:rsid w:val="005516BB"/>
    <w:rsid w:val="00622034"/>
    <w:rsid w:val="006476E7"/>
    <w:rsid w:val="006832F6"/>
    <w:rsid w:val="009445B2"/>
    <w:rsid w:val="00C0655B"/>
    <w:rsid w:val="00C41D13"/>
    <w:rsid w:val="00F27078"/>
    <w:rsid w:val="00F548A8"/>
    <w:rsid w:val="010158D6"/>
    <w:rsid w:val="024D5C99"/>
    <w:rsid w:val="027119B9"/>
    <w:rsid w:val="03D87C7C"/>
    <w:rsid w:val="04956A61"/>
    <w:rsid w:val="05E15C30"/>
    <w:rsid w:val="06250C80"/>
    <w:rsid w:val="09B01C47"/>
    <w:rsid w:val="10675184"/>
    <w:rsid w:val="12217B86"/>
    <w:rsid w:val="12A61E39"/>
    <w:rsid w:val="14A730AD"/>
    <w:rsid w:val="172B556D"/>
    <w:rsid w:val="18C6457F"/>
    <w:rsid w:val="1A7235DA"/>
    <w:rsid w:val="1B9238A2"/>
    <w:rsid w:val="203F68F7"/>
    <w:rsid w:val="221548E5"/>
    <w:rsid w:val="22B234B0"/>
    <w:rsid w:val="264F3B1F"/>
    <w:rsid w:val="26D14453"/>
    <w:rsid w:val="2BEF74EE"/>
    <w:rsid w:val="2C0954BB"/>
    <w:rsid w:val="2E38250B"/>
    <w:rsid w:val="2F5C1DA5"/>
    <w:rsid w:val="2F745341"/>
    <w:rsid w:val="31C3610C"/>
    <w:rsid w:val="333B1353"/>
    <w:rsid w:val="336D632F"/>
    <w:rsid w:val="34B84314"/>
    <w:rsid w:val="34C226AB"/>
    <w:rsid w:val="361E1B63"/>
    <w:rsid w:val="386079B4"/>
    <w:rsid w:val="39B747A8"/>
    <w:rsid w:val="3A145757"/>
    <w:rsid w:val="3A6F1106"/>
    <w:rsid w:val="3D257C7B"/>
    <w:rsid w:val="3E792906"/>
    <w:rsid w:val="41190E1C"/>
    <w:rsid w:val="412169AB"/>
    <w:rsid w:val="45721E3C"/>
    <w:rsid w:val="46E872E4"/>
    <w:rsid w:val="46ED6E0B"/>
    <w:rsid w:val="47BC11DC"/>
    <w:rsid w:val="4CAE553B"/>
    <w:rsid w:val="4D4168AD"/>
    <w:rsid w:val="4FC60E49"/>
    <w:rsid w:val="52C9646A"/>
    <w:rsid w:val="57295F68"/>
    <w:rsid w:val="59126207"/>
    <w:rsid w:val="59B166C6"/>
    <w:rsid w:val="5BA43A48"/>
    <w:rsid w:val="5C6477CD"/>
    <w:rsid w:val="5DDD4780"/>
    <w:rsid w:val="5E2913C0"/>
    <w:rsid w:val="5E4044BD"/>
    <w:rsid w:val="5E7F0F0E"/>
    <w:rsid w:val="62252538"/>
    <w:rsid w:val="63BC19B2"/>
    <w:rsid w:val="63DA3640"/>
    <w:rsid w:val="641E4C6F"/>
    <w:rsid w:val="64C52ED4"/>
    <w:rsid w:val="64C54022"/>
    <w:rsid w:val="65206DF6"/>
    <w:rsid w:val="660C21E6"/>
    <w:rsid w:val="671113D0"/>
    <w:rsid w:val="67FF1ED8"/>
    <w:rsid w:val="68B870D0"/>
    <w:rsid w:val="6999623C"/>
    <w:rsid w:val="6A0A3DA7"/>
    <w:rsid w:val="6A4606B5"/>
    <w:rsid w:val="6BDF5D1E"/>
    <w:rsid w:val="6CCD7863"/>
    <w:rsid w:val="6F8F403F"/>
    <w:rsid w:val="6FBB6A02"/>
    <w:rsid w:val="6FC93C6E"/>
    <w:rsid w:val="73265C65"/>
    <w:rsid w:val="749F3B01"/>
    <w:rsid w:val="773109EF"/>
    <w:rsid w:val="77366005"/>
    <w:rsid w:val="77CE1552"/>
    <w:rsid w:val="7D206EC2"/>
    <w:rsid w:val="7DB54128"/>
    <w:rsid w:val="7E2E2F9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8"/>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批注框文本 字符"/>
    <w:basedOn w:val="7"/>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3044</Words>
  <Characters>3543</Characters>
  <Lines>25</Lines>
  <Paragraphs>7</Paragraphs>
  <TotalTime>41</TotalTime>
  <ScaleCrop>false</ScaleCrop>
  <LinksUpToDate>false</LinksUpToDate>
  <CharactersWithSpaces>3578</CharactersWithSpaces>
  <Application>WPS Office_12.1.0.26895_F1E327BC-269C-435d-A152-05C5408002CA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2026-06-24T09:00:00Z</dcterms:created>
  <dc:creator>86137</dc:creator>
  <cp:lastModifiedBy>HUAWEI</cp:lastModifiedBy>
  <dcterms:modified xsi:type="dcterms:W3CDTF">2026-07-21T06:26:38Z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E1779CE91DEF4393B4FD684248A95274_13</vt:lpwstr>
  </property>
  <property fmtid="{D5CDD505-2E9C-101B-9397-08002B2CF9AE}" pid="4" name="KSOTemplateDocerSaveRecord">
    <vt:lpwstr>eyJoZGlkIjoiMzEwNTM5NzYwMDRjMzkwZTVkZjY2ODkwMGIxNGU0OTUiLCJ1c2VySWQiOiI1ODMxMTg2NzEifQ==</vt:lpwstr>
  </property>
</Properties>
</file>