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二氧化硫在线分析仪采购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编号：YS-GKBX-2026-HW32</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21</w:t>
      </w:r>
      <w:r>
        <w:rPr>
          <w:rFonts w:hint="eastAsia" w:cs="黑体" w:asciiTheme="minorEastAsia" w:hAnsiTheme="minorEastAsia" w:eastAsiaTheme="minorEastAsia"/>
          <w:b/>
          <w:bCs/>
          <w:sz w:val="30"/>
          <w:szCs w:val="30"/>
          <w:highlight w:val="none"/>
          <w:lang w:val="en-US" w:eastAsia="zh-CN"/>
        </w:rPr>
        <w:t>日</w:t>
      </w:r>
    </w:p>
    <w:p w14:paraId="6836AD38">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二氧化硫在线分析仪</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编号：YS-GKBX-2025-HW32</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宏达股份有色金属分公司因生产技改需要，需采购二氧化硫分析仪1台，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二氧化硫分析仪</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2300"/>
        <w:gridCol w:w="2251"/>
        <w:gridCol w:w="884"/>
        <w:gridCol w:w="3545"/>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230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2251"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规格参数</w:t>
            </w:r>
          </w:p>
        </w:tc>
        <w:tc>
          <w:tcPr>
            <w:tcW w:w="884"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3545"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2300" w:type="dxa"/>
            <w:tcBorders>
              <w:left w:val="single" w:color="auto" w:sz="4" w:space="0"/>
            </w:tcBorders>
            <w:noWrap w:val="0"/>
            <w:vAlign w:val="center"/>
          </w:tcPr>
          <w:p w14:paraId="2A5B6BC2">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二氧化硫在线</w:t>
            </w:r>
          </w:p>
          <w:p w14:paraId="6CA0CEBB">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分析仪</w:t>
            </w:r>
          </w:p>
        </w:tc>
        <w:tc>
          <w:tcPr>
            <w:tcW w:w="2251" w:type="dxa"/>
            <w:tcBorders>
              <w:right w:val="single" w:color="auto" w:sz="4" w:space="0"/>
            </w:tcBorders>
            <w:noWrap w:val="0"/>
            <w:vAlign w:val="center"/>
          </w:tcPr>
          <w:p w14:paraId="724A85F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color w:val="auto"/>
                <w:kern w:val="0"/>
                <w:sz w:val="21"/>
                <w:szCs w:val="21"/>
                <w:lang w:val="en-US" w:eastAsia="zh-CN"/>
              </w:rPr>
              <w:t>详见技术规格书</w:t>
            </w:r>
          </w:p>
        </w:tc>
        <w:tc>
          <w:tcPr>
            <w:tcW w:w="884"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3545" w:type="dxa"/>
            <w:tcBorders>
              <w:right w:val="single" w:color="auto" w:sz="4" w:space="0"/>
            </w:tcBorders>
            <w:noWrap w:val="0"/>
            <w:vAlign w:val="center"/>
          </w:tcPr>
          <w:p w14:paraId="2BA994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冶炼厂10万吨/年烟气制酸装置二氧化硫风机出口管道在线监测烟气SO2浓度用</w:t>
            </w:r>
          </w:p>
        </w:tc>
      </w:tr>
      <w:tr w14:paraId="7582D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9710" w:type="dxa"/>
            <w:gridSpan w:val="5"/>
            <w:tcBorders>
              <w:right w:val="single" w:color="auto" w:sz="4" w:space="0"/>
            </w:tcBorders>
            <w:noWrap w:val="0"/>
            <w:vAlign w:val="center"/>
          </w:tcPr>
          <w:p w14:paraId="702ECFA1">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提供指导安装调试及培训服务。</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color w:val="auto"/>
          <w:sz w:val="28"/>
          <w:szCs w:val="28"/>
        </w:rPr>
        <w:t>起</w:t>
      </w:r>
      <w:r>
        <w:rPr>
          <w:rFonts w:hint="eastAsia" w:ascii="黑体" w:hAnsi="黑体" w:eastAsia="黑体"/>
          <w:color w:val="auto"/>
          <w:sz w:val="28"/>
          <w:szCs w:val="28"/>
          <w:lang w:val="en-US" w:eastAsia="zh-CN"/>
        </w:rPr>
        <w:t>30</w:t>
      </w:r>
      <w:r>
        <w:rPr>
          <w:rFonts w:hint="eastAsia" w:ascii="黑体" w:hAnsi="黑体" w:eastAsia="黑体"/>
          <w:color w:val="auto"/>
          <w:sz w:val="28"/>
          <w:szCs w:val="28"/>
        </w:rPr>
        <w:t>个</w:t>
      </w:r>
      <w:r>
        <w:rPr>
          <w:rFonts w:hint="eastAsia" w:ascii="黑体" w:hAnsi="黑体" w:eastAsia="黑体"/>
          <w:sz w:val="28"/>
          <w:szCs w:val="28"/>
        </w:rPr>
        <w:t>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配置</w:t>
      </w:r>
      <w:r>
        <w:rPr>
          <w:rFonts w:hint="eastAsia" w:ascii="黑体" w:hAnsi="黑体" w:eastAsia="黑体" w:cs="宋体"/>
          <w:kern w:val="0"/>
          <w:sz w:val="28"/>
          <w:szCs w:val="28"/>
        </w:rPr>
        <w:t>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2026年7月22日10时 00 分至 2026年7月30日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递交截止时间：2026年7月30日10时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spacing w:line="36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305EC5FD">
      <w:pPr>
        <w:spacing w:line="36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①比选申请人需提供营业执照（三证合一）。生产商设备制造许可、生产商计量器具型式试验证书等。代理商投标需提供授权文件。</w:t>
      </w:r>
    </w:p>
    <w:p w14:paraId="54A5BFDD">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代理商投标需提供授权文件。</w:t>
      </w:r>
    </w:p>
    <w:p w14:paraId="52A15149">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②提供近三年（2023年1月-2025年12月）</w:t>
      </w:r>
      <w:r>
        <w:rPr>
          <w:rFonts w:hint="eastAsia" w:ascii="黑体" w:hAnsi="黑体" w:eastAsia="黑体" w:cs="Segoe UI"/>
          <w:kern w:val="0"/>
          <w:sz w:val="28"/>
          <w:szCs w:val="28"/>
          <w:lang w:val="en-US" w:eastAsia="zh-CN"/>
        </w:rPr>
        <w:t>二氧化硫分析仪</w:t>
      </w:r>
      <w:r>
        <w:rPr>
          <w:rFonts w:hint="eastAsia" w:ascii="黑体" w:hAnsi="黑体" w:eastAsia="黑体" w:cs="仿宋_GB2312"/>
          <w:sz w:val="28"/>
          <w:szCs w:val="28"/>
          <w:lang w:val="en-US" w:eastAsia="zh-CN"/>
        </w:rPr>
        <w:t>相关销售业绩，合同数量不低于5项。附中标通知书或合同扫描件，中标通知书或合同包括已履约完成和正在履约均可，同一家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合同业绩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二氧化硫分析仪规格型号不限。代理商提供生产商业绩予以认可。</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kern w:val="0"/>
          <w:sz w:val="28"/>
          <w:szCs w:val="28"/>
          <w:lang w:val="en-US" w:eastAsia="zh-CN"/>
        </w:rPr>
        <w:t>品牌（生产商）、</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5B29C92C">
      <w:pPr>
        <w:spacing w:line="360" w:lineRule="exact"/>
        <w:rPr>
          <w:rFonts w:hint="default" w:ascii="黑体" w:hAnsi="黑体" w:eastAsia="黑体" w:cs="仿宋_GB2312"/>
          <w:sz w:val="28"/>
          <w:szCs w:val="28"/>
          <w:lang w:val="en-US" w:eastAsia="zh-CN"/>
        </w:rPr>
      </w:pPr>
      <w:r>
        <w:rPr>
          <w:rFonts w:hint="eastAsia" w:ascii="黑体" w:hAnsi="黑体" w:eastAsia="黑体" w:cs="黑体"/>
          <w:kern w:val="0"/>
          <w:sz w:val="28"/>
          <w:szCs w:val="28"/>
          <w:lang w:val="en-US" w:eastAsia="zh-CN"/>
        </w:rPr>
        <w:t>④提供二氧化硫分析仪</w:t>
      </w:r>
      <w:r>
        <w:rPr>
          <w:rFonts w:hint="eastAsia" w:ascii="黑体" w:hAnsi="黑体" w:eastAsia="黑体" w:cs="仿宋_GB2312"/>
          <w:sz w:val="28"/>
          <w:szCs w:val="28"/>
          <w:lang w:val="en-US" w:eastAsia="zh-CN"/>
        </w:rPr>
        <w:t>技术规格书。包括但不限于：</w:t>
      </w:r>
    </w:p>
    <w:p w14:paraId="3FDFF752">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a、提供设计方案、技术参数、在线分析系统组成图。</w:t>
      </w:r>
    </w:p>
    <w:p w14:paraId="2D0DCEB6">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b、烟气测量原理、测量精度、烟气（高温气体）取样方式。</w:t>
      </w:r>
    </w:p>
    <w:p w14:paraId="1403689C">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c、与高温烟气接触的探头、预处理管线材质。</w:t>
      </w:r>
    </w:p>
    <w:p w14:paraId="04FB3572">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d、分析仪输出信号。</w:t>
      </w:r>
    </w:p>
    <w:p w14:paraId="45912432">
      <w:pPr>
        <w:numPr>
          <w:ilvl w:val="0"/>
          <w:numId w:val="0"/>
        </w:numPr>
        <w:spacing w:line="420" w:lineRule="exact"/>
        <w:ind w:leftChars="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e、防止SO3污染光学镜头和预处理系统方法、方案；预处理系统失效的自动报警方法、方案；烟气回收的处理方法、方案。</w:t>
      </w:r>
    </w:p>
    <w:p w14:paraId="2E3BA16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配置清单。各子系统附件名称、规格型号、数量，品牌（生产商）。</w:t>
      </w:r>
      <w:r>
        <w:rPr>
          <w:rFonts w:hint="eastAsia" w:ascii="黑体" w:hAnsi="黑体" w:eastAsia="黑体" w:cs="黑体"/>
          <w:sz w:val="28"/>
          <w:szCs w:val="28"/>
          <w:lang w:val="en-US" w:eastAsia="zh-CN"/>
        </w:rPr>
        <w:t>包括分析仪关键部件（光源）的生产商。</w:t>
      </w:r>
      <w:bookmarkStart w:id="4" w:name="_GoBack"/>
      <w:bookmarkEnd w:id="4"/>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C6833CA">
      <w:pPr>
        <w:numPr>
          <w:ilvl w:val="0"/>
          <w:numId w:val="0"/>
        </w:numPr>
        <w:spacing w:line="420" w:lineRule="exact"/>
        <w:ind w:leftChars="0"/>
        <w:rPr>
          <w:rFonts w:ascii="黑体" w:hAnsi="黑体" w:eastAsia="黑体" w:cs="Times New Roman"/>
          <w:sz w:val="28"/>
          <w:szCs w:val="28"/>
        </w:rPr>
      </w:pPr>
      <w:r>
        <w:rPr>
          <w:rFonts w:hint="eastAsia" w:ascii="黑体" w:hAnsi="黑体" w:eastAsia="黑体" w:cs="仿宋_GB2312"/>
          <w:sz w:val="28"/>
          <w:szCs w:val="28"/>
          <w:lang w:val="en-US" w:eastAsia="zh-CN"/>
        </w:rPr>
        <w:t>10.本项</w:t>
      </w:r>
      <w:r>
        <w:rPr>
          <w:rFonts w:hint="eastAsia" w:ascii="黑体" w:hAnsi="黑体" w:eastAsia="黑体" w:cs="Times New Roman"/>
          <w:sz w:val="28"/>
          <w:szCs w:val="28"/>
          <w:lang w:val="en-US" w:eastAsia="zh-CN"/>
        </w:rPr>
        <w:t>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技术咨询：魏先生13980111611；商务联系人：姚先生13908109048</w:t>
      </w:r>
    </w:p>
    <w:p w14:paraId="5707CF8E">
      <w:pPr>
        <w:adjustRightInd w:val="0"/>
        <w:spacing w:line="420" w:lineRule="exact"/>
        <w:jc w:val="left"/>
        <w:rPr>
          <w:rFonts w:hint="eastAsia" w:ascii="黑体" w:hAnsi="黑体" w:eastAsia="黑体" w:cs="宋体"/>
          <w:kern w:val="0"/>
          <w:sz w:val="28"/>
          <w:szCs w:val="28"/>
        </w:rPr>
      </w:pP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21</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634E5C38">
      <w:pPr>
        <w:spacing w:line="360" w:lineRule="exact"/>
        <w:rPr>
          <w:rFonts w:hint="eastAsia" w:ascii="黑体" w:hAnsi="黑体" w:eastAsia="黑体" w:cs="宋体"/>
          <w:b/>
          <w:kern w:val="0"/>
          <w:sz w:val="28"/>
          <w:szCs w:val="28"/>
          <w:lang w:val="en-US" w:eastAsia="zh-CN"/>
        </w:rPr>
      </w:pPr>
    </w:p>
    <w:p w14:paraId="6CCB220D">
      <w:pPr>
        <w:spacing w:line="360" w:lineRule="exact"/>
        <w:rPr>
          <w:rFonts w:hint="eastAsia" w:ascii="黑体" w:hAnsi="黑体" w:eastAsia="黑体" w:cs="宋体"/>
          <w:b/>
          <w:kern w:val="0"/>
          <w:sz w:val="28"/>
          <w:szCs w:val="28"/>
          <w:lang w:val="en-US" w:eastAsia="zh-CN"/>
        </w:rPr>
      </w:pPr>
    </w:p>
    <w:p w14:paraId="292F8E8D">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 xml:space="preserve">第二章    </w:t>
      </w:r>
      <w:r>
        <w:rPr>
          <w:rFonts w:hint="eastAsia" w:ascii="黑体" w:hAnsi="黑体" w:eastAsia="黑体" w:cs="黑体"/>
          <w:b/>
          <w:bCs/>
          <w:sz w:val="28"/>
          <w:szCs w:val="28"/>
          <w:lang w:val="en-US" w:eastAsia="zh-CN"/>
        </w:rPr>
        <w:t>二氧化硫分析仪</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097A702">
      <w:pPr>
        <w:spacing w:line="360" w:lineRule="exact"/>
        <w:rPr>
          <w:rFonts w:hint="eastAsia" w:ascii="黑体" w:hAnsi="黑体" w:eastAsia="黑体" w:cs="仿宋_GB2312"/>
          <w:sz w:val="28"/>
          <w:szCs w:val="28"/>
          <w:lang w:val="en-US" w:eastAsia="zh-CN"/>
        </w:rPr>
      </w:pPr>
      <w:r>
        <w:rPr>
          <w:rFonts w:hint="eastAsia" w:ascii="宋体" w:hAnsi="宋体" w:cs="宋体"/>
          <w:b/>
          <w:bCs/>
          <w:color w:val="auto"/>
          <w:sz w:val="28"/>
          <w:szCs w:val="28"/>
        </w:rPr>
        <w:br w:type="page"/>
      </w:r>
      <w:bookmarkStart w:id="0" w:name="_Toc4384"/>
      <w:bookmarkStart w:id="1" w:name="_Toc30198"/>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生产商设备制造许可、生产商计量器具型式试验证书等。代理商投标需提供授权文件。</w:t>
      </w:r>
    </w:p>
    <w:p w14:paraId="34D04DF8">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1B2BBD5">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486C26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1D2FE0A">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38CA902">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44709EF">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6721B22">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7D5BB5C3">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35869B3">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1008DA7">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C1FCAA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7268E75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E4868F0">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32E90EA">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515671B3">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391468F">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BDCCF89">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1B8DD51">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0D3747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AB4FBE0">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532C9D1">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8F24C2D">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C85F87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ECDFC3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70A8E4E">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45D8901C">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F2F65A8">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0AD4A275">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6F27CC77">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9C59A9B">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2448D2E4">
      <w:pPr>
        <w:numPr>
          <w:ilvl w:val="0"/>
          <w:numId w:val="0"/>
        </w:numPr>
        <w:spacing w:line="420" w:lineRule="exact"/>
        <w:ind w:leftChars="0"/>
        <w:rPr>
          <w:rFonts w:hint="eastAsia" w:cs="黑体" w:asciiTheme="minorEastAsia" w:hAnsiTheme="minorEastAsia"/>
          <w:b/>
          <w:bCs/>
          <w:kern w:val="44"/>
          <w:sz w:val="28"/>
          <w:szCs w:val="28"/>
          <w:highlight w:val="none"/>
          <w:lang w:val="en-US" w:eastAsia="zh-CN"/>
        </w:rPr>
      </w:pPr>
    </w:p>
    <w:p w14:paraId="3612B39D">
      <w:pPr>
        <w:numPr>
          <w:ilvl w:val="0"/>
          <w:numId w:val="0"/>
        </w:numPr>
        <w:spacing w:line="420" w:lineRule="exact"/>
        <w:ind w:leftChars="0"/>
        <w:rPr>
          <w:rFonts w:hint="eastAsia" w:ascii="宋体" w:hAnsi="宋体" w:cs="宋体"/>
          <w:b/>
          <w:bCs/>
          <w:color w:val="auto"/>
          <w:sz w:val="28"/>
          <w:szCs w:val="28"/>
        </w:rPr>
      </w:pPr>
      <w:r>
        <w:rPr>
          <w:rFonts w:hint="eastAsia" w:cs="黑体" w:asciiTheme="minorEastAsia" w:hAnsiTheme="minorEastAsia"/>
          <w:b/>
          <w:bCs/>
          <w:kern w:val="44"/>
          <w:sz w:val="28"/>
          <w:szCs w:val="28"/>
          <w:highlight w:val="none"/>
          <w:lang w:val="en-US" w:eastAsia="zh-CN"/>
        </w:rPr>
        <w:t>（二）</w:t>
      </w:r>
      <w:bookmarkEnd w:id="0"/>
      <w:bookmarkEnd w:id="1"/>
      <w:bookmarkEnd w:id="2"/>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近三年（2023年1月-2025年12月）</w:t>
      </w:r>
      <w:r>
        <w:rPr>
          <w:rFonts w:hint="eastAsia" w:ascii="黑体" w:hAnsi="黑体" w:eastAsia="黑体" w:cs="Segoe UI"/>
          <w:kern w:val="0"/>
          <w:sz w:val="28"/>
          <w:szCs w:val="28"/>
          <w:lang w:val="en-US" w:eastAsia="zh-CN"/>
        </w:rPr>
        <w:t>二氧化硫分析仪</w:t>
      </w:r>
      <w:r>
        <w:rPr>
          <w:rFonts w:hint="eastAsia" w:ascii="黑体" w:hAnsi="黑体" w:eastAsia="黑体" w:cs="仿宋_GB2312"/>
          <w:sz w:val="28"/>
          <w:szCs w:val="28"/>
          <w:lang w:val="en-US" w:eastAsia="zh-CN"/>
        </w:rPr>
        <w:t>相关销售业绩，合同数量不低于5项。附中标通知书或合同扫描件，中标通知书或合同包括已履约完成和正在履约均可，同一家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二氧化硫分析仪规格型号不限。代理商提供生产商业绩予以认可。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0C5F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6E9E762D">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4C7875D8">
            <w:pPr>
              <w:pStyle w:val="35"/>
              <w:ind w:firstLine="0" w:firstLineChars="0"/>
              <w:jc w:val="center"/>
              <w:rPr>
                <w:rFonts w:hint="eastAsia" w:ascii="黑体" w:hAnsi="黑体" w:eastAsia="黑体" w:cs="Segoe UI"/>
                <w:kern w:val="0"/>
                <w:sz w:val="28"/>
                <w:szCs w:val="28"/>
              </w:rPr>
            </w:pPr>
          </w:p>
        </w:tc>
        <w:tc>
          <w:tcPr>
            <w:tcW w:w="1791" w:type="dxa"/>
          </w:tcPr>
          <w:p w14:paraId="6DDA5959">
            <w:pPr>
              <w:pStyle w:val="35"/>
              <w:ind w:right="560" w:firstLine="980" w:firstLineChars="350"/>
              <w:jc w:val="left"/>
              <w:rPr>
                <w:rFonts w:hint="eastAsia" w:ascii="黑体" w:hAnsi="黑体" w:eastAsia="黑体" w:cs="Segoe UI"/>
                <w:kern w:val="0"/>
                <w:sz w:val="28"/>
                <w:szCs w:val="28"/>
              </w:rPr>
            </w:pPr>
          </w:p>
        </w:tc>
        <w:tc>
          <w:tcPr>
            <w:tcW w:w="1355" w:type="dxa"/>
          </w:tcPr>
          <w:p w14:paraId="4D1B8876">
            <w:pPr>
              <w:pStyle w:val="35"/>
              <w:ind w:firstLine="0" w:firstLineChars="0"/>
              <w:jc w:val="center"/>
              <w:rPr>
                <w:rFonts w:hint="eastAsia" w:ascii="黑体" w:hAnsi="黑体" w:eastAsia="黑体" w:cs="Segoe UI"/>
                <w:kern w:val="0"/>
                <w:sz w:val="28"/>
                <w:szCs w:val="28"/>
              </w:rPr>
            </w:pPr>
          </w:p>
        </w:tc>
        <w:tc>
          <w:tcPr>
            <w:tcW w:w="1356" w:type="dxa"/>
          </w:tcPr>
          <w:p w14:paraId="02F7E672">
            <w:pPr>
              <w:pStyle w:val="35"/>
              <w:ind w:firstLine="0" w:firstLineChars="0"/>
              <w:jc w:val="right"/>
              <w:rPr>
                <w:rFonts w:hint="eastAsia" w:ascii="黑体" w:hAnsi="黑体" w:eastAsia="黑体" w:cs="Segoe UI"/>
                <w:kern w:val="0"/>
                <w:sz w:val="28"/>
                <w:szCs w:val="28"/>
              </w:rPr>
            </w:pPr>
          </w:p>
        </w:tc>
        <w:tc>
          <w:tcPr>
            <w:tcW w:w="1356" w:type="dxa"/>
          </w:tcPr>
          <w:p w14:paraId="259A129B">
            <w:pPr>
              <w:pStyle w:val="35"/>
              <w:ind w:firstLine="0" w:firstLineChars="0"/>
              <w:jc w:val="right"/>
              <w:rPr>
                <w:rFonts w:ascii="黑体" w:hAnsi="黑体" w:eastAsia="黑体" w:cs="Segoe UI"/>
                <w:kern w:val="0"/>
                <w:sz w:val="28"/>
                <w:szCs w:val="28"/>
              </w:rPr>
            </w:pPr>
          </w:p>
        </w:tc>
      </w:tr>
      <w:tr w14:paraId="1ACE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704D7B6">
            <w:pPr>
              <w:pStyle w:val="35"/>
              <w:ind w:firstLine="0" w:firstLineChars="0"/>
              <w:jc w:val="center"/>
              <w:rPr>
                <w:rFonts w:hint="eastAsia" w:ascii="黑体" w:hAnsi="黑体" w:eastAsia="黑体" w:cs="Segoe UI"/>
                <w:kern w:val="0"/>
                <w:sz w:val="28"/>
                <w:szCs w:val="28"/>
              </w:rPr>
            </w:pPr>
          </w:p>
        </w:tc>
        <w:tc>
          <w:tcPr>
            <w:tcW w:w="1923" w:type="dxa"/>
          </w:tcPr>
          <w:p w14:paraId="342183BF">
            <w:pPr>
              <w:pStyle w:val="35"/>
              <w:ind w:firstLine="0" w:firstLineChars="0"/>
              <w:jc w:val="center"/>
              <w:rPr>
                <w:rFonts w:hint="eastAsia" w:ascii="黑体" w:hAnsi="黑体" w:eastAsia="黑体" w:cs="Segoe UI"/>
                <w:kern w:val="0"/>
                <w:sz w:val="28"/>
                <w:szCs w:val="28"/>
              </w:rPr>
            </w:pPr>
          </w:p>
        </w:tc>
        <w:tc>
          <w:tcPr>
            <w:tcW w:w="1791" w:type="dxa"/>
          </w:tcPr>
          <w:p w14:paraId="726904E1">
            <w:pPr>
              <w:pStyle w:val="35"/>
              <w:ind w:right="560" w:firstLine="980" w:firstLineChars="350"/>
              <w:jc w:val="left"/>
              <w:rPr>
                <w:rFonts w:hint="eastAsia" w:ascii="黑体" w:hAnsi="黑体" w:eastAsia="黑体" w:cs="Segoe UI"/>
                <w:kern w:val="0"/>
                <w:sz w:val="28"/>
                <w:szCs w:val="28"/>
              </w:rPr>
            </w:pPr>
          </w:p>
        </w:tc>
        <w:tc>
          <w:tcPr>
            <w:tcW w:w="1355" w:type="dxa"/>
          </w:tcPr>
          <w:p w14:paraId="28EA85C0">
            <w:pPr>
              <w:pStyle w:val="35"/>
              <w:ind w:firstLine="0" w:firstLineChars="0"/>
              <w:jc w:val="center"/>
              <w:rPr>
                <w:rFonts w:hint="eastAsia" w:ascii="黑体" w:hAnsi="黑体" w:eastAsia="黑体" w:cs="Segoe UI"/>
                <w:kern w:val="0"/>
                <w:sz w:val="28"/>
                <w:szCs w:val="28"/>
              </w:rPr>
            </w:pPr>
          </w:p>
        </w:tc>
        <w:tc>
          <w:tcPr>
            <w:tcW w:w="1356" w:type="dxa"/>
          </w:tcPr>
          <w:p w14:paraId="192FF110">
            <w:pPr>
              <w:pStyle w:val="35"/>
              <w:ind w:firstLine="0" w:firstLineChars="0"/>
              <w:jc w:val="right"/>
              <w:rPr>
                <w:rFonts w:hint="eastAsia" w:ascii="黑体" w:hAnsi="黑体" w:eastAsia="黑体" w:cs="Segoe UI"/>
                <w:kern w:val="0"/>
                <w:sz w:val="28"/>
                <w:szCs w:val="28"/>
              </w:rPr>
            </w:pPr>
          </w:p>
        </w:tc>
        <w:tc>
          <w:tcPr>
            <w:tcW w:w="1356" w:type="dxa"/>
          </w:tcPr>
          <w:p w14:paraId="1774C985">
            <w:pPr>
              <w:pStyle w:val="35"/>
              <w:ind w:firstLine="0" w:firstLineChars="0"/>
              <w:jc w:val="right"/>
              <w:rPr>
                <w:rFonts w:ascii="黑体" w:hAnsi="黑体" w:eastAsia="黑体" w:cs="Segoe UI"/>
                <w:kern w:val="0"/>
                <w:sz w:val="28"/>
                <w:szCs w:val="28"/>
              </w:rPr>
            </w:pPr>
          </w:p>
        </w:tc>
      </w:tr>
      <w:tr w14:paraId="2529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4BFEBA61">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20F01228">
            <w:pPr>
              <w:pStyle w:val="35"/>
              <w:ind w:firstLine="0" w:firstLineChars="0"/>
              <w:jc w:val="center"/>
              <w:rPr>
                <w:rFonts w:hint="eastAsia" w:ascii="黑体" w:hAnsi="黑体" w:eastAsia="黑体" w:cs="Segoe UI"/>
                <w:kern w:val="0"/>
                <w:sz w:val="28"/>
                <w:szCs w:val="28"/>
              </w:rPr>
            </w:pPr>
          </w:p>
        </w:tc>
        <w:tc>
          <w:tcPr>
            <w:tcW w:w="1791" w:type="dxa"/>
          </w:tcPr>
          <w:p w14:paraId="79564756">
            <w:pPr>
              <w:pStyle w:val="35"/>
              <w:ind w:right="560" w:firstLine="980" w:firstLineChars="350"/>
              <w:jc w:val="left"/>
              <w:rPr>
                <w:rFonts w:hint="eastAsia" w:ascii="黑体" w:hAnsi="黑体" w:eastAsia="黑体" w:cs="Segoe UI"/>
                <w:kern w:val="0"/>
                <w:sz w:val="28"/>
                <w:szCs w:val="28"/>
              </w:rPr>
            </w:pPr>
          </w:p>
        </w:tc>
        <w:tc>
          <w:tcPr>
            <w:tcW w:w="1355" w:type="dxa"/>
          </w:tcPr>
          <w:p w14:paraId="75925C9A">
            <w:pPr>
              <w:pStyle w:val="35"/>
              <w:ind w:firstLine="0" w:firstLineChars="0"/>
              <w:jc w:val="center"/>
              <w:rPr>
                <w:rFonts w:hint="eastAsia" w:ascii="黑体" w:hAnsi="黑体" w:eastAsia="黑体" w:cs="Segoe UI"/>
                <w:kern w:val="0"/>
                <w:sz w:val="28"/>
                <w:szCs w:val="28"/>
              </w:rPr>
            </w:pPr>
          </w:p>
        </w:tc>
        <w:tc>
          <w:tcPr>
            <w:tcW w:w="1356" w:type="dxa"/>
          </w:tcPr>
          <w:p w14:paraId="6A7B165F">
            <w:pPr>
              <w:pStyle w:val="35"/>
              <w:ind w:firstLine="0" w:firstLineChars="0"/>
              <w:jc w:val="right"/>
              <w:rPr>
                <w:rFonts w:hint="eastAsia" w:ascii="黑体" w:hAnsi="黑体" w:eastAsia="黑体" w:cs="Segoe UI"/>
                <w:kern w:val="0"/>
                <w:sz w:val="28"/>
                <w:szCs w:val="28"/>
              </w:rPr>
            </w:pPr>
          </w:p>
        </w:tc>
        <w:tc>
          <w:tcPr>
            <w:tcW w:w="1356" w:type="dxa"/>
          </w:tcPr>
          <w:p w14:paraId="50BFB8D1">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2"/>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F5BE72E">
      <w:pPr>
        <w:spacing w:line="360" w:lineRule="exact"/>
        <w:rPr>
          <w:rFonts w:hint="default" w:ascii="黑体" w:hAnsi="黑体" w:eastAsia="黑体" w:cs="仿宋_GB2312"/>
          <w:sz w:val="28"/>
          <w:szCs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lang w:val="en-US" w:eastAsia="zh-CN"/>
        </w:rPr>
        <w:t>技术规格书。</w:t>
      </w:r>
      <w:r>
        <w:rPr>
          <w:rFonts w:hint="eastAsia" w:ascii="黑体" w:hAnsi="黑体" w:eastAsia="黑体" w:cs="仿宋_GB2312"/>
          <w:sz w:val="28"/>
          <w:szCs w:val="28"/>
          <w:lang w:val="en-US" w:eastAsia="zh-CN"/>
        </w:rPr>
        <w:t>包括但不限于：</w:t>
      </w:r>
    </w:p>
    <w:p w14:paraId="31BEBB2F">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a、提供设计方案、技术参数、分析系统结构组成图。</w:t>
      </w:r>
    </w:p>
    <w:p w14:paraId="2E01C0B5">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b、烟气测量原理、测量精度、烟气（高温气体）取样方式、分析仪主机和关键部件（光谱仪接收装置及光源）的生产商。</w:t>
      </w:r>
    </w:p>
    <w:p w14:paraId="3CB247F1">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c、与高温烟气接触的探头、预处理管线材质。</w:t>
      </w:r>
    </w:p>
    <w:p w14:paraId="21765088">
      <w:pPr>
        <w:numPr>
          <w:ilvl w:val="0"/>
          <w:numId w:val="0"/>
        </w:numPr>
        <w:spacing w:line="420" w:lineRule="exact"/>
        <w:ind w:leftChars="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d、分析仪输出信号。</w:t>
      </w:r>
    </w:p>
    <w:p w14:paraId="248B6739">
      <w:pPr>
        <w:numPr>
          <w:ilvl w:val="0"/>
          <w:numId w:val="0"/>
        </w:numPr>
        <w:spacing w:line="420" w:lineRule="exact"/>
        <w:ind w:leftChars="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e、防止SO3污染光学镜头和预处理系统方法、方案；预处理系统失效的自动报警方法、方案；烟气回收的处理方法、方案。</w:t>
      </w:r>
    </w:p>
    <w:p w14:paraId="5FD76259">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right="0" w:rightChars="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ADD7B4C">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配置清单。</w:t>
      </w:r>
      <w:r>
        <w:rPr>
          <w:rFonts w:hint="eastAsia" w:ascii="黑体" w:hAnsi="黑体" w:eastAsia="黑体" w:cs="仿宋_GB2312"/>
          <w:sz w:val="28"/>
          <w:szCs w:val="28"/>
          <w:lang w:val="en-US" w:eastAsia="zh-CN"/>
        </w:rPr>
        <w:t>各子系统附件名称、规格型号、数量，品牌（生产商）。</w:t>
      </w:r>
    </w:p>
    <w:p w14:paraId="47A4BA51">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460350D0">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1F4A9118">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40FC67AB">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422C7411">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5F144C4C">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006D7BE3">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7D67D7A3">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63F9DE9D">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622668B8">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114118FB">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583609FC">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7EA773DF">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552A17D7">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26459DBA">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56DD5BB5">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115F7F11">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3672DC67">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093E40F8">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30B2E02A">
      <w:pPr>
        <w:kinsoku/>
        <w:overflowPunct/>
        <w:topLinePunct w:val="0"/>
        <w:bidi w:val="0"/>
        <w:spacing w:line="360" w:lineRule="auto"/>
        <w:ind w:left="0" w:leftChars="0" w:right="0" w:rightChars="0" w:firstLine="562" w:firstLineChars="200"/>
        <w:jc w:val="left"/>
        <w:rPr>
          <w:rFonts w:hint="eastAsia" w:ascii="宋体" w:hAnsi="宋体"/>
          <w:b/>
          <w:color w:val="auto"/>
          <w:sz w:val="28"/>
          <w:lang w:val="en-US" w:eastAsia="zh-CN"/>
        </w:rPr>
      </w:pPr>
    </w:p>
    <w:p w14:paraId="68572679">
      <w:pPr>
        <w:kinsoku/>
        <w:overflowPunct/>
        <w:topLinePunct w:val="0"/>
        <w:bidi w:val="0"/>
        <w:spacing w:line="360" w:lineRule="auto"/>
        <w:ind w:right="0" w:rightChars="0"/>
        <w:jc w:val="left"/>
        <w:rPr>
          <w:rFonts w:hint="default" w:ascii="宋体" w:hAnsi="宋体"/>
          <w:b/>
          <w:color w:val="auto"/>
          <w:sz w:val="28"/>
          <w:lang w:val="en-US" w:eastAsia="zh-CN"/>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5706E53">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4、随货提供详细的资料，包括但不限于：合格证、使用说明书和检测报告等相关资料。</w:t>
      </w: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5、合同附件（配置清单）作为本合同的验收标准，具备同等法律效力。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附件：配置清单</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42358D"/>
    <w:rsid w:val="0E4B15AB"/>
    <w:rsid w:val="0EC51CF1"/>
    <w:rsid w:val="0F0E349C"/>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48F7767"/>
    <w:rsid w:val="15440311"/>
    <w:rsid w:val="15916DD0"/>
    <w:rsid w:val="15CD39A8"/>
    <w:rsid w:val="16413351"/>
    <w:rsid w:val="164E090F"/>
    <w:rsid w:val="16937390"/>
    <w:rsid w:val="16F83C6D"/>
    <w:rsid w:val="172F5937"/>
    <w:rsid w:val="17660053"/>
    <w:rsid w:val="177C482D"/>
    <w:rsid w:val="183C00E4"/>
    <w:rsid w:val="190E59FE"/>
    <w:rsid w:val="19393A07"/>
    <w:rsid w:val="1A294B27"/>
    <w:rsid w:val="1A683441"/>
    <w:rsid w:val="1AF80BA7"/>
    <w:rsid w:val="1B3A0C89"/>
    <w:rsid w:val="1C4C57FF"/>
    <w:rsid w:val="1D176383"/>
    <w:rsid w:val="1D4F5966"/>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501AEF"/>
    <w:rsid w:val="2EC03E0B"/>
    <w:rsid w:val="2EE64169"/>
    <w:rsid w:val="2FA06300"/>
    <w:rsid w:val="300E355A"/>
    <w:rsid w:val="30337F16"/>
    <w:rsid w:val="30464A25"/>
    <w:rsid w:val="3082583C"/>
    <w:rsid w:val="30AA38EA"/>
    <w:rsid w:val="31A45B7D"/>
    <w:rsid w:val="31A5035D"/>
    <w:rsid w:val="338A0373"/>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95F2F1B"/>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8E4D5B"/>
    <w:rsid w:val="4DCF4AEB"/>
    <w:rsid w:val="4E0D1159"/>
    <w:rsid w:val="4E5A52AA"/>
    <w:rsid w:val="4E716153"/>
    <w:rsid w:val="4EE10E98"/>
    <w:rsid w:val="4EE97C85"/>
    <w:rsid w:val="4F203C16"/>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66D3E2F"/>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EDB62D4"/>
    <w:rsid w:val="5F4D50E3"/>
    <w:rsid w:val="60303C60"/>
    <w:rsid w:val="61E15FB7"/>
    <w:rsid w:val="622C60C9"/>
    <w:rsid w:val="626B0ACC"/>
    <w:rsid w:val="626F728B"/>
    <w:rsid w:val="62A42563"/>
    <w:rsid w:val="63210307"/>
    <w:rsid w:val="633B16F7"/>
    <w:rsid w:val="633F1D52"/>
    <w:rsid w:val="63613BBD"/>
    <w:rsid w:val="64132ACB"/>
    <w:rsid w:val="644F1AB3"/>
    <w:rsid w:val="652162C6"/>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1C77F15"/>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4250</Words>
  <Characters>4459</Characters>
  <Lines>16</Lines>
  <Paragraphs>4</Paragraphs>
  <TotalTime>2</TotalTime>
  <ScaleCrop>false</ScaleCrop>
  <LinksUpToDate>false</LinksUpToDate>
  <CharactersWithSpaces>5346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2026-07-21T06:26:05Z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F513D86F9C4045CD94980CC5E6583721_13</vt:lpwstr>
  </property>
</Properties>
</file>