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D7030" w14:textId="77777777" w:rsidR="00C41D13" w:rsidRDefault="003053A8">
      <w:pPr>
        <w:widowControl/>
        <w:jc w:val="center"/>
        <w:rPr>
          <w:rFonts w:ascii="宋体" w:eastAsia="宋体" w:hAnsi="宋体" w:cs="宋体" w:hint="eastAsia"/>
          <w:b/>
          <w:bCs/>
          <w:color w:val="000000" w:themeColor="text1"/>
          <w:kern w:val="0"/>
          <w:sz w:val="72"/>
          <w:szCs w:val="72"/>
        </w:rPr>
      </w:pPr>
      <w:r>
        <w:rPr>
          <w:rFonts w:ascii="宋体" w:eastAsia="宋体" w:hAnsi="宋体" w:cs="宋体" w:hint="eastAsia"/>
          <w:b/>
          <w:bCs/>
          <w:color w:val="000000" w:themeColor="text1"/>
          <w:kern w:val="0"/>
          <w:sz w:val="72"/>
          <w:szCs w:val="72"/>
        </w:rPr>
        <w:t>四川宏达股份有限公司</w:t>
      </w:r>
    </w:p>
    <w:p w14:paraId="2705BECD" w14:textId="1CF5129A" w:rsidR="00C41D13" w:rsidRDefault="006832F6">
      <w:pPr>
        <w:widowControl/>
        <w:jc w:val="center"/>
        <w:rPr>
          <w:rFonts w:ascii="宋体" w:eastAsia="宋体" w:hAnsi="宋体" w:cs="宋体" w:hint="eastAsia"/>
          <w:b/>
          <w:bCs/>
          <w:color w:val="000000" w:themeColor="text1"/>
          <w:kern w:val="0"/>
          <w:sz w:val="72"/>
          <w:szCs w:val="72"/>
        </w:rPr>
      </w:pPr>
      <w:r>
        <w:rPr>
          <w:rFonts w:ascii="宋体" w:eastAsia="宋体" w:hAnsi="宋体" w:cs="宋体" w:hint="eastAsia"/>
          <w:b/>
          <w:bCs/>
          <w:color w:val="000000" w:themeColor="text1"/>
          <w:kern w:val="0"/>
          <w:sz w:val="72"/>
          <w:szCs w:val="72"/>
        </w:rPr>
        <w:t>有色金属分公司</w:t>
      </w:r>
    </w:p>
    <w:p w14:paraId="22757E63" w14:textId="77777777" w:rsidR="00C41D13" w:rsidRDefault="00C41D13">
      <w:pPr>
        <w:widowControl/>
        <w:jc w:val="center"/>
        <w:rPr>
          <w:rFonts w:ascii="宋体" w:eastAsia="宋体" w:hAnsi="宋体" w:cs="宋体" w:hint="eastAsia"/>
          <w:b/>
          <w:bCs/>
          <w:color w:val="000000" w:themeColor="text1"/>
          <w:kern w:val="0"/>
          <w:sz w:val="72"/>
          <w:szCs w:val="72"/>
        </w:rPr>
      </w:pPr>
    </w:p>
    <w:p w14:paraId="107E737C" w14:textId="77777777" w:rsidR="00C41D13" w:rsidRDefault="00C41D13">
      <w:pPr>
        <w:widowControl/>
        <w:jc w:val="center"/>
        <w:rPr>
          <w:rFonts w:ascii="宋体" w:eastAsia="宋体" w:hAnsi="宋体" w:cs="宋体" w:hint="eastAsia"/>
          <w:b/>
          <w:bCs/>
          <w:color w:val="000000" w:themeColor="text1"/>
          <w:kern w:val="0"/>
          <w:sz w:val="72"/>
          <w:szCs w:val="72"/>
        </w:rPr>
      </w:pPr>
    </w:p>
    <w:p w14:paraId="5E211584" w14:textId="77777777" w:rsidR="00C41D13" w:rsidRDefault="00C41D13">
      <w:pPr>
        <w:widowControl/>
        <w:jc w:val="center"/>
        <w:rPr>
          <w:rFonts w:ascii="宋体" w:eastAsia="宋体" w:hAnsi="宋体" w:cs="宋体" w:hint="eastAsia"/>
          <w:b/>
          <w:bCs/>
          <w:color w:val="000000" w:themeColor="text1"/>
          <w:kern w:val="0"/>
          <w:sz w:val="72"/>
          <w:szCs w:val="72"/>
        </w:rPr>
      </w:pPr>
    </w:p>
    <w:p w14:paraId="36434F02" w14:textId="55A6FCDB" w:rsidR="00C41D13" w:rsidRDefault="006832F6">
      <w:pPr>
        <w:widowControl/>
        <w:jc w:val="center"/>
        <w:rPr>
          <w:rFonts w:ascii="仿宋_GB2312" w:eastAsia="仿宋_GB2312" w:hAnsi="仿宋_GB2312" w:cs="仿宋_GB2312" w:hint="eastAsia"/>
          <w:b/>
          <w:bCs/>
          <w:color w:val="000000" w:themeColor="text1"/>
          <w:kern w:val="0"/>
          <w:sz w:val="52"/>
          <w:szCs w:val="52"/>
        </w:rPr>
      </w:pPr>
      <w:r>
        <w:rPr>
          <w:rFonts w:ascii="仿宋_GB2312" w:eastAsia="仿宋_GB2312" w:hAnsi="仿宋_GB2312" w:cs="仿宋_GB2312" w:hint="eastAsia"/>
          <w:b/>
          <w:bCs/>
          <w:color w:val="000000" w:themeColor="text1"/>
          <w:kern w:val="0"/>
          <w:sz w:val="52"/>
          <w:szCs w:val="52"/>
        </w:rPr>
        <w:t>1</w:t>
      </w:r>
      <w:r w:rsidR="003053A8">
        <w:rPr>
          <w:rFonts w:ascii="仿宋_GB2312" w:eastAsia="仿宋_GB2312" w:hAnsi="仿宋_GB2312" w:cs="仿宋_GB2312" w:hint="eastAsia"/>
          <w:b/>
          <w:bCs/>
          <w:color w:val="000000" w:themeColor="text1"/>
          <w:kern w:val="0"/>
          <w:sz w:val="52"/>
          <w:szCs w:val="52"/>
        </w:rPr>
        <w:t>0万吨</w:t>
      </w:r>
      <w:r>
        <w:rPr>
          <w:rFonts w:ascii="仿宋_GB2312" w:eastAsia="仿宋_GB2312" w:hAnsi="仿宋_GB2312" w:cs="仿宋_GB2312" w:hint="eastAsia"/>
          <w:b/>
          <w:bCs/>
          <w:color w:val="000000" w:themeColor="text1"/>
          <w:kern w:val="0"/>
          <w:sz w:val="52"/>
          <w:szCs w:val="52"/>
        </w:rPr>
        <w:t>烟气制酸装置</w:t>
      </w:r>
    </w:p>
    <w:p w14:paraId="4F3AC256" w14:textId="4EAA50D0" w:rsidR="00C41D13" w:rsidRDefault="006832F6">
      <w:pPr>
        <w:widowControl/>
        <w:jc w:val="center"/>
        <w:rPr>
          <w:rFonts w:ascii="仿宋_GB2312" w:eastAsia="仿宋_GB2312" w:hAnsi="仿宋_GB2312" w:cs="仿宋_GB2312" w:hint="eastAsia"/>
          <w:b/>
          <w:bCs/>
          <w:color w:val="000000" w:themeColor="text1"/>
          <w:kern w:val="0"/>
          <w:sz w:val="52"/>
          <w:szCs w:val="52"/>
        </w:rPr>
      </w:pPr>
      <w:r>
        <w:rPr>
          <w:rFonts w:ascii="仿宋_GB2312" w:eastAsia="仿宋_GB2312" w:hAnsi="仿宋_GB2312" w:cs="仿宋_GB2312" w:hint="eastAsia"/>
          <w:b/>
          <w:bCs/>
          <w:color w:val="000000" w:themeColor="text1"/>
          <w:kern w:val="0"/>
          <w:sz w:val="52"/>
          <w:szCs w:val="52"/>
        </w:rPr>
        <w:t>二氧化硫风机</w:t>
      </w:r>
      <w:r w:rsidR="003053A8">
        <w:rPr>
          <w:rFonts w:ascii="仿宋_GB2312" w:eastAsia="仿宋_GB2312" w:hAnsi="仿宋_GB2312" w:cs="仿宋_GB2312" w:hint="eastAsia"/>
          <w:b/>
          <w:bCs/>
          <w:color w:val="000000" w:themeColor="text1"/>
          <w:kern w:val="0"/>
          <w:sz w:val="52"/>
          <w:szCs w:val="52"/>
        </w:rPr>
        <w:t>出口烟气SO</w:t>
      </w:r>
      <w:r w:rsidR="003053A8">
        <w:rPr>
          <w:rFonts w:ascii="仿宋_GB2312" w:eastAsia="仿宋_GB2312" w:hAnsi="仿宋_GB2312" w:cs="仿宋_GB2312" w:hint="eastAsia"/>
          <w:b/>
          <w:bCs/>
          <w:color w:val="000000" w:themeColor="text1"/>
          <w:kern w:val="0"/>
          <w:sz w:val="44"/>
          <w:szCs w:val="44"/>
        </w:rPr>
        <w:t>2</w:t>
      </w:r>
    </w:p>
    <w:p w14:paraId="1C3E4971" w14:textId="77777777" w:rsidR="00C41D13" w:rsidRDefault="003053A8">
      <w:pPr>
        <w:widowControl/>
        <w:jc w:val="center"/>
        <w:rPr>
          <w:rFonts w:ascii="仿宋_GB2312" w:eastAsia="仿宋_GB2312" w:hAnsi="仿宋_GB2312" w:cs="仿宋_GB2312" w:hint="eastAsia"/>
          <w:b/>
          <w:bCs/>
          <w:color w:val="000000" w:themeColor="text1"/>
          <w:kern w:val="0"/>
          <w:sz w:val="52"/>
          <w:szCs w:val="52"/>
        </w:rPr>
      </w:pPr>
      <w:r>
        <w:rPr>
          <w:rFonts w:ascii="仿宋_GB2312" w:eastAsia="仿宋_GB2312" w:hAnsi="仿宋_GB2312" w:cs="仿宋_GB2312" w:hint="eastAsia"/>
          <w:b/>
          <w:bCs/>
          <w:color w:val="000000" w:themeColor="text1"/>
          <w:kern w:val="0"/>
          <w:sz w:val="52"/>
          <w:szCs w:val="52"/>
        </w:rPr>
        <w:t>在线分析系统</w:t>
      </w:r>
    </w:p>
    <w:p w14:paraId="1C94329E" w14:textId="77777777" w:rsidR="00C41D13" w:rsidRDefault="003053A8">
      <w:pPr>
        <w:widowControl/>
        <w:jc w:val="center"/>
        <w:rPr>
          <w:color w:val="000000" w:themeColor="text1"/>
        </w:rPr>
      </w:pPr>
      <w:r>
        <w:rPr>
          <w:rFonts w:ascii="仿宋_GB2312" w:eastAsia="仿宋_GB2312" w:hAnsi="仿宋_GB2312" w:cs="仿宋_GB2312" w:hint="eastAsia"/>
          <w:b/>
          <w:bCs/>
          <w:color w:val="000000" w:themeColor="text1"/>
          <w:kern w:val="0"/>
          <w:sz w:val="52"/>
          <w:szCs w:val="52"/>
        </w:rPr>
        <w:t>技术规格书</w:t>
      </w:r>
    </w:p>
    <w:p w14:paraId="7C66A492" w14:textId="77777777" w:rsidR="00C41D13" w:rsidRDefault="00C41D13">
      <w:pPr>
        <w:widowControl/>
        <w:jc w:val="left"/>
        <w:rPr>
          <w:rFonts w:ascii="宋体" w:eastAsia="宋体" w:hAnsi="宋体" w:cs="宋体" w:hint="eastAsia"/>
          <w:color w:val="000000" w:themeColor="text1"/>
          <w:kern w:val="0"/>
          <w:sz w:val="30"/>
          <w:szCs w:val="30"/>
        </w:rPr>
      </w:pPr>
    </w:p>
    <w:p w14:paraId="08C478B1" w14:textId="77777777" w:rsidR="00C41D13" w:rsidRDefault="00C41D13">
      <w:pPr>
        <w:widowControl/>
        <w:jc w:val="left"/>
        <w:rPr>
          <w:rFonts w:ascii="宋体" w:eastAsia="宋体" w:hAnsi="宋体" w:cs="宋体" w:hint="eastAsia"/>
          <w:color w:val="000000" w:themeColor="text1"/>
          <w:kern w:val="0"/>
          <w:sz w:val="30"/>
          <w:szCs w:val="30"/>
        </w:rPr>
      </w:pPr>
    </w:p>
    <w:p w14:paraId="7456D751" w14:textId="77777777" w:rsidR="00C41D13" w:rsidRDefault="00C41D13">
      <w:pPr>
        <w:widowControl/>
        <w:jc w:val="left"/>
        <w:rPr>
          <w:rFonts w:ascii="宋体" w:eastAsia="宋体" w:hAnsi="宋体" w:cs="宋体" w:hint="eastAsia"/>
          <w:color w:val="000000" w:themeColor="text1"/>
          <w:kern w:val="0"/>
          <w:sz w:val="30"/>
          <w:szCs w:val="30"/>
        </w:rPr>
      </w:pPr>
    </w:p>
    <w:p w14:paraId="428F4765" w14:textId="77777777" w:rsidR="00C41D13" w:rsidRDefault="00C41D13">
      <w:pPr>
        <w:widowControl/>
        <w:jc w:val="left"/>
        <w:rPr>
          <w:rFonts w:ascii="宋体" w:eastAsia="宋体" w:hAnsi="宋体" w:cs="宋体" w:hint="eastAsia"/>
          <w:color w:val="000000" w:themeColor="text1"/>
          <w:kern w:val="0"/>
          <w:sz w:val="30"/>
          <w:szCs w:val="30"/>
        </w:rPr>
      </w:pPr>
    </w:p>
    <w:p w14:paraId="0DB2C908" w14:textId="77777777" w:rsidR="00C41D13" w:rsidRDefault="00C41D13">
      <w:pPr>
        <w:widowControl/>
        <w:jc w:val="left"/>
        <w:rPr>
          <w:rFonts w:ascii="宋体" w:eastAsia="宋体" w:hAnsi="宋体" w:cs="宋体" w:hint="eastAsia"/>
          <w:color w:val="000000" w:themeColor="text1"/>
          <w:kern w:val="0"/>
          <w:sz w:val="30"/>
          <w:szCs w:val="30"/>
        </w:rPr>
      </w:pPr>
    </w:p>
    <w:p w14:paraId="1ED6FB7E" w14:textId="77777777" w:rsidR="00C41D13" w:rsidRDefault="00C41D13">
      <w:pPr>
        <w:widowControl/>
        <w:jc w:val="left"/>
        <w:rPr>
          <w:rFonts w:ascii="宋体" w:eastAsia="宋体" w:hAnsi="宋体" w:cs="宋体" w:hint="eastAsia"/>
          <w:color w:val="000000" w:themeColor="text1"/>
          <w:kern w:val="0"/>
          <w:sz w:val="30"/>
          <w:szCs w:val="30"/>
        </w:rPr>
      </w:pPr>
    </w:p>
    <w:p w14:paraId="387AE478" w14:textId="77777777" w:rsidR="00C41D13" w:rsidRDefault="00C41D13">
      <w:pPr>
        <w:widowControl/>
        <w:jc w:val="left"/>
        <w:rPr>
          <w:rFonts w:ascii="宋体" w:eastAsia="宋体" w:hAnsi="宋体" w:cs="宋体" w:hint="eastAsia"/>
          <w:color w:val="000000" w:themeColor="text1"/>
          <w:kern w:val="0"/>
          <w:sz w:val="30"/>
          <w:szCs w:val="30"/>
        </w:rPr>
      </w:pPr>
    </w:p>
    <w:p w14:paraId="5D9BA54F" w14:textId="77777777" w:rsidR="00C41D13" w:rsidRDefault="003053A8">
      <w:pPr>
        <w:widowControl/>
        <w:jc w:val="right"/>
        <w:rPr>
          <w:rFonts w:ascii="楷体" w:eastAsia="楷体" w:hAnsi="楷体" w:cs="楷体" w:hint="eastAsia"/>
          <w:color w:val="000000" w:themeColor="text1"/>
          <w:kern w:val="0"/>
          <w:sz w:val="28"/>
          <w:szCs w:val="28"/>
        </w:rPr>
      </w:pPr>
      <w:r>
        <w:rPr>
          <w:rFonts w:ascii="楷体" w:eastAsia="楷体" w:hAnsi="楷体" w:cs="楷体" w:hint="eastAsia"/>
          <w:color w:val="000000" w:themeColor="text1"/>
          <w:kern w:val="0"/>
          <w:sz w:val="28"/>
          <w:szCs w:val="28"/>
        </w:rPr>
        <w:t>2022年4月24日</w:t>
      </w:r>
    </w:p>
    <w:p w14:paraId="3721C01C" w14:textId="77777777" w:rsidR="00C41D13" w:rsidRDefault="003053A8">
      <w:pPr>
        <w:widowControl/>
        <w:jc w:val="right"/>
        <w:rPr>
          <w:rFonts w:ascii="楷体" w:eastAsia="楷体" w:hAnsi="楷体" w:cs="楷体" w:hint="eastAsia"/>
          <w:color w:val="000000" w:themeColor="text1"/>
          <w:kern w:val="0"/>
          <w:sz w:val="28"/>
          <w:szCs w:val="28"/>
        </w:rPr>
      </w:pPr>
      <w:r>
        <w:rPr>
          <w:rFonts w:ascii="楷体" w:eastAsia="楷体" w:hAnsi="楷体" w:cs="楷体" w:hint="eastAsia"/>
          <w:color w:val="000000" w:themeColor="text1"/>
          <w:kern w:val="0"/>
          <w:sz w:val="28"/>
          <w:szCs w:val="28"/>
        </w:rPr>
        <w:t>王江13700903942</w:t>
      </w:r>
    </w:p>
    <w:p w14:paraId="24D3C80B" w14:textId="77777777" w:rsidR="00C41D13" w:rsidRDefault="003053A8">
      <w:pPr>
        <w:widowControl/>
        <w:jc w:val="left"/>
        <w:rPr>
          <w:rFonts w:ascii="仿宋_GB2312" w:eastAsia="仿宋_GB2312" w:hAnsi="仿宋_GB2312" w:cs="仿宋_GB2312" w:hint="eastAsia"/>
          <w:b/>
          <w:bCs/>
          <w:color w:val="000000" w:themeColor="text1"/>
          <w:kern w:val="0"/>
          <w:sz w:val="28"/>
          <w:szCs w:val="28"/>
        </w:rPr>
      </w:pPr>
      <w:r>
        <w:rPr>
          <w:rFonts w:ascii="仿宋_GB2312" w:eastAsia="仿宋_GB2312" w:hAnsi="仿宋_GB2312" w:cs="仿宋_GB2312" w:hint="eastAsia"/>
          <w:b/>
          <w:bCs/>
          <w:color w:val="000000" w:themeColor="text1"/>
          <w:kern w:val="0"/>
          <w:sz w:val="28"/>
          <w:szCs w:val="28"/>
        </w:rPr>
        <w:lastRenderedPageBreak/>
        <w:t>1.项目地点</w:t>
      </w:r>
    </w:p>
    <w:p w14:paraId="6BAE079D" w14:textId="144D035E" w:rsidR="00C41D13" w:rsidRDefault="003053A8">
      <w:pPr>
        <w:widowControl/>
        <w:ind w:firstLineChars="200" w:firstLine="560"/>
        <w:jc w:val="left"/>
        <w:rPr>
          <w:rFonts w:ascii="仿宋_GB2312" w:eastAsia="仿宋_GB2312" w:hAnsi="仿宋_GB2312" w:cs="仿宋_GB2312" w:hint="eastAsia"/>
          <w:b/>
          <w:bCs/>
          <w:color w:val="000000" w:themeColor="text1"/>
          <w:kern w:val="0"/>
          <w:sz w:val="28"/>
          <w:szCs w:val="28"/>
        </w:rPr>
      </w:pPr>
      <w:r>
        <w:rPr>
          <w:rFonts w:ascii="仿宋_GB2312" w:eastAsia="仿宋_GB2312" w:hAnsi="仿宋_GB2312" w:cs="仿宋_GB2312" w:hint="eastAsia"/>
          <w:color w:val="000000" w:themeColor="text1"/>
          <w:kern w:val="0"/>
          <w:sz w:val="28"/>
          <w:szCs w:val="28"/>
        </w:rPr>
        <w:t>项目位于四川省什邡市</w:t>
      </w:r>
      <w:r w:rsidR="006832F6">
        <w:rPr>
          <w:rFonts w:ascii="仿宋_GB2312" w:eastAsia="仿宋_GB2312" w:hAnsi="仿宋_GB2312" w:cs="仿宋_GB2312" w:hint="eastAsia"/>
          <w:color w:val="000000" w:themeColor="text1"/>
          <w:kern w:val="0"/>
          <w:sz w:val="28"/>
          <w:szCs w:val="28"/>
        </w:rPr>
        <w:t>师古</w:t>
      </w:r>
      <w:r>
        <w:rPr>
          <w:rFonts w:ascii="仿宋_GB2312" w:eastAsia="仿宋_GB2312" w:hAnsi="仿宋_GB2312" w:cs="仿宋_GB2312" w:hint="eastAsia"/>
          <w:color w:val="000000" w:themeColor="text1"/>
          <w:kern w:val="0"/>
          <w:sz w:val="28"/>
          <w:szCs w:val="28"/>
        </w:rPr>
        <w:t>镇，</w:t>
      </w:r>
      <w:r>
        <w:rPr>
          <w:rFonts w:ascii="仿宋_GB2312" w:eastAsia="仿宋_GB2312" w:hAnsi="仿宋_GB2312" w:cs="仿宋_GB2312" w:hint="eastAsia"/>
          <w:color w:val="000000" w:themeColor="text1"/>
          <w:sz w:val="28"/>
          <w:szCs w:val="28"/>
          <w:shd w:val="clear" w:color="auto" w:fill="FFFFFF"/>
        </w:rPr>
        <w:t>四川省辖县级市，由德阳市代管，位于四川盆地腹地成都平原，东与绵竹市和旌阳区相邻，南与广汉市接壤，西与彭州市毗连。</w:t>
      </w:r>
    </w:p>
    <w:p w14:paraId="0E670607" w14:textId="77777777" w:rsidR="00C41D13" w:rsidRDefault="003053A8">
      <w:pPr>
        <w:widowControl/>
        <w:jc w:val="left"/>
        <w:rPr>
          <w:rFonts w:ascii="仿宋_GB2312" w:eastAsia="仿宋_GB2312" w:hAnsi="仿宋_GB2312" w:cs="仿宋_GB2312" w:hint="eastAsia"/>
          <w:color w:val="000000" w:themeColor="text1"/>
          <w:sz w:val="28"/>
          <w:szCs w:val="28"/>
          <w:shd w:val="clear" w:color="auto" w:fill="FFFFFF"/>
        </w:rPr>
      </w:pPr>
      <w:r>
        <w:rPr>
          <w:rFonts w:ascii="仿宋_GB2312" w:eastAsia="仿宋_GB2312" w:hAnsi="仿宋_GB2312" w:cs="仿宋_GB2312" w:hint="eastAsia"/>
          <w:b/>
          <w:bCs/>
          <w:color w:val="000000" w:themeColor="text1"/>
          <w:kern w:val="0"/>
          <w:sz w:val="28"/>
          <w:szCs w:val="28"/>
        </w:rPr>
        <w:t>2.气象资料</w:t>
      </w:r>
    </w:p>
    <w:p w14:paraId="215EF4EA"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shd w:val="clear" w:color="auto" w:fill="FFFFFF"/>
        </w:rPr>
      </w:pPr>
      <w:r>
        <w:rPr>
          <w:rFonts w:ascii="仿宋_GB2312" w:eastAsia="仿宋_GB2312" w:hAnsi="仿宋_GB2312" w:cs="仿宋_GB2312" w:hint="eastAsia"/>
          <w:color w:val="000000" w:themeColor="text1"/>
          <w:sz w:val="28"/>
          <w:szCs w:val="28"/>
          <w:shd w:val="clear" w:color="auto" w:fill="FFFFFF"/>
        </w:rPr>
        <w:t>什邡市属于亚热带湿润气候区。特点为夏雨冬阴，云雾多，日照少，年温差不太大的暖温环境。由于纬度条件和海洋季风的影响，年平均气温在十三至十七摄氏度之间。平坝区为盆西气候带类型，其北部受山地亚热带常绿森林气候的影响，东西南三面与邻县大气互为回流。气候温和，雨量充沛，日照偏少，四季分明。</w:t>
      </w:r>
    </w:p>
    <w:p w14:paraId="52E67B97"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b/>
          <w:bCs/>
          <w:color w:val="000000" w:themeColor="text1"/>
          <w:kern w:val="0"/>
          <w:sz w:val="28"/>
          <w:szCs w:val="28"/>
        </w:rPr>
        <w:t>3.项目安装点烟气工况</w:t>
      </w:r>
    </w:p>
    <w:p w14:paraId="6F202DBD" w14:textId="77777777" w:rsidR="00C41D13" w:rsidRDefault="003053A8">
      <w:pPr>
        <w:widowControl/>
        <w:jc w:val="center"/>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noProof/>
          <w:color w:val="000000" w:themeColor="text1"/>
          <w:sz w:val="28"/>
          <w:szCs w:val="28"/>
        </w:rPr>
        <w:drawing>
          <wp:inline distT="0" distB="0" distL="114300" distR="114300" wp14:anchorId="68E5AF87" wp14:editId="4E8BC028">
            <wp:extent cx="5270500" cy="2072005"/>
            <wp:effectExtent l="0" t="0" r="254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70500" cy="2072005"/>
                    </a:xfrm>
                    <a:prstGeom prst="rect">
                      <a:avLst/>
                    </a:prstGeom>
                    <a:noFill/>
                    <a:ln>
                      <a:noFill/>
                    </a:ln>
                  </pic:spPr>
                </pic:pic>
              </a:graphicData>
            </a:graphic>
          </wp:inline>
        </w:drawing>
      </w:r>
    </w:p>
    <w:p w14:paraId="40879C5A" w14:textId="77777777" w:rsidR="00C41D13" w:rsidRDefault="003053A8">
      <w:pPr>
        <w:widowControl/>
        <w:jc w:val="left"/>
        <w:rPr>
          <w:rFonts w:ascii="仿宋_GB2312" w:eastAsia="仿宋_GB2312" w:hAnsi="仿宋_GB2312" w:cs="仿宋_GB2312" w:hint="eastAsia"/>
          <w:b/>
          <w:bCs/>
          <w:color w:val="000000" w:themeColor="text1"/>
          <w:sz w:val="28"/>
          <w:szCs w:val="28"/>
        </w:rPr>
      </w:pPr>
      <w:r>
        <w:rPr>
          <w:rFonts w:ascii="仿宋_GB2312" w:eastAsia="仿宋_GB2312" w:hAnsi="仿宋_GB2312" w:cs="仿宋_GB2312" w:hint="eastAsia"/>
          <w:b/>
          <w:bCs/>
          <w:color w:val="000000" w:themeColor="text1"/>
          <w:sz w:val="28"/>
          <w:szCs w:val="28"/>
        </w:rPr>
        <w:t>4.说明</w:t>
      </w:r>
    </w:p>
    <w:p w14:paraId="2D8609BB" w14:textId="77777777" w:rsidR="00C41D13" w:rsidRDefault="003053A8">
      <w:pPr>
        <w:widowControl/>
        <w:ind w:firstLineChars="200" w:firstLine="560"/>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t>4.1本技术规格书适用于我公司30万吨硫磺制酸装置废热锅炉出口烟气SO2在线分析系统的功能设计、结构、性能、安装和试验等有关方面的技术要求。硫磺制酸装置废热锅炉出口烟气SO2在线</w:t>
      </w:r>
      <w:r>
        <w:rPr>
          <w:rFonts w:ascii="仿宋_GB2312" w:eastAsia="仿宋_GB2312" w:hAnsi="仿宋_GB2312" w:cs="仿宋_GB2312" w:hint="eastAsia"/>
          <w:color w:val="000000" w:themeColor="text1"/>
          <w:kern w:val="0"/>
          <w:sz w:val="28"/>
          <w:szCs w:val="28"/>
        </w:rPr>
        <w:lastRenderedPageBreak/>
        <w:t>分析系统由投标方提供如下服务：系统设计、设备制造与供货、运输、指导安装,调试，使用、操作、标定培训。</w:t>
      </w:r>
    </w:p>
    <w:p w14:paraId="0A300708"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4.2本技术规格书提出的是最低限度的技术要求,乙方需提供符合本规范书和有关工业标准要求的优质产品。乙方所提供的分析仪系统，包括设计、制作和安装施工以及有关技术文件和图纸，遵循下述标准和规范：</w:t>
      </w:r>
    </w:p>
    <w:p w14:paraId="6F8A64F1"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《包装储运图示标志》（GB/T 191-2008）</w:t>
      </w:r>
    </w:p>
    <w:p w14:paraId="2B4F63BE"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《测量、控制和实验室用电气设备的安全要求 第 1 部分：通用要求》（GB 4793.1-2007）</w:t>
      </w:r>
    </w:p>
    <w:p w14:paraId="1FB242F9"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《激光产品的安全 第 1 部分：设备分类、要求和用户指南》（GB 7247.1-2001）</w:t>
      </w:r>
    </w:p>
    <w:p w14:paraId="14C000DC"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《分析仪器环境试验方法》（GB/T 11606-2007）</w:t>
      </w:r>
    </w:p>
    <w:p w14:paraId="24EDA674"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《机电产品包装通用技术条件》（GB/T 13384-2008）</w:t>
      </w:r>
    </w:p>
    <w:p w14:paraId="4C178243" w14:textId="77777777" w:rsidR="00C41D13" w:rsidRDefault="003053A8">
      <w:pPr>
        <w:ind w:firstLineChars="200" w:firstLine="560"/>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sz w:val="28"/>
          <w:szCs w:val="28"/>
        </w:rPr>
        <w:t>《测量、控制和实验室用的电设备电磁兼容性要求》（GB/T18268-2000）</w:t>
      </w:r>
    </w:p>
    <w:p w14:paraId="3CED212D"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《气体分析器性能表示 第 1 部分：总则》（GB/T 18403.1-2001）</w:t>
      </w:r>
    </w:p>
    <w:p w14:paraId="701E9735"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《可调谐激光气体分析仪》（GB/T 25476-2010）</w:t>
      </w:r>
    </w:p>
    <w:p w14:paraId="609BC09E"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《自动化仪表工程施工及验收规范》（GB 50093-2002）</w:t>
      </w:r>
    </w:p>
    <w:p w14:paraId="52394AAF"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《在线分析仪系统的设计和安装》（EEMUA No.138）</w:t>
      </w:r>
    </w:p>
    <w:p w14:paraId="7AF2FAE1"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《工艺配管》（ASME/ANSI B31.3）</w:t>
      </w:r>
    </w:p>
    <w:p w14:paraId="568F8BBD"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《自动化仪表选型设计规定》（HG/T 20507-2000）</w:t>
      </w:r>
    </w:p>
    <w:p w14:paraId="5BF0B131" w14:textId="77777777" w:rsidR="00C41D13" w:rsidRDefault="003053A8">
      <w:pPr>
        <w:widowControl/>
        <w:ind w:firstLineChars="200" w:firstLine="560"/>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lastRenderedPageBreak/>
        <w:t>《仪表配管配线设计规定》（HG/T 20512-2000）</w:t>
      </w:r>
    </w:p>
    <w:p w14:paraId="3BCA9558" w14:textId="77777777" w:rsidR="00C41D13" w:rsidRDefault="003053A8">
      <w:pPr>
        <w:widowControl/>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b/>
          <w:bCs/>
          <w:color w:val="000000" w:themeColor="text1"/>
          <w:kern w:val="0"/>
          <w:sz w:val="28"/>
          <w:szCs w:val="28"/>
        </w:rPr>
        <w:t>注意：</w:t>
      </w:r>
      <w:r>
        <w:rPr>
          <w:rFonts w:ascii="仿宋_GB2312" w:eastAsia="仿宋_GB2312" w:hAnsi="仿宋_GB2312" w:cs="仿宋_GB2312" w:hint="eastAsia"/>
          <w:color w:val="000000" w:themeColor="text1"/>
          <w:kern w:val="0"/>
          <w:sz w:val="28"/>
          <w:szCs w:val="28"/>
        </w:rPr>
        <w:t>乙方提供的分析系统应满足但不限于规格书所列标准。</w:t>
      </w:r>
    </w:p>
    <w:p w14:paraId="65D02410"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4.3所有文件、图纸、计算、说明、使用手册等，使用中华人民共和国法定计量单位。</w:t>
      </w:r>
    </w:p>
    <w:p w14:paraId="7D046482"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b/>
          <w:bCs/>
          <w:color w:val="000000" w:themeColor="text1"/>
          <w:kern w:val="0"/>
          <w:sz w:val="28"/>
          <w:szCs w:val="28"/>
        </w:rPr>
        <w:t>5.设计要求和设备规范</w:t>
      </w:r>
    </w:p>
    <w:p w14:paraId="2C90C23E"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b/>
          <w:bCs/>
          <w:color w:val="000000" w:themeColor="text1"/>
          <w:kern w:val="0"/>
          <w:sz w:val="28"/>
          <w:szCs w:val="28"/>
        </w:rPr>
        <w:t>5.1设计要求</w:t>
      </w:r>
    </w:p>
    <w:p w14:paraId="48789778" w14:textId="77777777" w:rsidR="00C41D13" w:rsidRDefault="003053A8">
      <w:pPr>
        <w:widowControl/>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t>设备名称：烟气SO2在线分析系统</w:t>
      </w:r>
    </w:p>
    <w:p w14:paraId="5557B35B" w14:textId="77777777" w:rsidR="001847E4" w:rsidRPr="001847E4" w:rsidRDefault="001847E4">
      <w:pPr>
        <w:widowControl/>
        <w:jc w:val="left"/>
        <w:rPr>
          <w:rFonts w:ascii="仿宋_GB2312" w:eastAsia="仿宋_GB2312" w:hAnsi="仿宋_GB2312" w:cs="仿宋_GB2312" w:hint="eastAsia"/>
          <w:color w:val="FF0000"/>
          <w:sz w:val="28"/>
          <w:szCs w:val="28"/>
        </w:rPr>
      </w:pPr>
      <w:r w:rsidRPr="001847E4">
        <w:rPr>
          <w:rFonts w:ascii="仿宋_GB2312" w:eastAsia="仿宋_GB2312" w:hAnsi="仿宋_GB2312" w:cs="仿宋_GB2312" w:hint="eastAsia"/>
          <w:color w:val="FF0000"/>
          <w:kern w:val="0"/>
          <w:sz w:val="28"/>
          <w:szCs w:val="28"/>
        </w:rPr>
        <w:t>介质：烟气（几乎无</w:t>
      </w:r>
      <w:r>
        <w:rPr>
          <w:rFonts w:ascii="仿宋_GB2312" w:eastAsia="仿宋_GB2312" w:hAnsi="仿宋_GB2312" w:cs="仿宋_GB2312" w:hint="eastAsia"/>
          <w:color w:val="FF0000"/>
          <w:kern w:val="0"/>
          <w:sz w:val="28"/>
          <w:szCs w:val="28"/>
        </w:rPr>
        <w:t>水份</w:t>
      </w:r>
      <w:r w:rsidRPr="001847E4">
        <w:rPr>
          <w:rFonts w:ascii="仿宋_GB2312" w:eastAsia="仿宋_GB2312" w:hAnsi="仿宋_GB2312" w:cs="仿宋_GB2312" w:hint="eastAsia"/>
          <w:color w:val="FF0000"/>
          <w:kern w:val="0"/>
          <w:sz w:val="28"/>
          <w:szCs w:val="28"/>
        </w:rPr>
        <w:t>）</w:t>
      </w:r>
    </w:p>
    <w:p w14:paraId="20887EF4"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采样型式：直接采样式(乙方提供采样气详细方案，采样管建议采用涂层，避免SO2吸附管道，影响测量结果)</w:t>
      </w:r>
    </w:p>
    <w:p w14:paraId="2F7B28C3"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安装位置：废热锅炉出口（管道材质：碳钢，直径：φ2000mm,现场有预留DN80桩头（可改）），现场安装。</w:t>
      </w:r>
    </w:p>
    <w:p w14:paraId="22D79DAE"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安装台数：1套</w:t>
      </w:r>
    </w:p>
    <w:p w14:paraId="44C8D1B6" w14:textId="77777777" w:rsidR="00C41D13" w:rsidRDefault="003053A8">
      <w:pPr>
        <w:widowControl/>
        <w:jc w:val="left"/>
        <w:rPr>
          <w:rFonts w:ascii="仿宋_GB2312" w:eastAsia="仿宋_GB2312" w:hAnsi="仿宋_GB2312" w:cs="仿宋_GB2312" w:hint="eastAsia"/>
          <w:color w:val="000000" w:themeColor="text1"/>
          <w:kern w:val="0"/>
          <w:sz w:val="24"/>
        </w:rPr>
      </w:pPr>
      <w:r>
        <w:rPr>
          <w:rFonts w:ascii="仿宋_GB2312" w:eastAsia="仿宋_GB2312" w:hAnsi="仿宋_GB2312" w:cs="仿宋_GB2312" w:hint="eastAsia"/>
          <w:b/>
          <w:bCs/>
          <w:color w:val="000000" w:themeColor="text1"/>
          <w:kern w:val="0"/>
          <w:sz w:val="28"/>
          <w:szCs w:val="28"/>
        </w:rPr>
        <w:t>5.2分析参数（组份）：</w:t>
      </w:r>
      <w:r>
        <w:rPr>
          <w:rFonts w:ascii="仿宋_GB2312" w:eastAsia="仿宋_GB2312" w:hAnsi="仿宋_GB2312" w:cs="仿宋_GB2312" w:hint="eastAsia"/>
          <w:color w:val="000000" w:themeColor="text1"/>
          <w:kern w:val="0"/>
          <w:sz w:val="28"/>
          <w:szCs w:val="28"/>
        </w:rPr>
        <w:t>工况SO2浓度</w:t>
      </w:r>
    </w:p>
    <w:p w14:paraId="6722011E"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b/>
          <w:bCs/>
          <w:color w:val="000000" w:themeColor="text1"/>
          <w:kern w:val="0"/>
          <w:sz w:val="28"/>
          <w:szCs w:val="28"/>
        </w:rPr>
        <w:t>5.3测量范围：</w:t>
      </w:r>
      <w:r>
        <w:rPr>
          <w:rFonts w:ascii="仿宋_GB2312" w:eastAsia="仿宋_GB2312" w:hAnsi="仿宋_GB2312" w:cs="仿宋_GB2312" w:hint="eastAsia"/>
          <w:color w:val="000000" w:themeColor="text1"/>
          <w:kern w:val="0"/>
          <w:sz w:val="28"/>
          <w:szCs w:val="28"/>
        </w:rPr>
        <w:t>二氧化硫（0~15）%，(分辨率0.01%)</w:t>
      </w:r>
    </w:p>
    <w:p w14:paraId="1E91B91D" w14:textId="77777777" w:rsidR="00C41D13" w:rsidRDefault="003053A8">
      <w:pPr>
        <w:widowControl/>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b/>
          <w:bCs/>
          <w:color w:val="000000" w:themeColor="text1"/>
          <w:kern w:val="0"/>
          <w:sz w:val="28"/>
          <w:szCs w:val="28"/>
        </w:rPr>
        <w:t>5.4输出信号为</w:t>
      </w:r>
      <w:r>
        <w:rPr>
          <w:rFonts w:ascii="仿宋_GB2312" w:eastAsia="仿宋_GB2312" w:hAnsi="仿宋_GB2312" w:cs="仿宋_GB2312" w:hint="eastAsia"/>
          <w:color w:val="000000" w:themeColor="text1"/>
          <w:kern w:val="0"/>
          <w:sz w:val="28"/>
          <w:szCs w:val="28"/>
        </w:rPr>
        <w:t>：1路（4~20）mA；1路报警输出（详见下文）</w:t>
      </w:r>
    </w:p>
    <w:p w14:paraId="57773F83" w14:textId="77777777" w:rsidR="00C41D13" w:rsidRDefault="003053A8">
      <w:pPr>
        <w:widowControl/>
        <w:jc w:val="left"/>
        <w:rPr>
          <w:rFonts w:ascii="仿宋_GB2312" w:eastAsia="仿宋_GB2312" w:hAnsi="仿宋_GB2312" w:cs="仿宋_GB2312" w:hint="eastAsia"/>
          <w:b/>
          <w:bCs/>
          <w:color w:val="000000" w:themeColor="text1"/>
          <w:sz w:val="28"/>
          <w:szCs w:val="28"/>
        </w:rPr>
      </w:pPr>
      <w:r>
        <w:rPr>
          <w:rFonts w:ascii="仿宋_GB2312" w:eastAsia="仿宋_GB2312" w:hAnsi="仿宋_GB2312" w:cs="仿宋_GB2312" w:hint="eastAsia"/>
          <w:b/>
          <w:bCs/>
          <w:color w:val="000000" w:themeColor="text1"/>
          <w:kern w:val="0"/>
          <w:sz w:val="28"/>
          <w:szCs w:val="28"/>
        </w:rPr>
        <w:t>5.5烟气SO2在线分析系统需求的性能</w:t>
      </w:r>
    </w:p>
    <w:p w14:paraId="14CC645A"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烟气温度限制(最低—最高)(℃):（0-600）℃</w:t>
      </w:r>
    </w:p>
    <w:p w14:paraId="0032896C"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设备对振动的要求：适应轻微振动</w:t>
      </w:r>
    </w:p>
    <w:p w14:paraId="2DCE949B"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甲方提供压缩空气：干燥、洁净、无油的仪表空气</w:t>
      </w:r>
    </w:p>
    <w:p w14:paraId="6927C3C4"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采样流量(L/min)：≤1.0 L/min</w:t>
      </w:r>
    </w:p>
    <w:p w14:paraId="358E2D0A"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流量误差(L/min)：≤0.02 L/min</w:t>
      </w:r>
    </w:p>
    <w:p w14:paraId="2A62B59F"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b/>
          <w:bCs/>
          <w:color w:val="000000" w:themeColor="text1"/>
          <w:kern w:val="0"/>
          <w:sz w:val="28"/>
          <w:szCs w:val="28"/>
        </w:rPr>
        <w:lastRenderedPageBreak/>
        <w:t>5.6 SO2分析仪</w:t>
      </w:r>
    </w:p>
    <w:p w14:paraId="27DE5833"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量程(%)：（0~15）%</w:t>
      </w:r>
    </w:p>
    <w:p w14:paraId="17EA624A" w14:textId="77777777" w:rsidR="00C41D13" w:rsidRDefault="003053A8">
      <w:pPr>
        <w:widowControl/>
        <w:ind w:firstLineChars="200" w:firstLine="560"/>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t>精确度(%)：≤±1%F.S./半年</w:t>
      </w:r>
    </w:p>
    <w:p w14:paraId="15C9687C" w14:textId="77777777" w:rsidR="00C41D13" w:rsidRDefault="003053A8">
      <w:pPr>
        <w:widowControl/>
        <w:ind w:firstLineChars="200" w:firstLine="560"/>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t>零点漂移：≤±1%F.S./半年</w:t>
      </w:r>
    </w:p>
    <w:p w14:paraId="6ABA07FA" w14:textId="77777777" w:rsidR="00C41D13" w:rsidRDefault="003053A8">
      <w:pPr>
        <w:widowControl/>
        <w:ind w:firstLineChars="200" w:firstLine="560"/>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t>误差(%)：≤±1%F.S./半年</w:t>
      </w:r>
    </w:p>
    <w:p w14:paraId="7DD10517" w14:textId="77777777" w:rsidR="00C41D13" w:rsidRDefault="003053A8">
      <w:pPr>
        <w:widowControl/>
        <w:ind w:firstLineChars="200" w:firstLine="560"/>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t>重复性：≤1%</w:t>
      </w:r>
    </w:p>
    <w:p w14:paraId="56BD4C8C" w14:textId="77777777" w:rsidR="00C41D13" w:rsidRDefault="003053A8">
      <w:pPr>
        <w:widowControl/>
        <w:ind w:firstLineChars="200" w:firstLine="560"/>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t>防爆要求：非防爆型</w:t>
      </w:r>
    </w:p>
    <w:p w14:paraId="372E872E"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分析原理：紫/红外差分法</w:t>
      </w:r>
    </w:p>
    <w:p w14:paraId="0F04ADE8" w14:textId="77777777" w:rsidR="00C41D13" w:rsidRDefault="003053A8">
      <w:pPr>
        <w:widowControl/>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t>适用温度限制(最低/最高)温度(℃)：（0/46）℃</w:t>
      </w:r>
    </w:p>
    <w:p w14:paraId="4190479E"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用电量(kVA)：≤1.0KVA</w:t>
      </w:r>
    </w:p>
    <w:p w14:paraId="571843ED"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仪用空气要求：0.4-0.7MPa</w:t>
      </w:r>
    </w:p>
    <w:p w14:paraId="58F2B888"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警报输出：至少1路继电器输出（干接点），AC/DC，220、24V/1A</w:t>
      </w:r>
    </w:p>
    <w:p w14:paraId="729E26A6"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输出信号：（4-20）mA、隔离，最大允许负载 750Ω</w:t>
      </w:r>
    </w:p>
    <w:p w14:paraId="383DA810"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b/>
          <w:bCs/>
          <w:color w:val="000000" w:themeColor="text1"/>
          <w:kern w:val="0"/>
          <w:sz w:val="28"/>
          <w:szCs w:val="28"/>
        </w:rPr>
        <w:t>5.7安装要求</w:t>
      </w:r>
    </w:p>
    <w:p w14:paraId="30654E19"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1.乙方负责全套设备的指导安装。</w:t>
      </w:r>
    </w:p>
    <w:p w14:paraId="3971D838"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2.烟气SO2在线分析系统的设备及安装附件全部由乙方提供。</w:t>
      </w:r>
    </w:p>
    <w:p w14:paraId="5F80AC97"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b/>
          <w:bCs/>
          <w:color w:val="000000" w:themeColor="text1"/>
          <w:kern w:val="0"/>
          <w:sz w:val="28"/>
          <w:szCs w:val="28"/>
        </w:rPr>
        <w:t>5.8外观要求</w:t>
      </w:r>
    </w:p>
    <w:p w14:paraId="666A0B4C"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1.铭牌上应标有仪器名称、型号、生产单位、出厂编号、制造日期。</w:t>
      </w:r>
    </w:p>
    <w:p w14:paraId="0D4058C6"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2.仪器各部零件应连接可靠，表面无明显缺陷，各操作键使用灵活，定位准确。</w:t>
      </w:r>
    </w:p>
    <w:p w14:paraId="789A6890"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lastRenderedPageBreak/>
        <w:t>3.仪器各显示部分的刻度、数字清晰，涂色牢固，不应有影响读数的缺陷。仪器外壳或外罩应耐腐蚀、密封性能良好、防尘、防雨。</w:t>
      </w:r>
    </w:p>
    <w:p w14:paraId="56AA44D6"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b/>
          <w:bCs/>
          <w:color w:val="000000" w:themeColor="text1"/>
          <w:kern w:val="0"/>
          <w:sz w:val="28"/>
          <w:szCs w:val="28"/>
        </w:rPr>
        <w:t>5.9安全要求</w:t>
      </w:r>
    </w:p>
    <w:p w14:paraId="5D1FAE91"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1.在环境（0~45）℃，相对湿度≤85%条件下，仪器电源引入线与机壳之间的绝缘电阻应不小于 20MΩ。</w:t>
      </w:r>
    </w:p>
    <w:p w14:paraId="2378CEF0"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2.仪器应设有漏电保护装置，防止人身触电。</w:t>
      </w:r>
    </w:p>
    <w:p w14:paraId="6CA793FE"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3.仪器应有良好的接地措施，防止雷击对仪器造成损坏。</w:t>
      </w:r>
    </w:p>
    <w:p w14:paraId="73E56A10"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b/>
          <w:bCs/>
          <w:color w:val="000000" w:themeColor="text1"/>
          <w:kern w:val="0"/>
          <w:sz w:val="28"/>
          <w:szCs w:val="28"/>
        </w:rPr>
        <w:t>5.10校准</w:t>
      </w:r>
    </w:p>
    <w:p w14:paraId="4322CC24"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仪器应能用手动和/或自动方法进行零点漂移和量程漂移校准。</w:t>
      </w:r>
    </w:p>
    <w:p w14:paraId="28FE6350"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b/>
          <w:bCs/>
          <w:color w:val="000000" w:themeColor="text1"/>
          <w:kern w:val="0"/>
          <w:sz w:val="28"/>
          <w:szCs w:val="28"/>
        </w:rPr>
        <w:t>5.10净化</w:t>
      </w:r>
    </w:p>
    <w:p w14:paraId="4234AC8F"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仪器应具有防止SO3污染光学镜头和预处的净化系统；净化系统能克服烟气压力、酸雾、SO3波动，保持光学镜头和系统的清洁。酸雾净化后小于0.1mg/Nm3。</w:t>
      </w:r>
    </w:p>
    <w:p w14:paraId="79CCC223" w14:textId="77777777" w:rsidR="00C41D13" w:rsidRDefault="003053A8">
      <w:pPr>
        <w:widowControl/>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b/>
          <w:bCs/>
          <w:color w:val="000000" w:themeColor="text1"/>
          <w:kern w:val="0"/>
          <w:sz w:val="28"/>
          <w:szCs w:val="28"/>
        </w:rPr>
        <w:t>5.11系统配置要求</w:t>
      </w:r>
    </w:p>
    <w:p w14:paraId="3F40B0E6"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1.本系统所采用仪表设备必须具有行业先进技术水平。</w:t>
      </w:r>
    </w:p>
    <w:p w14:paraId="2FCF4EE2"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2.仪表传输信号应为国际通用标准信号（4~20）mA。留有与 DCS 通讯接口（RS485）。</w:t>
      </w:r>
    </w:p>
    <w:p w14:paraId="3F11FA16"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3.仪器能够自动进行补偿，能及时、自动校正零点漂移，仪器本身能够进行故障自诊断。这些诊断功能包括超出量程情况、以及状态报警等功能。</w:t>
      </w:r>
    </w:p>
    <w:p w14:paraId="2FB3EA7F"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4.仪器的灵敏度应能反应出被测量组分的极细微小的变化，并能迅速反应到信号上。</w:t>
      </w:r>
    </w:p>
    <w:p w14:paraId="2437CF13"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lastRenderedPageBreak/>
        <w:t>5.取样预处理系统应采取必要的处理措施，保证处理后的样品气使仪器在最佳的状态下连续稳定的可靠运行。</w:t>
      </w:r>
    </w:p>
    <w:p w14:paraId="0C0FC394"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6.采样方法：具有反吹功能，采样管、过滤器、接头材质：316L采样流量：≤1.0升／分钟</w:t>
      </w:r>
    </w:p>
    <w:p w14:paraId="53CEB6AB"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7.分析仪器的结构配置应安全可靠、技术先进、结构合理，便于现场维护、检修，并保证仪器连续稳定的生产运行。</w:t>
      </w:r>
    </w:p>
    <w:p w14:paraId="3C4296E9" w14:textId="77777777" w:rsidR="00C41D13" w:rsidRDefault="003053A8">
      <w:pPr>
        <w:widowControl/>
        <w:ind w:firstLineChars="200" w:firstLine="560"/>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t>8.校正系统具备日常自动校验功能以及用于维护的手动检验功能；零、满量程及自动和手动校正功能。</w:t>
      </w:r>
    </w:p>
    <w:p w14:paraId="61A44BD9" w14:textId="77777777" w:rsidR="00C41D13" w:rsidRDefault="003053A8">
      <w:pPr>
        <w:widowControl/>
        <w:ind w:firstLineChars="200" w:firstLine="560"/>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t>9.烟气SO2在线分析的关键部件（光谱仪接收装置和光源）</w:t>
      </w:r>
      <w:r w:rsidRPr="001847E4">
        <w:rPr>
          <w:rFonts w:ascii="仿宋_GB2312" w:eastAsia="仿宋_GB2312" w:hAnsi="仿宋_GB2312" w:cs="仿宋_GB2312" w:hint="eastAsia"/>
          <w:color w:val="FF0000"/>
          <w:kern w:val="0"/>
          <w:sz w:val="28"/>
          <w:szCs w:val="28"/>
        </w:rPr>
        <w:t>建议</w:t>
      </w:r>
      <w:r>
        <w:rPr>
          <w:rFonts w:ascii="仿宋_GB2312" w:eastAsia="仿宋_GB2312" w:hAnsi="仿宋_GB2312" w:cs="仿宋_GB2312" w:hint="eastAsia"/>
          <w:color w:val="000000" w:themeColor="text1"/>
          <w:kern w:val="0"/>
          <w:sz w:val="28"/>
          <w:szCs w:val="28"/>
        </w:rPr>
        <w:t>采用技术先进、长期稳定运行的原装进口产品。预处理系统应考虑针对硫磺制酸装置研发的高效去除酸雾和SO3系统</w:t>
      </w:r>
    </w:p>
    <w:p w14:paraId="76FEB08D" w14:textId="77777777" w:rsidR="00C41D13" w:rsidRDefault="003053A8">
      <w:pPr>
        <w:widowControl/>
        <w:ind w:firstLineChars="200" w:firstLine="560"/>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t>10.运行性能，烟气SO2在线分析系统满足在至少 90 天运行中不需要日常维修。</w:t>
      </w:r>
    </w:p>
    <w:p w14:paraId="23C80091"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11.分析仪器的自诊断，系统中分析仪器应具有自诊断功能。自诊断功能至少将包括检测探头的失效、超出量程情况、以及没有足够的采样流量能力的情况。</w:t>
      </w:r>
    </w:p>
    <w:p w14:paraId="4ACA9184" w14:textId="77777777" w:rsidR="00C41D13" w:rsidRDefault="003053A8">
      <w:pPr>
        <w:widowControl/>
        <w:ind w:firstLineChars="200" w:firstLine="560"/>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t>12.分析烟气收集，烟气SO2在线分析系统所取样的所有烟气回取样部位</w:t>
      </w:r>
      <w:r w:rsidR="001F35CF" w:rsidRPr="001F35CF">
        <w:rPr>
          <w:rFonts w:ascii="仿宋_GB2312" w:eastAsia="仿宋_GB2312" w:hAnsi="仿宋_GB2312" w:cs="仿宋_GB2312" w:hint="eastAsia"/>
          <w:color w:val="FF0000"/>
          <w:kern w:val="0"/>
          <w:sz w:val="28"/>
          <w:szCs w:val="28"/>
        </w:rPr>
        <w:t>（正压60KPa）</w:t>
      </w:r>
      <w:r>
        <w:rPr>
          <w:rFonts w:ascii="仿宋_GB2312" w:eastAsia="仿宋_GB2312" w:hAnsi="仿宋_GB2312" w:cs="仿宋_GB2312" w:hint="eastAsia"/>
          <w:color w:val="000000" w:themeColor="text1"/>
          <w:kern w:val="0"/>
          <w:sz w:val="28"/>
          <w:szCs w:val="28"/>
        </w:rPr>
        <w:t>，禁止向往环境中排放。</w:t>
      </w:r>
    </w:p>
    <w:p w14:paraId="583D62CC"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13.使用的材料，凡是与烟气或校正气接触的探头等部件应满足在硫酸装置运行工况的烟气成分、温度条件下能连续可靠地运行的要求,一般由以下材料构成:聚四氟乙烯、能承受420℃温度的不锈钢、</w:t>
      </w:r>
      <w:r>
        <w:rPr>
          <w:rFonts w:ascii="仿宋_GB2312" w:eastAsia="仿宋_GB2312" w:hAnsi="仿宋_GB2312" w:cs="仿宋_GB2312" w:hint="eastAsia"/>
          <w:color w:val="000000" w:themeColor="text1"/>
          <w:kern w:val="0"/>
          <w:sz w:val="28"/>
          <w:szCs w:val="28"/>
        </w:rPr>
        <w:lastRenderedPageBreak/>
        <w:t>耐腐蚀、耐高温镍基合金(Hasteloy C-276)或其他耐腐蚀合金。卖方提供的预处系统材料必须耐硫酸腐蚀。</w:t>
      </w:r>
    </w:p>
    <w:p w14:paraId="460410E3"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14.采样管线，采样管线的长度为从分析仪器至采样点（约6~10米）。采样管线应设计为克服硫酸制酸烟气环境，结晶等。</w:t>
      </w:r>
    </w:p>
    <w:p w14:paraId="2508BA12"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15.干扰，烟气SO2在线分析仪系统提供的分析仪器应没有明显的干扰,即在测量单个烟气或多种烟气混合成分时浓度值结果差异没有一位数以上的数值。当浓度值大于满量程的0.2%或测量标定值时,分析仪器对此应有反应。</w:t>
      </w:r>
    </w:p>
    <w:p w14:paraId="5AD703B4" w14:textId="77777777" w:rsidR="00C41D13" w:rsidRDefault="003053A8">
      <w:pPr>
        <w:widowControl/>
        <w:ind w:firstLineChars="200" w:firstLine="560"/>
        <w:jc w:val="left"/>
        <w:rPr>
          <w:rFonts w:ascii="仿宋_GB2312" w:eastAsia="仿宋_GB2312" w:hAnsi="仿宋_GB2312" w:cs="仿宋_GB2312" w:hint="eastAsia"/>
          <w:b/>
          <w:bCs/>
          <w:color w:val="000000" w:themeColor="text1"/>
          <w:kern w:val="0"/>
          <w:sz w:val="28"/>
          <w:szCs w:val="28"/>
        </w:rPr>
      </w:pPr>
      <w:r>
        <w:rPr>
          <w:rFonts w:ascii="仿宋_GB2312" w:eastAsia="仿宋_GB2312" w:hAnsi="仿宋_GB2312" w:cs="仿宋_GB2312" w:hint="eastAsia"/>
          <w:color w:val="000000" w:themeColor="text1"/>
          <w:kern w:val="0"/>
          <w:sz w:val="28"/>
          <w:szCs w:val="28"/>
        </w:rPr>
        <w:t>16.系统设计成，在预处理系统失效时自动报警。报警在操作盘（柜）上通过蜂鸣器实现，同时继电器输出（干接点），AC/DC，220、24V/1A。</w:t>
      </w:r>
    </w:p>
    <w:p w14:paraId="05B5EEF4" w14:textId="77777777" w:rsidR="00C41D13" w:rsidRDefault="003053A8">
      <w:pPr>
        <w:widowControl/>
        <w:jc w:val="left"/>
        <w:rPr>
          <w:rFonts w:ascii="仿宋_GB2312" w:eastAsia="仿宋_GB2312" w:hAnsi="仿宋_GB2312" w:cs="仿宋_GB2312" w:hint="eastAsia"/>
          <w:b/>
          <w:bCs/>
          <w:color w:val="000000" w:themeColor="text1"/>
          <w:sz w:val="28"/>
          <w:szCs w:val="28"/>
        </w:rPr>
      </w:pPr>
      <w:r>
        <w:rPr>
          <w:rFonts w:ascii="仿宋_GB2312" w:eastAsia="仿宋_GB2312" w:hAnsi="仿宋_GB2312" w:cs="仿宋_GB2312" w:hint="eastAsia"/>
          <w:b/>
          <w:bCs/>
          <w:color w:val="000000" w:themeColor="text1"/>
          <w:kern w:val="0"/>
          <w:sz w:val="28"/>
          <w:szCs w:val="28"/>
        </w:rPr>
        <w:t>6.设备安装与调试</w:t>
      </w:r>
    </w:p>
    <w:p w14:paraId="2F9CC2F6"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1.在设备安装调试期间，派合格的安装人员到现场进行指导安装。</w:t>
      </w:r>
    </w:p>
    <w:p w14:paraId="2BF01350" w14:textId="77777777" w:rsidR="00C41D13" w:rsidRDefault="003053A8">
      <w:pPr>
        <w:widowControl/>
        <w:ind w:firstLineChars="200" w:firstLine="560"/>
        <w:jc w:val="left"/>
        <w:rPr>
          <w:rFonts w:ascii="仿宋_GB2312" w:eastAsia="仿宋_GB2312" w:hAnsi="仿宋_GB2312" w:cs="仿宋_GB2312" w:hint="eastAsia"/>
          <w:color w:val="000000" w:themeColor="text1"/>
          <w:kern w:val="0"/>
          <w:sz w:val="28"/>
          <w:szCs w:val="28"/>
        </w:rPr>
      </w:pPr>
      <w:r>
        <w:rPr>
          <w:rFonts w:ascii="仿宋_GB2312" w:eastAsia="仿宋_GB2312" w:hAnsi="仿宋_GB2312" w:cs="仿宋_GB2312" w:hint="eastAsia"/>
          <w:color w:val="000000" w:themeColor="text1"/>
          <w:kern w:val="0"/>
          <w:sz w:val="28"/>
          <w:szCs w:val="28"/>
        </w:rPr>
        <w:t>2.设备安装前卖方需向买方进行技术交底。安装过程中，应当完全接受买方协调。向买方提供安装所需的所有图纸(电气图纸保证完整、有效、正确，原理图以展开图的形式绘出)、标准、专用工具、要求及注意事项，供卖方认可。</w:t>
      </w:r>
    </w:p>
    <w:p w14:paraId="3421A387"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3.乙方提供1套烟气SO2在线分析仪系统应在所有方面都是完整的，并能满足本规格书提到的设计要求、技术要求和质量保证要求。</w:t>
      </w:r>
    </w:p>
    <w:p w14:paraId="098B461E"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4.提供所有采样分析仪器，及其环境控制条件。另外，应为所有安装在外且暴露在外的仪器提供保护罩。</w:t>
      </w:r>
    </w:p>
    <w:p w14:paraId="3F0D98BB"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5.提供分析仪表柜，装配包括所有的分析仪表和电气设备。</w:t>
      </w:r>
    </w:p>
    <w:p w14:paraId="07A921BE"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lastRenderedPageBreak/>
        <w:t>6.提供完整的维修手册，它包括所有的日常和非正常维修、故障排除和有关步骤。</w:t>
      </w:r>
    </w:p>
    <w:p w14:paraId="7E802766"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7.提供分析仪表柜详细的安装图、内部布置图、内部接线图。</w:t>
      </w:r>
    </w:p>
    <w:p w14:paraId="157468CC"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8.提供电气单元和主接线图、接地、避雷、用电等要求；用于信号测量系统的控制接线图、电路和供电的设计；设备重量等有关资料。</w:t>
      </w:r>
    </w:p>
    <w:p w14:paraId="2DE50D96" w14:textId="77777777" w:rsidR="00C41D13" w:rsidRDefault="003053A8">
      <w:pPr>
        <w:widowControl/>
        <w:ind w:firstLineChars="200" w:firstLine="560"/>
        <w:jc w:val="left"/>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kern w:val="0"/>
          <w:sz w:val="28"/>
          <w:szCs w:val="28"/>
        </w:rPr>
        <w:t>9.提供校正气储存设备和储存方法的要求。</w:t>
      </w:r>
    </w:p>
    <w:p w14:paraId="4747052A" w14:textId="77777777" w:rsidR="00C41D13" w:rsidRDefault="003053A8">
      <w:pPr>
        <w:widowControl/>
        <w:jc w:val="left"/>
        <w:rPr>
          <w:rFonts w:ascii="仿宋_GB2312" w:eastAsia="仿宋_GB2312" w:hAnsi="仿宋_GB2312" w:cs="仿宋_GB2312" w:hint="eastAsia"/>
          <w:b/>
          <w:bCs/>
          <w:color w:val="000000" w:themeColor="text1"/>
          <w:kern w:val="0"/>
          <w:sz w:val="28"/>
          <w:szCs w:val="28"/>
        </w:rPr>
      </w:pPr>
      <w:r>
        <w:rPr>
          <w:rFonts w:ascii="仿宋_GB2312" w:eastAsia="仿宋_GB2312" w:hAnsi="仿宋_GB2312" w:cs="仿宋_GB2312" w:hint="eastAsia"/>
          <w:b/>
          <w:bCs/>
          <w:color w:val="000000" w:themeColor="text1"/>
          <w:kern w:val="0"/>
          <w:sz w:val="28"/>
          <w:szCs w:val="28"/>
        </w:rPr>
        <w:t>7.设备供货清单</w:t>
      </w:r>
    </w:p>
    <w:p w14:paraId="0A9DF5A7" w14:textId="77777777" w:rsidR="00C41D13" w:rsidRDefault="003053A8">
      <w:pPr>
        <w:ind w:firstLineChars="200" w:firstLine="560"/>
        <w:rPr>
          <w:rFonts w:ascii="仿宋_GB2312" w:eastAsia="仿宋_GB2312" w:hAnsi="仿宋_GB2312" w:cs="仿宋_GB2312" w:hint="eastAsia"/>
          <w:color w:val="000000" w:themeColor="text1"/>
          <w:sz w:val="28"/>
          <w:szCs w:val="28"/>
        </w:rPr>
      </w:pPr>
      <w:r>
        <w:rPr>
          <w:rFonts w:ascii="仿宋_GB2312" w:eastAsia="仿宋_GB2312" w:hAnsi="仿宋_GB2312" w:cs="仿宋_GB2312" w:hint="eastAsia"/>
          <w:color w:val="000000" w:themeColor="text1"/>
          <w:sz w:val="28"/>
          <w:szCs w:val="28"/>
        </w:rPr>
        <w:t>乙方需提供主要设备的详细清单（列表）。</w:t>
      </w:r>
    </w:p>
    <w:sectPr w:rsidR="00C41D13" w:rsidSect="00C41D13">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B3F82" w14:textId="77777777" w:rsidR="00C41D13" w:rsidRDefault="00C41D13" w:rsidP="00C41D13">
      <w:r>
        <w:separator/>
      </w:r>
    </w:p>
  </w:endnote>
  <w:endnote w:type="continuationSeparator" w:id="0">
    <w:p w14:paraId="1737B3D6" w14:textId="77777777" w:rsidR="00C41D13" w:rsidRDefault="00C41D13" w:rsidP="00C41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微软雅黑"/>
    <w:charset w:val="86"/>
    <w:family w:val="auto"/>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91524" w14:textId="28B1BD9D" w:rsidR="00C41D13" w:rsidRDefault="006832F6">
    <w:pPr>
      <w:pStyle w:val="a5"/>
    </w:pPr>
    <w:r>
      <w:rPr>
        <w:noProof/>
      </w:rPr>
      <mc:AlternateContent>
        <mc:Choice Requires="wps">
          <w:drawing>
            <wp:anchor distT="0" distB="0" distL="114300" distR="114300" simplePos="0" relativeHeight="251659264" behindDoc="0" locked="0" layoutInCell="1" allowOverlap="1" wp14:anchorId="22E573F2" wp14:editId="420DDBB0">
              <wp:simplePos x="0" y="0"/>
              <wp:positionH relativeFrom="margin">
                <wp:align>center</wp:align>
              </wp:positionH>
              <wp:positionV relativeFrom="paragraph">
                <wp:posOffset>0</wp:posOffset>
              </wp:positionV>
              <wp:extent cx="58420" cy="13970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0" cy="139700"/>
                      </a:xfrm>
                      <a:prstGeom prst="rect">
                        <a:avLst/>
                      </a:prstGeom>
                      <a:noFill/>
                      <a:ln w="6350">
                        <a:noFill/>
                      </a:ln>
                    </wps:spPr>
                    <wps:txbx>
                      <w:txbxContent>
                        <w:p w14:paraId="579DDE02" w14:textId="77777777" w:rsidR="00C41D13" w:rsidRDefault="006476E7">
                          <w:pPr>
                            <w:pStyle w:val="a5"/>
                          </w:pPr>
                          <w:r>
                            <w:fldChar w:fldCharType="begin"/>
                          </w:r>
                          <w:r w:rsidR="003053A8">
                            <w:instrText xml:space="preserve"> PAGE  \* MERGEFORMAT </w:instrText>
                          </w:r>
                          <w:r>
                            <w:fldChar w:fldCharType="separate"/>
                          </w:r>
                          <w:r w:rsidR="001F35CF">
                            <w:rPr>
                              <w:noProof/>
                            </w:rP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22E573F2" id="_x0000_t202" coordsize="21600,21600" o:spt="202" path="m,l,21600r21600,l21600,xe">
              <v:stroke joinstyle="miter"/>
              <v:path gradientshapeok="t" o:connecttype="rect"/>
            </v:shapetype>
            <v:shape id="文本框 2" o:spid="_x0000_s1026" type="#_x0000_t202" style="position:absolute;margin-left:0;margin-top:0;width:4.6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" filled="f" stroked="f" strokeweight=".5pt">
              <v:textbox style="mso-fit-shape-to-text:t" inset="0,0,0,0">
                <w:txbxContent>
                  <w:p w14:paraId="579DDE02" w14:textId="77777777" w:rsidR="00C41D13" w:rsidRDefault="006476E7">
                    <w:pPr>
                      <w:pStyle w:val="a5"/>
                    </w:pPr>
                    <w:r>
                      <w:fldChar w:fldCharType="begin"/>
                    </w:r>
                    <w:r w:rsidR="003053A8">
                      <w:instrText xml:space="preserve"> PAGE  \* MERGEFORMAT </w:instrText>
                    </w:r>
                    <w:r>
                      <w:fldChar w:fldCharType="separate"/>
                    </w:r>
                    <w:r w:rsidR="001F35CF">
                      <w:rPr>
                        <w:noProof/>
                      </w:rPr>
                      <w:t>9</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93BE5" w14:textId="77777777" w:rsidR="00C41D13" w:rsidRDefault="00C41D13" w:rsidP="00C41D13">
      <w:r>
        <w:separator/>
      </w:r>
    </w:p>
  </w:footnote>
  <w:footnote w:type="continuationSeparator" w:id="0">
    <w:p w14:paraId="71B4DFC2" w14:textId="77777777" w:rsidR="00C41D13" w:rsidRDefault="00C41D13" w:rsidP="00C41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0143" w14:textId="77777777" w:rsidR="00C41D13" w:rsidRDefault="003053A8">
    <w:pPr>
      <w:pStyle w:val="a6"/>
    </w:pPr>
    <w:r>
      <w:rPr>
        <w:rFonts w:hint="eastAsia"/>
      </w:rPr>
      <w:t>四川宏达股份有限公司（磷化工基地）</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6BB"/>
    <w:rsid w:val="001847E4"/>
    <w:rsid w:val="001E1164"/>
    <w:rsid w:val="001F35CF"/>
    <w:rsid w:val="002C1732"/>
    <w:rsid w:val="003053A8"/>
    <w:rsid w:val="00387394"/>
    <w:rsid w:val="00445BD1"/>
    <w:rsid w:val="00493DC0"/>
    <w:rsid w:val="004D7593"/>
    <w:rsid w:val="005516BB"/>
    <w:rsid w:val="00622034"/>
    <w:rsid w:val="006476E7"/>
    <w:rsid w:val="006832F6"/>
    <w:rsid w:val="009445B2"/>
    <w:rsid w:val="00C0655B"/>
    <w:rsid w:val="00C41D13"/>
    <w:rsid w:val="00F27078"/>
    <w:rsid w:val="00F548A8"/>
    <w:rsid w:val="010158D6"/>
    <w:rsid w:val="024D5C99"/>
    <w:rsid w:val="027119B9"/>
    <w:rsid w:val="04956A61"/>
    <w:rsid w:val="05E15C30"/>
    <w:rsid w:val="06250C80"/>
    <w:rsid w:val="09B01C47"/>
    <w:rsid w:val="10675184"/>
    <w:rsid w:val="12217B86"/>
    <w:rsid w:val="12A61E39"/>
    <w:rsid w:val="14A730AD"/>
    <w:rsid w:val="172B556D"/>
    <w:rsid w:val="18C6457F"/>
    <w:rsid w:val="1A7235DA"/>
    <w:rsid w:val="1B9238A2"/>
    <w:rsid w:val="203F68F7"/>
    <w:rsid w:val="221548E5"/>
    <w:rsid w:val="22B234B0"/>
    <w:rsid w:val="26D14453"/>
    <w:rsid w:val="2BEF74EE"/>
    <w:rsid w:val="2C0954BB"/>
    <w:rsid w:val="2E38250B"/>
    <w:rsid w:val="2F5C1DA5"/>
    <w:rsid w:val="2F745341"/>
    <w:rsid w:val="31C3610C"/>
    <w:rsid w:val="336D632F"/>
    <w:rsid w:val="34B84314"/>
    <w:rsid w:val="34C226AB"/>
    <w:rsid w:val="361E1B63"/>
    <w:rsid w:val="386079B4"/>
    <w:rsid w:val="39B747A8"/>
    <w:rsid w:val="3A145757"/>
    <w:rsid w:val="3A6F1106"/>
    <w:rsid w:val="3D257C7B"/>
    <w:rsid w:val="3E792906"/>
    <w:rsid w:val="41190E1C"/>
    <w:rsid w:val="412169AB"/>
    <w:rsid w:val="45721E3C"/>
    <w:rsid w:val="46E872E4"/>
    <w:rsid w:val="47BC11DC"/>
    <w:rsid w:val="4CAE553B"/>
    <w:rsid w:val="4D4168AD"/>
    <w:rsid w:val="4FC60E49"/>
    <w:rsid w:val="57295F68"/>
    <w:rsid w:val="59B166C6"/>
    <w:rsid w:val="5BA43A48"/>
    <w:rsid w:val="5C6477CD"/>
    <w:rsid w:val="5E2913C0"/>
    <w:rsid w:val="5E4044BD"/>
    <w:rsid w:val="5E7F0F0E"/>
    <w:rsid w:val="62252538"/>
    <w:rsid w:val="63BC19B2"/>
    <w:rsid w:val="63DA3640"/>
    <w:rsid w:val="641E4C6F"/>
    <w:rsid w:val="64C54022"/>
    <w:rsid w:val="65206DF6"/>
    <w:rsid w:val="660C21E6"/>
    <w:rsid w:val="671113D0"/>
    <w:rsid w:val="67FF1ED8"/>
    <w:rsid w:val="68B870D0"/>
    <w:rsid w:val="6999623C"/>
    <w:rsid w:val="6A0A3DA7"/>
    <w:rsid w:val="6A4606B5"/>
    <w:rsid w:val="6BDF5D1E"/>
    <w:rsid w:val="6F8F403F"/>
    <w:rsid w:val="6FBB6A02"/>
    <w:rsid w:val="749F3B01"/>
    <w:rsid w:val="773109EF"/>
    <w:rsid w:val="77366005"/>
    <w:rsid w:val="77CE1552"/>
    <w:rsid w:val="7D206EC2"/>
    <w:rsid w:val="7E2E2F9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A000D"/>
  <w15:docId w15:val="{A01B5641-A865-4038-8293-6B1A5F78D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41D13"/>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sid w:val="00C41D13"/>
    <w:rPr>
      <w:sz w:val="18"/>
      <w:szCs w:val="18"/>
    </w:rPr>
  </w:style>
  <w:style w:type="paragraph" w:styleId="a5">
    <w:name w:val="footer"/>
    <w:basedOn w:val="a"/>
    <w:qFormat/>
    <w:rsid w:val="00C41D13"/>
    <w:pPr>
      <w:tabs>
        <w:tab w:val="center" w:pos="4153"/>
        <w:tab w:val="right" w:pos="8306"/>
      </w:tabs>
      <w:snapToGrid w:val="0"/>
      <w:jc w:val="left"/>
    </w:pPr>
    <w:rPr>
      <w:sz w:val="18"/>
    </w:rPr>
  </w:style>
  <w:style w:type="paragraph" w:styleId="a6">
    <w:name w:val="header"/>
    <w:basedOn w:val="a"/>
    <w:qFormat/>
    <w:rsid w:val="00C41D1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a4">
    <w:name w:val="批注框文本 字符"/>
    <w:basedOn w:val="a0"/>
    <w:link w:val="a3"/>
    <w:qFormat/>
    <w:rsid w:val="00C41D1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537</Words>
  <Characters>3061</Characters>
  <Application>Microsoft Office Word</Application>
  <DocSecurity>4</DocSecurity>
  <Lines>25</Lines>
  <Paragraphs>7</Paragraphs>
  <ScaleCrop>false</ScaleCrop>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86137</dc:creator>
  <cp:lastModifiedBy>Administrator</cp:lastModifiedBy>
  <cp:revision>2</cp:revision>
  <dcterms:created xsi:type="dcterms:W3CDTF">2026-06-24T09:00:00Z</dcterms:created>
  <dcterms:modified xsi:type="dcterms:W3CDTF">2026-06-24T09:00:00Z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772F68E1643448B1AE762BE077D9ED85</vt:lpwstr>
  </property>
</Properties>
</file>