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调节阀采购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编号：YS-GKBX-2026-HW29</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22</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四川宏达股份公司调节阀</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编号：SFLHG-GKBX-2025-HW29</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宏达股份有色金属分公司因生产技改需要，需采购调节阀1批，</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调节阀</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1718"/>
        <w:gridCol w:w="3800"/>
        <w:gridCol w:w="1011"/>
        <w:gridCol w:w="2451"/>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718"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80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w:t>
            </w:r>
          </w:p>
        </w:tc>
        <w:tc>
          <w:tcPr>
            <w:tcW w:w="1011"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2451"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1718"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电动单座调节阀</w:t>
            </w:r>
          </w:p>
        </w:tc>
        <w:tc>
          <w:tcPr>
            <w:tcW w:w="3800" w:type="dxa"/>
            <w:tcBorders>
              <w:right w:val="single" w:color="auto" w:sz="4" w:space="0"/>
            </w:tcBorders>
            <w:noWrap w:val="0"/>
            <w:vAlign w:val="center"/>
          </w:tcPr>
          <w:p w14:paraId="046C140C">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DN80/PN16</w:t>
            </w:r>
          </w:p>
          <w:p w14:paraId="724A85FE">
            <w:pPr>
              <w:keepNext w:val="0"/>
              <w:keepLines w:val="0"/>
              <w:widowControl/>
              <w:suppressLineNumbers w:val="0"/>
              <w:jc w:val="left"/>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体/芯/座/填料:CF8/316L/316L/PTFE   配智能调节电动执行器 电源220VAC  4-20mA输入/输出</w:t>
            </w:r>
          </w:p>
        </w:tc>
        <w:tc>
          <w:tcPr>
            <w:tcW w:w="1011"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2451" w:type="dxa"/>
            <w:tcBorders>
              <w:right w:val="single" w:color="auto" w:sz="4" w:space="0"/>
            </w:tcBorders>
            <w:noWrap w:val="0"/>
            <w:vAlign w:val="center"/>
          </w:tcPr>
          <w:p w14:paraId="2BA994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电解锌冶炼系统设备更新项目-干燥酸冷器排酸</w:t>
            </w:r>
          </w:p>
        </w:tc>
      </w:tr>
      <w:tr w14:paraId="62C27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0E7F91C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1718" w:type="dxa"/>
            <w:tcBorders>
              <w:left w:val="single" w:color="auto" w:sz="4" w:space="0"/>
            </w:tcBorders>
            <w:noWrap w:val="0"/>
            <w:vAlign w:val="center"/>
          </w:tcPr>
          <w:p w14:paraId="1DB8B21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电动单座调节阀</w:t>
            </w:r>
          </w:p>
        </w:tc>
        <w:tc>
          <w:tcPr>
            <w:tcW w:w="3800" w:type="dxa"/>
            <w:tcBorders>
              <w:right w:val="single" w:color="auto" w:sz="4" w:space="0"/>
            </w:tcBorders>
            <w:noWrap w:val="0"/>
            <w:vAlign w:val="center"/>
          </w:tcPr>
          <w:p w14:paraId="273B3E74">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DN150/PN16 </w:t>
            </w:r>
          </w:p>
          <w:p w14:paraId="6C8C0487">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体/芯/座/填料:CF8/316L/316L/PTFE   配智能调节电动执行器 电源220VAC  4-20mA输入/输出</w:t>
            </w:r>
          </w:p>
        </w:tc>
        <w:tc>
          <w:tcPr>
            <w:tcW w:w="1011" w:type="dxa"/>
            <w:tcBorders>
              <w:right w:val="single" w:color="auto" w:sz="4" w:space="0"/>
            </w:tcBorders>
            <w:noWrap w:val="0"/>
            <w:vAlign w:val="center"/>
          </w:tcPr>
          <w:p w14:paraId="0EE83BF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 台</w:t>
            </w:r>
          </w:p>
        </w:tc>
        <w:tc>
          <w:tcPr>
            <w:tcW w:w="2451" w:type="dxa"/>
            <w:tcBorders>
              <w:right w:val="single" w:color="auto" w:sz="4" w:space="0"/>
            </w:tcBorders>
            <w:noWrap w:val="0"/>
            <w:vAlign w:val="center"/>
          </w:tcPr>
          <w:p w14:paraId="74149BA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电解锌冶炼系统设备更新项目-二吸串硫酸到一吸和干燥循环槽控制</w:t>
            </w:r>
          </w:p>
        </w:tc>
      </w:tr>
      <w:tr w14:paraId="0836C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730" w:type="dxa"/>
            <w:tcBorders>
              <w:right w:val="single" w:color="auto" w:sz="4" w:space="0"/>
            </w:tcBorders>
            <w:noWrap w:val="0"/>
            <w:vAlign w:val="center"/>
          </w:tcPr>
          <w:p w14:paraId="55E38E8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3</w:t>
            </w:r>
          </w:p>
        </w:tc>
        <w:tc>
          <w:tcPr>
            <w:tcW w:w="1718" w:type="dxa"/>
            <w:tcBorders>
              <w:left w:val="single" w:color="auto" w:sz="4" w:space="0"/>
            </w:tcBorders>
            <w:noWrap w:val="0"/>
            <w:vAlign w:val="center"/>
          </w:tcPr>
          <w:p w14:paraId="0AB3FFE9">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电动单座调节阀</w:t>
            </w:r>
          </w:p>
        </w:tc>
        <w:tc>
          <w:tcPr>
            <w:tcW w:w="3800" w:type="dxa"/>
            <w:tcBorders>
              <w:right w:val="single" w:color="auto" w:sz="4" w:space="0"/>
            </w:tcBorders>
            <w:noWrap w:val="0"/>
            <w:vAlign w:val="center"/>
          </w:tcPr>
          <w:p w14:paraId="0467600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DN32/PN16 精小型智能电动调节型执行器，输入输出4~20mA, AC220V 扭矩：100Nm 阀体304全不锈钢，接触介质（液碱）所有部分衬四氟</w:t>
            </w:r>
          </w:p>
        </w:tc>
        <w:tc>
          <w:tcPr>
            <w:tcW w:w="1011" w:type="dxa"/>
            <w:tcBorders>
              <w:right w:val="single" w:color="auto" w:sz="4" w:space="0"/>
            </w:tcBorders>
            <w:noWrap w:val="0"/>
            <w:vAlign w:val="center"/>
          </w:tcPr>
          <w:p w14:paraId="487A211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 台</w:t>
            </w:r>
          </w:p>
        </w:tc>
        <w:tc>
          <w:tcPr>
            <w:tcW w:w="2451" w:type="dxa"/>
            <w:tcBorders>
              <w:right w:val="single" w:color="auto" w:sz="4" w:space="0"/>
            </w:tcBorders>
            <w:noWrap w:val="0"/>
            <w:vAlign w:val="center"/>
          </w:tcPr>
          <w:p w14:paraId="08E8335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电解锌冶炼系统设备更新项目-大系统尾吸一级、二级循环槽添加液碱自控</w:t>
            </w:r>
          </w:p>
        </w:tc>
      </w:tr>
      <w:tr w14:paraId="4E5E9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32B4ED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4</w:t>
            </w:r>
          </w:p>
        </w:tc>
        <w:tc>
          <w:tcPr>
            <w:tcW w:w="1718" w:type="dxa"/>
            <w:tcBorders>
              <w:left w:val="single" w:color="auto" w:sz="4" w:space="0"/>
            </w:tcBorders>
            <w:noWrap w:val="0"/>
            <w:vAlign w:val="center"/>
          </w:tcPr>
          <w:p w14:paraId="11931FDB">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电动单座调节阀</w:t>
            </w:r>
          </w:p>
        </w:tc>
        <w:tc>
          <w:tcPr>
            <w:tcW w:w="3800" w:type="dxa"/>
            <w:tcBorders>
              <w:right w:val="single" w:color="auto" w:sz="4" w:space="0"/>
            </w:tcBorders>
            <w:noWrap w:val="0"/>
            <w:vAlign w:val="center"/>
          </w:tcPr>
          <w:p w14:paraId="402ADE0D">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DN100/PN16</w:t>
            </w:r>
          </w:p>
          <w:p w14:paraId="35C0CFC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 体/芯/座/填料：CF3M/316L/316L/PTFE配智能调节电动执行器 电源220VAC  4-20mA输入/输出 </w:t>
            </w:r>
          </w:p>
        </w:tc>
        <w:tc>
          <w:tcPr>
            <w:tcW w:w="1011" w:type="dxa"/>
            <w:tcBorders>
              <w:right w:val="single" w:color="auto" w:sz="4" w:space="0"/>
            </w:tcBorders>
            <w:noWrap w:val="0"/>
            <w:vAlign w:val="center"/>
          </w:tcPr>
          <w:p w14:paraId="7F2F70A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 台</w:t>
            </w:r>
          </w:p>
        </w:tc>
        <w:tc>
          <w:tcPr>
            <w:tcW w:w="2451" w:type="dxa"/>
            <w:tcBorders>
              <w:right w:val="single" w:color="auto" w:sz="4" w:space="0"/>
            </w:tcBorders>
            <w:noWrap w:val="0"/>
            <w:vAlign w:val="center"/>
          </w:tcPr>
          <w:p w14:paraId="74C6F5E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氧化锌厂2#、3#脱硫塔排水远程控制用</w:t>
            </w:r>
          </w:p>
        </w:tc>
      </w:tr>
      <w:tr w14:paraId="6AD36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9710" w:type="dxa"/>
            <w:gridSpan w:val="5"/>
            <w:tcBorders>
              <w:right w:val="single" w:color="auto" w:sz="4" w:space="0"/>
            </w:tcBorders>
            <w:noWrap w:val="0"/>
            <w:vAlign w:val="center"/>
          </w:tcPr>
          <w:p w14:paraId="26099288">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具体参数详见数据表</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30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调节阀</w:t>
      </w:r>
      <w:r>
        <w:rPr>
          <w:rFonts w:hint="eastAsia" w:ascii="黑体" w:hAnsi="黑体" w:eastAsia="黑体" w:cs="宋体"/>
          <w:kern w:val="0"/>
          <w:sz w:val="28"/>
          <w:szCs w:val="28"/>
        </w:rPr>
        <w:t>规格型号、</w:t>
      </w:r>
      <w:r>
        <w:rPr>
          <w:rFonts w:hint="eastAsia" w:ascii="黑体" w:hAnsi="黑体" w:eastAsia="黑体" w:cs="宋体"/>
          <w:kern w:val="0"/>
          <w:sz w:val="28"/>
          <w:szCs w:val="28"/>
          <w:lang w:val="en-US" w:eastAsia="zh-CN"/>
        </w:rPr>
        <w:t>执行机构型号、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②通电计量检测。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2026年6月23日10时 00 分至 2026年6月28日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递交截止时间：2026年6月 28日10时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①比选申请人需提供营业执照（三证合一）。代理商投标另需提供授权文件。</w:t>
      </w:r>
    </w:p>
    <w:p w14:paraId="52A15149">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②比选申请人需提供特种设备生产许可证（压力管道元件制造）、型式试验报告等资质文件。</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控制阀规格型号不限。</w:t>
      </w:r>
    </w:p>
    <w:p w14:paraId="4D244DAF">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3A94AC3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技术规格书。比选申请人根据调节阀数据表要求，提供技术规格书，注明控制阀规格型号、阀体阀芯阀座材质、执行机构规格型号及力矩大小、泄漏等级等相关参数。</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C6833CA">
      <w:pPr>
        <w:spacing w:line="420" w:lineRule="exact"/>
        <w:rPr>
          <w:rFonts w:ascii="黑体" w:hAnsi="黑体" w:eastAsia="黑体" w:cs="Times New Roman"/>
          <w:sz w:val="28"/>
          <w:szCs w:val="28"/>
        </w:rPr>
      </w:pPr>
      <w:r>
        <w:rPr>
          <w:rFonts w:hint="eastAsia" w:ascii="黑体" w:hAnsi="黑体" w:eastAsia="黑体" w:cs="Times New Roman"/>
          <w:sz w:val="28"/>
          <w:szCs w:val="28"/>
          <w:lang w:val="en-US" w:eastAsia="zh-CN"/>
        </w:rPr>
        <w:t>10.本项目采用符合响应性条款的最低价法进行比选。由比选人根据投标人报价函、参数配置等进行综合评审后确定中选人。</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技术咨询：魏世平13980111611</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22</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634E5C38">
      <w:pPr>
        <w:spacing w:line="360" w:lineRule="exact"/>
        <w:rPr>
          <w:rFonts w:hint="eastAsia" w:ascii="黑体" w:hAnsi="黑体" w:eastAsia="黑体" w:cs="宋体"/>
          <w:b/>
          <w:kern w:val="0"/>
          <w:sz w:val="28"/>
          <w:szCs w:val="28"/>
          <w:lang w:val="en-US" w:eastAsia="zh-CN"/>
        </w:rPr>
      </w:pPr>
    </w:p>
    <w:p w14:paraId="6CCB220D">
      <w:pPr>
        <w:spacing w:line="360" w:lineRule="exact"/>
        <w:rPr>
          <w:rFonts w:hint="eastAsia" w:ascii="黑体" w:hAnsi="黑体" w:eastAsia="黑体" w:cs="宋体"/>
          <w:b/>
          <w:kern w:val="0"/>
          <w:sz w:val="28"/>
          <w:szCs w:val="28"/>
          <w:lang w:val="en-US" w:eastAsia="zh-CN"/>
        </w:rPr>
      </w:pPr>
    </w:p>
    <w:p w14:paraId="292F8E8D">
      <w:pPr>
        <w:spacing w:line="360" w:lineRule="exact"/>
        <w:rPr>
          <w:rFonts w:hint="eastAsia" w:ascii="黑体" w:hAnsi="黑体" w:eastAsia="黑体" w:cs="宋体"/>
          <w:b/>
          <w:kern w:val="0"/>
          <w:sz w:val="28"/>
          <w:szCs w:val="28"/>
          <w:lang w:val="en-US" w:eastAsia="zh-CN"/>
        </w:rPr>
      </w:pPr>
    </w:p>
    <w:p w14:paraId="700BC1BB">
      <w:pPr>
        <w:spacing w:line="360" w:lineRule="exact"/>
        <w:rPr>
          <w:rFonts w:hint="eastAsia" w:ascii="黑体" w:hAnsi="黑体" w:eastAsia="黑体" w:cs="宋体"/>
          <w:b/>
          <w:kern w:val="0"/>
          <w:sz w:val="28"/>
          <w:szCs w:val="28"/>
          <w:lang w:val="en-US" w:eastAsia="zh-CN"/>
        </w:rPr>
      </w:pPr>
    </w:p>
    <w:p w14:paraId="225BD9C5">
      <w:pPr>
        <w:spacing w:line="360" w:lineRule="exact"/>
        <w:rPr>
          <w:rFonts w:hint="eastAsia" w:ascii="黑体" w:hAnsi="黑体" w:eastAsia="黑体" w:cs="宋体"/>
          <w:b/>
          <w:kern w:val="0"/>
          <w:sz w:val="28"/>
          <w:szCs w:val="28"/>
          <w:lang w:val="en-US" w:eastAsia="zh-CN"/>
        </w:rPr>
      </w:pPr>
    </w:p>
    <w:p w14:paraId="40EE21B2">
      <w:pPr>
        <w:spacing w:line="360" w:lineRule="exact"/>
        <w:rPr>
          <w:rFonts w:hint="eastAsia" w:ascii="黑体" w:hAnsi="黑体" w:eastAsia="黑体" w:cs="宋体"/>
          <w:b/>
          <w:kern w:val="0"/>
          <w:sz w:val="28"/>
          <w:szCs w:val="28"/>
          <w:lang w:val="en-US" w:eastAsia="zh-CN"/>
        </w:rPr>
      </w:pPr>
    </w:p>
    <w:p w14:paraId="4D17E4CD">
      <w:pPr>
        <w:spacing w:line="360" w:lineRule="exact"/>
        <w:rPr>
          <w:rFonts w:hint="eastAsia" w:ascii="黑体" w:hAnsi="黑体" w:eastAsia="黑体" w:cs="宋体"/>
          <w:b/>
          <w:kern w:val="0"/>
          <w:sz w:val="28"/>
          <w:szCs w:val="28"/>
          <w:lang w:val="en-US" w:eastAsia="zh-CN"/>
        </w:rPr>
      </w:pPr>
    </w:p>
    <w:p w14:paraId="30327911">
      <w:pPr>
        <w:spacing w:line="360" w:lineRule="exact"/>
        <w:rPr>
          <w:rFonts w:hint="eastAsia" w:ascii="黑体" w:hAnsi="黑体" w:eastAsia="黑体" w:cs="宋体"/>
          <w:b/>
          <w:kern w:val="0"/>
          <w:sz w:val="28"/>
          <w:szCs w:val="28"/>
          <w:lang w:val="en-US" w:eastAsia="zh-CN"/>
        </w:rPr>
      </w:pPr>
    </w:p>
    <w:p w14:paraId="7D5FF1F7">
      <w:pPr>
        <w:spacing w:line="360" w:lineRule="exact"/>
        <w:rPr>
          <w:rFonts w:hint="eastAsia" w:ascii="黑体" w:hAnsi="黑体" w:eastAsia="黑体" w:cs="宋体"/>
          <w:b/>
          <w:kern w:val="0"/>
          <w:sz w:val="28"/>
          <w:szCs w:val="28"/>
          <w:lang w:val="en-US" w:eastAsia="zh-CN"/>
        </w:rPr>
      </w:pPr>
    </w:p>
    <w:p w14:paraId="51349380">
      <w:pPr>
        <w:spacing w:line="360" w:lineRule="exact"/>
        <w:rPr>
          <w:rFonts w:hint="eastAsia" w:ascii="黑体" w:hAnsi="黑体" w:eastAsia="黑体" w:cs="宋体"/>
          <w:b/>
          <w:kern w:val="0"/>
          <w:sz w:val="28"/>
          <w:szCs w:val="28"/>
          <w:lang w:val="en-US" w:eastAsia="zh-CN"/>
        </w:rPr>
      </w:pPr>
    </w:p>
    <w:p w14:paraId="54158910">
      <w:pPr>
        <w:spacing w:line="360" w:lineRule="exact"/>
        <w:rPr>
          <w:rFonts w:hint="eastAsia" w:ascii="黑体" w:hAnsi="黑体" w:eastAsia="黑体" w:cs="宋体"/>
          <w:b/>
          <w:kern w:val="0"/>
          <w:sz w:val="28"/>
          <w:szCs w:val="28"/>
          <w:lang w:val="en-US" w:eastAsia="zh-CN"/>
        </w:rPr>
      </w:pPr>
    </w:p>
    <w:p w14:paraId="238A4AC4">
      <w:pPr>
        <w:spacing w:line="360" w:lineRule="exact"/>
        <w:rPr>
          <w:rFonts w:hint="eastAsia" w:ascii="黑体" w:hAnsi="黑体" w:eastAsia="黑体" w:cs="宋体"/>
          <w:b/>
          <w:kern w:val="0"/>
          <w:sz w:val="28"/>
          <w:szCs w:val="28"/>
          <w:lang w:val="en-US" w:eastAsia="zh-CN"/>
        </w:rPr>
      </w:pPr>
    </w:p>
    <w:p w14:paraId="67E8566B">
      <w:pPr>
        <w:spacing w:line="360" w:lineRule="exact"/>
        <w:rPr>
          <w:rFonts w:hint="eastAsia" w:ascii="黑体" w:hAnsi="黑体" w:eastAsia="黑体" w:cs="宋体"/>
          <w:b/>
          <w:kern w:val="0"/>
          <w:sz w:val="28"/>
          <w:szCs w:val="28"/>
          <w:lang w:val="en-US" w:eastAsia="zh-CN"/>
        </w:rPr>
      </w:pPr>
    </w:p>
    <w:p w14:paraId="29181604">
      <w:pPr>
        <w:spacing w:line="360" w:lineRule="exact"/>
        <w:rPr>
          <w:rFonts w:hint="eastAsia" w:ascii="黑体" w:hAnsi="黑体" w:eastAsia="黑体" w:cs="宋体"/>
          <w:b/>
          <w:kern w:val="0"/>
          <w:sz w:val="28"/>
          <w:szCs w:val="28"/>
          <w:lang w:val="en-US" w:eastAsia="zh-CN"/>
        </w:rPr>
      </w:pPr>
    </w:p>
    <w:p w14:paraId="46E3001C">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535B11D4">
      <w:pPr>
        <w:spacing w:line="360" w:lineRule="exact"/>
        <w:rPr>
          <w:rFonts w:hint="eastAsia" w:ascii="黑体" w:hAnsi="黑体" w:eastAsia="黑体" w:cs="宋体"/>
          <w:b/>
          <w:kern w:val="0"/>
          <w:sz w:val="28"/>
          <w:szCs w:val="28"/>
          <w:lang w:val="en-US" w:eastAsia="zh-CN"/>
        </w:rPr>
      </w:pPr>
    </w:p>
    <w:p w14:paraId="104220A3">
      <w:pPr>
        <w:spacing w:line="360" w:lineRule="exact"/>
        <w:rPr>
          <w:rFonts w:hint="eastAsia" w:ascii="黑体" w:hAnsi="黑体" w:eastAsia="黑体" w:cs="宋体"/>
          <w:b/>
          <w:kern w:val="0"/>
          <w:sz w:val="28"/>
          <w:szCs w:val="28"/>
          <w:lang w:val="en-US" w:eastAsia="zh-CN"/>
        </w:rPr>
      </w:pPr>
    </w:p>
    <w:p w14:paraId="235C310C">
      <w:pPr>
        <w:spacing w:line="360" w:lineRule="exact"/>
        <w:rPr>
          <w:rFonts w:hint="eastAsia" w:ascii="黑体" w:hAnsi="黑体" w:eastAsia="黑体" w:cs="宋体"/>
          <w:b/>
          <w:kern w:val="0"/>
          <w:sz w:val="28"/>
          <w:szCs w:val="28"/>
          <w:lang w:val="en-US" w:eastAsia="zh-CN"/>
        </w:rPr>
      </w:pPr>
    </w:p>
    <w:p w14:paraId="488FC81A">
      <w:pPr>
        <w:spacing w:line="360" w:lineRule="exact"/>
        <w:rPr>
          <w:rFonts w:hint="eastAsia" w:ascii="黑体" w:hAnsi="黑体" w:eastAsia="黑体" w:cs="宋体"/>
          <w:b/>
          <w:kern w:val="0"/>
          <w:sz w:val="28"/>
          <w:szCs w:val="28"/>
          <w:lang w:val="en-US" w:eastAsia="zh-CN"/>
        </w:rPr>
      </w:pPr>
    </w:p>
    <w:p w14:paraId="5EFBE5B7">
      <w:pPr>
        <w:spacing w:line="360" w:lineRule="exact"/>
        <w:rPr>
          <w:rFonts w:hint="eastAsia" w:ascii="黑体" w:hAnsi="黑体" w:eastAsia="黑体" w:cs="宋体"/>
          <w:b/>
          <w:kern w:val="0"/>
          <w:sz w:val="28"/>
          <w:szCs w:val="28"/>
          <w:lang w:val="en-US" w:eastAsia="zh-CN"/>
        </w:rPr>
      </w:pPr>
    </w:p>
    <w:p w14:paraId="330DEB28">
      <w:pPr>
        <w:spacing w:line="360" w:lineRule="exact"/>
        <w:rPr>
          <w:rFonts w:hint="eastAsia" w:ascii="黑体" w:hAnsi="黑体" w:eastAsia="黑体" w:cs="宋体"/>
          <w:b/>
          <w:kern w:val="0"/>
          <w:sz w:val="28"/>
          <w:szCs w:val="28"/>
          <w:lang w:val="en-US" w:eastAsia="zh-CN"/>
        </w:rPr>
      </w:pPr>
    </w:p>
    <w:p w14:paraId="50EAA6D6">
      <w:pPr>
        <w:spacing w:line="360" w:lineRule="exact"/>
        <w:rPr>
          <w:rFonts w:hint="eastAsia" w:ascii="黑体" w:hAnsi="黑体" w:eastAsia="黑体" w:cs="宋体"/>
          <w:b/>
          <w:kern w:val="0"/>
          <w:sz w:val="28"/>
          <w:szCs w:val="28"/>
          <w:lang w:val="en-US" w:eastAsia="zh-CN"/>
        </w:rPr>
      </w:pPr>
    </w:p>
    <w:p w14:paraId="106BA03A">
      <w:pPr>
        <w:spacing w:line="360" w:lineRule="exact"/>
        <w:rPr>
          <w:rFonts w:hint="eastAsia" w:ascii="黑体" w:hAnsi="黑体" w:eastAsia="黑体" w:cs="宋体"/>
          <w:b/>
          <w:kern w:val="0"/>
          <w:sz w:val="28"/>
          <w:szCs w:val="28"/>
          <w:lang w:val="en-US" w:eastAsia="zh-CN"/>
        </w:rPr>
      </w:pPr>
    </w:p>
    <w:p w14:paraId="0A0344E5">
      <w:pPr>
        <w:spacing w:line="360" w:lineRule="exact"/>
        <w:rPr>
          <w:rFonts w:hint="eastAsia" w:ascii="黑体" w:hAnsi="黑体" w:eastAsia="黑体" w:cs="宋体"/>
          <w:b/>
          <w:kern w:val="0"/>
          <w:sz w:val="28"/>
          <w:szCs w:val="28"/>
          <w:lang w:val="en-US" w:eastAsia="zh-CN"/>
        </w:rPr>
      </w:pPr>
    </w:p>
    <w:p w14:paraId="535E6812">
      <w:pPr>
        <w:spacing w:line="360" w:lineRule="exact"/>
        <w:rPr>
          <w:rFonts w:hint="eastAsia" w:ascii="黑体" w:hAnsi="黑体" w:eastAsia="黑体" w:cs="宋体"/>
          <w:b/>
          <w:kern w:val="0"/>
          <w:sz w:val="28"/>
          <w:szCs w:val="28"/>
          <w:lang w:val="en-US" w:eastAsia="zh-CN"/>
        </w:rPr>
      </w:pPr>
    </w:p>
    <w:p w14:paraId="19D237E1">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32"/>
          <w:szCs w:val="32"/>
          <w:lang w:eastAsia="zh-CN"/>
        </w:rPr>
      </w:pPr>
      <w:r>
        <w:rPr>
          <w:rFonts w:hint="eastAsia" w:ascii="黑体" w:hAnsi="黑体" w:eastAsia="黑体" w:cs="宋体"/>
          <w:b/>
          <w:kern w:val="0"/>
          <w:sz w:val="32"/>
          <w:szCs w:val="32"/>
          <w:lang w:val="en-US" w:eastAsia="zh-CN"/>
        </w:rPr>
        <w:t xml:space="preserve">第二章    </w:t>
      </w:r>
      <w:r>
        <w:rPr>
          <w:rFonts w:hint="eastAsia" w:ascii="黑体" w:hAnsi="黑体" w:eastAsia="黑体" w:cs="黑体"/>
          <w:b/>
          <w:bCs/>
          <w:sz w:val="32"/>
          <w:szCs w:val="32"/>
          <w:lang w:val="en-US" w:eastAsia="zh-CN"/>
        </w:rPr>
        <w:t>调节阀</w:t>
      </w:r>
      <w:r>
        <w:rPr>
          <w:rFonts w:hint="eastAsia" w:ascii="黑体" w:hAnsi="黑体" w:eastAsia="黑体" w:cs="黑体"/>
          <w:color w:val="auto"/>
          <w:sz w:val="32"/>
          <w:szCs w:val="32"/>
        </w:rPr>
        <w:t>采</w:t>
      </w:r>
      <w:r>
        <w:rPr>
          <w:rFonts w:hint="eastAsia" w:ascii="黑体" w:hAnsi="黑体" w:eastAsia="黑体" w:cs="黑体"/>
          <w:b/>
          <w:bCs/>
          <w:sz w:val="32"/>
          <w:szCs w:val="32"/>
        </w:rPr>
        <w:t>购</w:t>
      </w:r>
      <w:r>
        <w:rPr>
          <w:rFonts w:hint="eastAsia" w:ascii="黑体" w:hAnsi="黑体" w:eastAsia="黑体" w:cs="黑体"/>
          <w:b/>
          <w:bCs/>
          <w:sz w:val="32"/>
          <w:szCs w:val="32"/>
          <w:lang w:val="en-US" w:eastAsia="zh-CN"/>
        </w:rPr>
        <w:t>项目</w:t>
      </w:r>
    </w:p>
    <w:p w14:paraId="7DB94885">
      <w:pPr>
        <w:spacing w:line="360" w:lineRule="exact"/>
        <w:rPr>
          <w:rFonts w:hint="default" w:ascii="黑体" w:hAnsi="黑体" w:eastAsia="黑体" w:cs="宋体"/>
          <w:b/>
          <w:kern w:val="0"/>
          <w:sz w:val="32"/>
          <w:szCs w:val="32"/>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CCC70A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宋体" w:hAnsi="宋体" w:cs="宋体"/>
          <w:b/>
          <w:bCs/>
          <w:color w:val="auto"/>
          <w:sz w:val="28"/>
          <w:szCs w:val="28"/>
        </w:rPr>
        <w:br w:type="page"/>
      </w:r>
      <w:bookmarkStart w:id="0" w:name="_Toc4384"/>
      <w:bookmarkStart w:id="1" w:name="_Toc9978"/>
      <w:bookmarkStart w:id="2"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代理商投标另需提供授权文件。</w:t>
      </w:r>
    </w:p>
    <w:p w14:paraId="07E367AB">
      <w:pPr>
        <w:kinsoku/>
        <w:overflowPunct/>
        <w:topLinePunct w:val="0"/>
        <w:bidi w:val="0"/>
        <w:ind w:left="0" w:leftChars="0" w:right="0" w:rightChars="0" w:firstLine="480" w:firstLineChars="200"/>
        <w:jc w:val="both"/>
        <w:rPr>
          <w:rFonts w:hint="eastAsia"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bookmarkStart w:id="4" w:name="_GoBack"/>
      <w:bookmarkEnd w:id="4"/>
    </w:p>
    <w:p w14:paraId="69FA86B8">
      <w:pPr>
        <w:numPr>
          <w:ilvl w:val="0"/>
          <w:numId w:val="0"/>
        </w:numPr>
        <w:spacing w:line="420" w:lineRule="exact"/>
        <w:ind w:leftChars="0"/>
        <w:rPr>
          <w:rFonts w:hint="eastAsia" w:ascii="黑体" w:hAnsi="黑体" w:eastAsia="黑体" w:cs="仿宋_GB2312"/>
          <w:sz w:val="28"/>
          <w:szCs w:val="28"/>
          <w:lang w:val="en-US" w:eastAsia="zh-CN"/>
        </w:rPr>
      </w:pPr>
      <w:r>
        <w:rPr>
          <w:rFonts w:hint="eastAsia" w:cs="黑体" w:asciiTheme="minorEastAsia" w:hAnsiTheme="minorEastAsia"/>
          <w:b/>
          <w:bCs/>
          <w:kern w:val="44"/>
          <w:sz w:val="28"/>
          <w:szCs w:val="28"/>
          <w:highlight w:val="none"/>
          <w:lang w:val="en-US" w:eastAsia="zh-CN"/>
        </w:rPr>
        <w:t>（二）</w:t>
      </w:r>
      <w:r>
        <w:rPr>
          <w:rFonts w:hint="eastAsia" w:ascii="黑体" w:hAnsi="黑体" w:eastAsia="黑体" w:cs="仿宋_GB2312"/>
          <w:sz w:val="28"/>
          <w:szCs w:val="28"/>
          <w:lang w:val="en-US" w:eastAsia="zh-CN"/>
        </w:rPr>
        <w:t>特种设备生产许可证（压力管道元件制造）、型式试验报告等资质文件。</w:t>
      </w:r>
    </w:p>
    <w:p w14:paraId="2FA59D29">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p>
    <w:bookmarkEnd w:id="0"/>
    <w:bookmarkEnd w:id="1"/>
    <w:bookmarkEnd w:id="2"/>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D78DBA">
      <w:pPr>
        <w:kinsoku/>
        <w:overflowPunct/>
        <w:topLinePunct w:val="0"/>
        <w:bidi w:val="0"/>
        <w:ind w:right="0" w:rightChars="0"/>
        <w:jc w:val="left"/>
        <w:rPr>
          <w:rFonts w:hint="eastAsia" w:ascii="宋体" w:hAnsi="宋体" w:cs="宋体"/>
          <w:b/>
          <w:bCs/>
          <w:color w:val="auto"/>
          <w:sz w:val="28"/>
          <w:szCs w:val="28"/>
        </w:rPr>
      </w:pPr>
    </w:p>
    <w:p w14:paraId="029F33F4">
      <w:pPr>
        <w:kinsoku/>
        <w:overflowPunct/>
        <w:topLinePunct w:val="0"/>
        <w:bidi w:val="0"/>
        <w:ind w:right="0" w:rightChars="0"/>
        <w:jc w:val="both"/>
        <w:rPr>
          <w:rFonts w:hint="eastAsia" w:ascii="宋体" w:hAnsi="宋体" w:cs="宋体"/>
          <w:b/>
          <w:bCs/>
          <w:color w:val="auto"/>
          <w:sz w:val="28"/>
          <w:szCs w:val="28"/>
          <w:lang w:val="en-US" w:eastAsia="zh-CN"/>
        </w:rPr>
      </w:pPr>
    </w:p>
    <w:p w14:paraId="12D29F3A">
      <w:pPr>
        <w:kinsoku/>
        <w:overflowPunct/>
        <w:topLinePunct w:val="0"/>
        <w:bidi w:val="0"/>
        <w:ind w:right="0" w:rightChars="0"/>
        <w:jc w:val="both"/>
        <w:rPr>
          <w:rFonts w:hint="eastAsia" w:ascii="宋体" w:hAnsi="宋体" w:cs="宋体"/>
          <w:b/>
          <w:bCs/>
          <w:color w:val="auto"/>
          <w:sz w:val="28"/>
          <w:szCs w:val="28"/>
          <w:lang w:val="en-US" w:eastAsia="zh-CN"/>
        </w:rPr>
      </w:pPr>
    </w:p>
    <w:p w14:paraId="48DB0473">
      <w:pPr>
        <w:kinsoku/>
        <w:overflowPunct/>
        <w:topLinePunct w:val="0"/>
        <w:bidi w:val="0"/>
        <w:ind w:right="0" w:rightChars="0"/>
        <w:jc w:val="both"/>
        <w:rPr>
          <w:rFonts w:hint="eastAsia" w:ascii="宋体" w:hAnsi="宋体" w:cs="宋体"/>
          <w:b/>
          <w:bCs/>
          <w:color w:val="auto"/>
          <w:sz w:val="28"/>
          <w:szCs w:val="28"/>
          <w:lang w:val="en-US" w:eastAsia="zh-CN"/>
        </w:rPr>
      </w:pPr>
    </w:p>
    <w:p w14:paraId="499EE737">
      <w:pPr>
        <w:kinsoku/>
        <w:overflowPunct/>
        <w:topLinePunct w:val="0"/>
        <w:bidi w:val="0"/>
        <w:ind w:right="0" w:rightChars="0"/>
        <w:jc w:val="both"/>
        <w:rPr>
          <w:rFonts w:hint="eastAsia" w:ascii="宋体" w:hAnsi="宋体" w:cs="宋体"/>
          <w:b/>
          <w:bCs/>
          <w:color w:val="auto"/>
          <w:sz w:val="28"/>
          <w:szCs w:val="28"/>
          <w:lang w:val="en-US" w:eastAsia="zh-CN"/>
        </w:rPr>
      </w:pPr>
    </w:p>
    <w:p w14:paraId="3612B39D">
      <w:pPr>
        <w:numPr>
          <w:ilvl w:val="0"/>
          <w:numId w:val="2"/>
        </w:numPr>
        <w:kinsoku/>
        <w:overflowPunct/>
        <w:topLinePunct w:val="0"/>
        <w:bidi w:val="0"/>
        <w:ind w:right="0" w:rightChars="0"/>
        <w:jc w:val="both"/>
        <w:rPr>
          <w:rFonts w:hint="eastAsia" w:ascii="宋体" w:hAnsi="宋体" w:cs="宋体"/>
          <w:b/>
          <w:bCs/>
          <w:color w:val="auto"/>
          <w:sz w:val="28"/>
          <w:szCs w:val="28"/>
        </w:rPr>
      </w:pPr>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控制阀规格型号不限。</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25D7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FDA223C">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27A357CA">
            <w:pPr>
              <w:pStyle w:val="35"/>
              <w:ind w:firstLine="0" w:firstLineChars="0"/>
              <w:jc w:val="center"/>
              <w:rPr>
                <w:rFonts w:hint="eastAsia" w:ascii="黑体" w:hAnsi="黑体" w:eastAsia="黑体" w:cs="Segoe UI"/>
                <w:kern w:val="0"/>
                <w:sz w:val="28"/>
                <w:szCs w:val="28"/>
              </w:rPr>
            </w:pPr>
          </w:p>
        </w:tc>
        <w:tc>
          <w:tcPr>
            <w:tcW w:w="1791" w:type="dxa"/>
          </w:tcPr>
          <w:p w14:paraId="27FFF267">
            <w:pPr>
              <w:pStyle w:val="35"/>
              <w:ind w:right="560" w:firstLine="980" w:firstLineChars="350"/>
              <w:jc w:val="left"/>
              <w:rPr>
                <w:rFonts w:hint="eastAsia" w:ascii="黑体" w:hAnsi="黑体" w:eastAsia="黑体" w:cs="Segoe UI"/>
                <w:kern w:val="0"/>
                <w:sz w:val="28"/>
                <w:szCs w:val="28"/>
              </w:rPr>
            </w:pPr>
          </w:p>
        </w:tc>
        <w:tc>
          <w:tcPr>
            <w:tcW w:w="1355" w:type="dxa"/>
          </w:tcPr>
          <w:p w14:paraId="58BBD2A8">
            <w:pPr>
              <w:pStyle w:val="35"/>
              <w:ind w:firstLine="0" w:firstLineChars="0"/>
              <w:jc w:val="center"/>
              <w:rPr>
                <w:rFonts w:hint="eastAsia" w:ascii="黑体" w:hAnsi="黑体" w:eastAsia="黑体" w:cs="Segoe UI"/>
                <w:kern w:val="0"/>
                <w:sz w:val="28"/>
                <w:szCs w:val="28"/>
              </w:rPr>
            </w:pPr>
          </w:p>
        </w:tc>
        <w:tc>
          <w:tcPr>
            <w:tcW w:w="1356" w:type="dxa"/>
          </w:tcPr>
          <w:p w14:paraId="69EF217F">
            <w:pPr>
              <w:pStyle w:val="35"/>
              <w:ind w:firstLine="0" w:firstLineChars="0"/>
              <w:jc w:val="right"/>
              <w:rPr>
                <w:rFonts w:hint="eastAsia" w:ascii="黑体" w:hAnsi="黑体" w:eastAsia="黑体" w:cs="Segoe UI"/>
                <w:kern w:val="0"/>
                <w:sz w:val="28"/>
                <w:szCs w:val="28"/>
              </w:rPr>
            </w:pPr>
          </w:p>
        </w:tc>
        <w:tc>
          <w:tcPr>
            <w:tcW w:w="1356" w:type="dxa"/>
          </w:tcPr>
          <w:p w14:paraId="413703C6">
            <w:pPr>
              <w:pStyle w:val="35"/>
              <w:ind w:firstLine="0" w:firstLineChars="0"/>
              <w:jc w:val="right"/>
              <w:rPr>
                <w:rFonts w:ascii="黑体" w:hAnsi="黑体" w:eastAsia="黑体" w:cs="Segoe UI"/>
                <w:kern w:val="0"/>
                <w:sz w:val="28"/>
                <w:szCs w:val="28"/>
              </w:rPr>
            </w:pPr>
          </w:p>
        </w:tc>
      </w:tr>
      <w:tr w14:paraId="7056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3B07FE">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1F622B97">
            <w:pPr>
              <w:pStyle w:val="35"/>
              <w:ind w:firstLine="0" w:firstLineChars="0"/>
              <w:jc w:val="center"/>
              <w:rPr>
                <w:rFonts w:hint="eastAsia" w:ascii="黑体" w:hAnsi="黑体" w:eastAsia="黑体" w:cs="Segoe UI"/>
                <w:kern w:val="0"/>
                <w:sz w:val="28"/>
                <w:szCs w:val="28"/>
              </w:rPr>
            </w:pPr>
          </w:p>
        </w:tc>
        <w:tc>
          <w:tcPr>
            <w:tcW w:w="1791" w:type="dxa"/>
          </w:tcPr>
          <w:p w14:paraId="3D751995">
            <w:pPr>
              <w:pStyle w:val="35"/>
              <w:ind w:right="560" w:firstLine="980" w:firstLineChars="350"/>
              <w:jc w:val="left"/>
              <w:rPr>
                <w:rFonts w:hint="eastAsia" w:ascii="黑体" w:hAnsi="黑体" w:eastAsia="黑体" w:cs="Segoe UI"/>
                <w:kern w:val="0"/>
                <w:sz w:val="28"/>
                <w:szCs w:val="28"/>
              </w:rPr>
            </w:pPr>
          </w:p>
        </w:tc>
        <w:tc>
          <w:tcPr>
            <w:tcW w:w="1355" w:type="dxa"/>
          </w:tcPr>
          <w:p w14:paraId="40CB5EE1">
            <w:pPr>
              <w:pStyle w:val="35"/>
              <w:ind w:firstLine="0" w:firstLineChars="0"/>
              <w:jc w:val="center"/>
              <w:rPr>
                <w:rFonts w:hint="eastAsia" w:ascii="黑体" w:hAnsi="黑体" w:eastAsia="黑体" w:cs="Segoe UI"/>
                <w:kern w:val="0"/>
                <w:sz w:val="28"/>
                <w:szCs w:val="28"/>
              </w:rPr>
            </w:pPr>
          </w:p>
        </w:tc>
        <w:tc>
          <w:tcPr>
            <w:tcW w:w="1356" w:type="dxa"/>
          </w:tcPr>
          <w:p w14:paraId="73C8DDB0">
            <w:pPr>
              <w:pStyle w:val="35"/>
              <w:ind w:firstLine="0" w:firstLineChars="0"/>
              <w:jc w:val="right"/>
              <w:rPr>
                <w:rFonts w:hint="eastAsia" w:ascii="黑体" w:hAnsi="黑体" w:eastAsia="黑体" w:cs="Segoe UI"/>
                <w:kern w:val="0"/>
                <w:sz w:val="28"/>
                <w:szCs w:val="28"/>
              </w:rPr>
            </w:pPr>
          </w:p>
        </w:tc>
        <w:tc>
          <w:tcPr>
            <w:tcW w:w="1356" w:type="dxa"/>
          </w:tcPr>
          <w:p w14:paraId="2E1FDBE0">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3"/>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3"/>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C1D5BF0">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技术规格书</w:t>
      </w: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F684F18F"/>
    <w:multiLevelType w:val="singleLevel"/>
    <w:tmpl w:val="F684F18F"/>
    <w:lvl w:ilvl="0" w:tentative="0">
      <w:start w:val="3"/>
      <w:numFmt w:val="chineseCounting"/>
      <w:suff w:val="nothing"/>
      <w:lvlText w:val="（%1）"/>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F45156"/>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B70985"/>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F4D50E3"/>
    <w:rsid w:val="60303C60"/>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72B6AD9"/>
    <w:rsid w:val="67CD5013"/>
    <w:rsid w:val="689644F9"/>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00E6B60"/>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4930</Words>
  <Characters>5378</Characters>
  <Lines>16</Lines>
  <Paragraphs>4</Paragraphs>
  <TotalTime>1</TotalTime>
  <ScaleCrop>false</ScaleCrop>
  <LinksUpToDate>false</LinksUpToDate>
  <CharactersWithSpaces>6294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2026-06-22T08:47:51Z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