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9E5791">
      <w:pPr>
        <w:autoSpaceDE w:val="0"/>
        <w:autoSpaceDN w:val="0"/>
        <w:adjustRightInd w:val="0"/>
        <w:spacing w:before="100" w:after="100"/>
        <w:jc w:val="center"/>
        <w:rPr>
          <w:rFonts w:hint="eastAsia" w:ascii="宋体" w:hAnsi="宋体" w:cs="宋体"/>
          <w:b/>
          <w:bCs/>
          <w:sz w:val="48"/>
          <w:szCs w:val="48"/>
        </w:rPr>
      </w:pPr>
      <w:bookmarkStart w:id="0" w:name="OLE_LINK12"/>
    </w:p>
    <w:p w14:paraId="05E702C6">
      <w:pPr>
        <w:autoSpaceDE w:val="0"/>
        <w:autoSpaceDN w:val="0"/>
        <w:adjustRightInd w:val="0"/>
        <w:spacing w:before="100" w:after="100"/>
        <w:jc w:val="center"/>
        <w:rPr>
          <w:rFonts w:hint="eastAsia" w:ascii="宋体" w:hAnsi="宋体" w:cs="宋体"/>
          <w:b/>
          <w:bCs/>
          <w:sz w:val="48"/>
          <w:szCs w:val="48"/>
          <w:lang w:val="en-US" w:eastAsia="zh-CN"/>
        </w:rPr>
      </w:pPr>
      <w:r>
        <w:rPr>
          <w:rFonts w:hint="eastAsia" w:ascii="宋体" w:hAnsi="宋体" w:cs="宋体"/>
          <w:b/>
          <w:bCs/>
          <w:sz w:val="48"/>
          <w:szCs w:val="48"/>
        </w:rPr>
        <w:t>四川</w:t>
      </w:r>
      <w:r>
        <w:rPr>
          <w:rFonts w:hint="eastAsia" w:ascii="宋体" w:hAnsi="宋体" w:cs="宋体"/>
          <w:b/>
          <w:bCs/>
          <w:sz w:val="48"/>
          <w:szCs w:val="48"/>
          <w:lang w:val="en-US" w:eastAsia="zh-CN"/>
        </w:rPr>
        <w:t>宏达股份有限公司</w:t>
      </w:r>
    </w:p>
    <w:p w14:paraId="3E5A19FE">
      <w:pPr>
        <w:autoSpaceDE w:val="0"/>
        <w:autoSpaceDN w:val="0"/>
        <w:adjustRightInd w:val="0"/>
        <w:spacing w:before="100" w:after="100"/>
        <w:jc w:val="center"/>
        <w:rPr>
          <w:rFonts w:hint="default" w:ascii="宋体" w:hAnsi="宋体" w:cs="宋体"/>
          <w:b/>
          <w:bCs/>
          <w:sz w:val="48"/>
          <w:szCs w:val="48"/>
          <w:lang w:val="en-US" w:eastAsia="zh-CN"/>
        </w:rPr>
      </w:pPr>
      <w:r>
        <w:rPr>
          <w:rFonts w:hint="eastAsia" w:ascii="宋体" w:hAnsi="宋体" w:cs="宋体"/>
          <w:b/>
          <w:bCs/>
          <w:sz w:val="48"/>
          <w:szCs w:val="48"/>
          <w:lang w:val="en-US" w:eastAsia="zh-CN"/>
        </w:rPr>
        <w:t>川润埋地天然气管道整改项目</w:t>
      </w:r>
    </w:p>
    <w:bookmarkEnd w:id="0"/>
    <w:p w14:paraId="1FAE45D5">
      <w:pPr>
        <w:widowControl/>
        <w:rPr>
          <w:rFonts w:asciiTheme="minorEastAsia" w:hAnsiTheme="minorEastAsia"/>
          <w:b/>
          <w:kern w:val="0"/>
          <w:sz w:val="72"/>
          <w:szCs w:val="72"/>
        </w:rPr>
      </w:pPr>
    </w:p>
    <w:p w14:paraId="538E90AF">
      <w:pPr>
        <w:pStyle w:val="7"/>
        <w:ind w:firstLine="1446"/>
        <w:rPr>
          <w:rFonts w:asciiTheme="minorEastAsia" w:hAnsiTheme="minorEastAsia"/>
          <w:b/>
          <w:kern w:val="0"/>
          <w:sz w:val="72"/>
          <w:szCs w:val="72"/>
        </w:rPr>
      </w:pPr>
    </w:p>
    <w:p w14:paraId="33D068A5">
      <w:pPr>
        <w:pStyle w:val="13"/>
        <w:rPr>
          <w:rFonts w:asciiTheme="minorEastAsia" w:hAnsiTheme="minorEastAsia"/>
          <w:b/>
          <w:kern w:val="0"/>
          <w:sz w:val="72"/>
          <w:szCs w:val="72"/>
        </w:rPr>
      </w:pPr>
    </w:p>
    <w:p w14:paraId="44917994"/>
    <w:p w14:paraId="789A982C">
      <w:pPr>
        <w:autoSpaceDE w:val="0"/>
        <w:autoSpaceDN w:val="0"/>
        <w:adjustRightInd w:val="0"/>
        <w:spacing w:before="100" w:after="100"/>
        <w:jc w:val="center"/>
        <w:rPr>
          <w:rFonts w:hint="eastAsia" w:ascii="宋体" w:hAnsi="宋体" w:cs="宋体"/>
          <w:b/>
          <w:bCs/>
          <w:sz w:val="48"/>
          <w:szCs w:val="48"/>
          <w:lang w:val="en-US" w:eastAsia="zh-CN"/>
        </w:rPr>
      </w:pPr>
      <w:r>
        <w:rPr>
          <w:rFonts w:hint="eastAsia" w:ascii="宋体" w:hAnsi="宋体" w:cs="宋体"/>
          <w:b/>
          <w:bCs/>
          <w:sz w:val="48"/>
          <w:szCs w:val="48"/>
          <w:lang w:val="en-US" w:eastAsia="zh-CN"/>
        </w:rPr>
        <w:t>比选文件</w:t>
      </w:r>
    </w:p>
    <w:p w14:paraId="6A3A4420">
      <w:pPr>
        <w:pStyle w:val="7"/>
        <w:ind w:firstLine="643"/>
        <w:jc w:val="center"/>
        <w:rPr>
          <w:rFonts w:ascii="黑体" w:hAnsi="黑体" w:eastAsia="黑体" w:cs="宋体"/>
          <w:b/>
          <w:kern w:val="0"/>
          <w:sz w:val="32"/>
          <w:szCs w:val="32"/>
        </w:rPr>
      </w:pPr>
    </w:p>
    <w:p w14:paraId="28B86A66">
      <w:pPr>
        <w:pStyle w:val="7"/>
        <w:ind w:firstLine="643"/>
        <w:jc w:val="center"/>
        <w:rPr>
          <w:rFonts w:hint="default" w:eastAsia="黑体" w:asciiTheme="minorEastAsia" w:hAnsiTheme="minorEastAsia" w:cstheme="minorBidi"/>
          <w:b/>
          <w:bCs/>
          <w:kern w:val="2"/>
          <w:sz w:val="30"/>
          <w:szCs w:val="30"/>
          <w:u w:val="single"/>
          <w:lang w:val="en-US" w:eastAsia="zh-CN" w:bidi="ar-SA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>编号：CR-GKBX-2026-</w:t>
      </w:r>
      <w:r>
        <w:rPr>
          <w:rFonts w:hint="eastAsia" w:ascii="黑体" w:hAnsi="黑体" w:eastAsia="黑体" w:cs="宋体"/>
          <w:b/>
          <w:kern w:val="0"/>
          <w:sz w:val="32"/>
          <w:szCs w:val="32"/>
          <w:lang w:val="en-US" w:eastAsia="zh-CN"/>
        </w:rPr>
        <w:t>FW12</w:t>
      </w:r>
    </w:p>
    <w:p w14:paraId="21DDDD66">
      <w:pPr>
        <w:autoSpaceDE w:val="0"/>
        <w:autoSpaceDN w:val="0"/>
        <w:adjustRightInd w:val="0"/>
        <w:spacing w:line="360" w:lineRule="auto"/>
        <w:rPr>
          <w:rFonts w:cs="黑体" w:asciiTheme="minorEastAsia" w:hAnsiTheme="minorEastAsia"/>
          <w:lang w:val="zh-CN"/>
        </w:rPr>
      </w:pPr>
    </w:p>
    <w:p w14:paraId="43784FA0">
      <w:pPr>
        <w:jc w:val="center"/>
        <w:rPr>
          <w:rFonts w:cs="黑体" w:asciiTheme="minorEastAsia" w:hAnsiTheme="minorEastAsia"/>
          <w:lang w:val="zh-CN"/>
        </w:rPr>
      </w:pPr>
    </w:p>
    <w:p w14:paraId="205AB8C1">
      <w:pPr>
        <w:jc w:val="center"/>
        <w:rPr>
          <w:rFonts w:cs="黑体" w:asciiTheme="minorEastAsia" w:hAnsiTheme="minorEastAsia"/>
          <w:lang w:val="zh-CN"/>
        </w:rPr>
      </w:pPr>
    </w:p>
    <w:p w14:paraId="6D5AE92C">
      <w:pPr>
        <w:jc w:val="center"/>
        <w:rPr>
          <w:rFonts w:cs="黑体" w:asciiTheme="minorEastAsia" w:hAnsiTheme="minorEastAsia"/>
          <w:lang w:val="zh-CN"/>
        </w:rPr>
      </w:pPr>
    </w:p>
    <w:p w14:paraId="0AD65B3A">
      <w:pPr>
        <w:jc w:val="center"/>
        <w:rPr>
          <w:rFonts w:cs="黑体" w:asciiTheme="minorEastAsia" w:hAnsiTheme="minorEastAsia"/>
          <w:lang w:val="zh-CN"/>
        </w:rPr>
      </w:pPr>
    </w:p>
    <w:p w14:paraId="40735AE9">
      <w:pPr>
        <w:jc w:val="center"/>
        <w:rPr>
          <w:rFonts w:cs="黑体" w:asciiTheme="minorEastAsia" w:hAnsiTheme="minorEastAsia"/>
          <w:lang w:val="zh-CN"/>
        </w:rPr>
      </w:pPr>
    </w:p>
    <w:p w14:paraId="39575830">
      <w:pPr>
        <w:spacing w:line="600" w:lineRule="auto"/>
        <w:ind w:firstLine="2127" w:firstLineChars="709"/>
        <w:rPr>
          <w:rFonts w:asciiTheme="minorEastAsia" w:hAnsiTheme="minorEastAsia"/>
          <w:sz w:val="30"/>
          <w:szCs w:val="30"/>
        </w:rPr>
      </w:pPr>
    </w:p>
    <w:p w14:paraId="709DC411">
      <w:pPr>
        <w:spacing w:line="480" w:lineRule="auto"/>
        <w:ind w:left="1050" w:leftChars="500" w:right="1050" w:rightChars="500"/>
        <w:jc w:val="center"/>
        <w:rPr>
          <w:rFonts w:asciiTheme="minorEastAsia" w:hAnsiTheme="minorEastAsia"/>
          <w:b/>
          <w:bCs/>
          <w:sz w:val="30"/>
          <w:szCs w:val="30"/>
          <w:u w:val="single"/>
        </w:rPr>
      </w:pPr>
      <w:r>
        <w:rPr>
          <w:rFonts w:hint="eastAsia" w:asciiTheme="minorEastAsia" w:hAnsiTheme="minorEastAsia"/>
          <w:b/>
          <w:bCs/>
          <w:sz w:val="30"/>
          <w:szCs w:val="30"/>
        </w:rPr>
        <w:t>比选人：</w:t>
      </w:r>
      <w:r>
        <w:rPr>
          <w:rFonts w:hint="eastAsia" w:asciiTheme="minorEastAsia" w:hAnsiTheme="minorEastAsia"/>
          <w:b/>
          <w:bCs/>
          <w:sz w:val="30"/>
          <w:szCs w:val="30"/>
          <w:u w:val="single"/>
        </w:rPr>
        <w:t>四川宏达股份有限公司</w:t>
      </w:r>
    </w:p>
    <w:p w14:paraId="68FB60FA">
      <w:pPr>
        <w:autoSpaceDE w:val="0"/>
        <w:autoSpaceDN w:val="0"/>
        <w:adjustRightInd w:val="0"/>
        <w:spacing w:line="480" w:lineRule="auto"/>
        <w:jc w:val="center"/>
        <w:rPr>
          <w:rFonts w:asciiTheme="minorEastAsia" w:hAnsiTheme="minorEastAsia"/>
          <w:b/>
          <w:sz w:val="30"/>
          <w:szCs w:val="30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361" w:right="1134" w:bottom="1361" w:left="1134" w:header="851" w:footer="992" w:gutter="0"/>
          <w:cols w:space="720" w:num="1"/>
          <w:docGrid w:linePitch="312" w:charSpace="0"/>
        </w:sectPr>
      </w:pPr>
      <w:r>
        <w:rPr>
          <w:rFonts w:hint="eastAsia" w:cs="黑体" w:asciiTheme="minorEastAsia" w:hAnsiTheme="minorEastAsia"/>
          <w:b/>
          <w:bCs/>
          <w:sz w:val="30"/>
          <w:szCs w:val="30"/>
          <w:lang w:val="en-US" w:eastAsia="zh-CN"/>
        </w:rPr>
        <w:t xml:space="preserve"> 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zh-CN"/>
        </w:rPr>
        <w:t>20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2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en-US" w:eastAsia="zh-CN"/>
        </w:rPr>
        <w:t>6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年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en-US" w:eastAsia="zh-CN"/>
        </w:rPr>
        <w:t>6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月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en-US" w:eastAsia="zh-CN"/>
        </w:rPr>
        <w:t>13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日</w:t>
      </w:r>
    </w:p>
    <w:p w14:paraId="7A12A79A">
      <w:pPr>
        <w:widowControl/>
        <w:shd w:val="clear" w:color="auto" w:fill="FFFFFF"/>
        <w:spacing w:line="400" w:lineRule="exact"/>
        <w:ind w:firstLine="371"/>
        <w:jc w:val="center"/>
        <w:rPr>
          <w:rFonts w:hint="eastAsia" w:asciiTheme="minorEastAsia" w:hAnsiTheme="minorEastAsia" w:eastAsiaTheme="minorEastAsia" w:cstheme="minorEastAsia"/>
          <w:b/>
          <w:color w:val="333333"/>
          <w:kern w:val="0"/>
          <w:sz w:val="32"/>
          <w:szCs w:val="32"/>
        </w:rPr>
      </w:pPr>
    </w:p>
    <w:p w14:paraId="42B7B897">
      <w:pPr>
        <w:autoSpaceDE w:val="0"/>
        <w:autoSpaceDN w:val="0"/>
        <w:adjustRightInd w:val="0"/>
        <w:spacing w:before="100" w:after="100"/>
        <w:jc w:val="center"/>
        <w:rPr>
          <w:rFonts w:hint="eastAsia" w:ascii="宋体" w:hAnsi="宋体" w:cs="宋体"/>
          <w:b/>
          <w:bCs/>
          <w:sz w:val="48"/>
          <w:szCs w:val="48"/>
          <w:lang w:val="en-US" w:eastAsia="zh-CN"/>
        </w:rPr>
      </w:pPr>
      <w:r>
        <w:rPr>
          <w:rFonts w:hint="eastAsia" w:ascii="宋体" w:hAnsi="宋体" w:cs="宋体"/>
          <w:b/>
          <w:bCs/>
          <w:sz w:val="48"/>
          <w:szCs w:val="48"/>
        </w:rPr>
        <w:t>四川</w:t>
      </w:r>
      <w:r>
        <w:rPr>
          <w:rFonts w:hint="eastAsia" w:ascii="宋体" w:hAnsi="宋体" w:cs="宋体"/>
          <w:b/>
          <w:bCs/>
          <w:sz w:val="48"/>
          <w:szCs w:val="48"/>
          <w:lang w:val="en-US" w:eastAsia="zh-CN"/>
        </w:rPr>
        <w:t>宏达股份有限公司</w:t>
      </w:r>
    </w:p>
    <w:p w14:paraId="387B7B81">
      <w:pPr>
        <w:autoSpaceDE w:val="0"/>
        <w:autoSpaceDN w:val="0"/>
        <w:adjustRightInd w:val="0"/>
        <w:spacing w:before="100" w:after="100"/>
        <w:jc w:val="center"/>
        <w:rPr>
          <w:rFonts w:hint="default" w:ascii="宋体" w:hAnsi="宋体" w:cs="宋体"/>
          <w:b/>
          <w:bCs/>
          <w:sz w:val="48"/>
          <w:szCs w:val="48"/>
          <w:lang w:val="en-US" w:eastAsia="zh-CN"/>
        </w:rPr>
      </w:pPr>
      <w:r>
        <w:rPr>
          <w:rFonts w:hint="eastAsia" w:ascii="宋体" w:hAnsi="宋体" w:cs="宋体"/>
          <w:b/>
          <w:bCs/>
          <w:sz w:val="48"/>
          <w:szCs w:val="48"/>
          <w:lang w:val="en-US" w:eastAsia="zh-CN"/>
        </w:rPr>
        <w:t>川润埋地天然气管道整改项目</w:t>
      </w:r>
    </w:p>
    <w:p w14:paraId="02816F83">
      <w:pPr>
        <w:pStyle w:val="7"/>
        <w:ind w:firstLine="643"/>
        <w:jc w:val="center"/>
        <w:rPr>
          <w:rFonts w:hint="default" w:asciiTheme="minorEastAsia" w:hAnsiTheme="minorEastAsia" w:eastAsiaTheme="minorEastAsia" w:cstheme="minorEastAsia"/>
          <w:b/>
          <w:kern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kern w:val="0"/>
          <w:sz w:val="21"/>
          <w:szCs w:val="21"/>
        </w:rPr>
        <w:t xml:space="preserve">                  </w:t>
      </w:r>
      <w:r>
        <w:rPr>
          <w:rFonts w:hint="eastAsia" w:asciiTheme="minorEastAsia" w:hAnsiTheme="minorEastAsia" w:eastAsiaTheme="minorEastAsia" w:cstheme="minorEastAsia"/>
          <w:b/>
          <w:kern w:val="0"/>
          <w:sz w:val="24"/>
          <w:szCs w:val="24"/>
        </w:rPr>
        <w:t xml:space="preserve"> </w:t>
      </w:r>
      <w:r>
        <w:rPr>
          <w:rFonts w:hint="eastAsia" w:asciiTheme="minorEastAsia" w:hAnsiTheme="minorEastAsia" w:cstheme="minorEastAsia"/>
          <w:b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kern w:val="0"/>
          <w:sz w:val="24"/>
          <w:szCs w:val="24"/>
        </w:rPr>
        <w:t xml:space="preserve"> 编号：CR-GKBX-2026-</w:t>
      </w:r>
      <w:r>
        <w:rPr>
          <w:rFonts w:hint="eastAsia" w:asciiTheme="minorEastAsia" w:hAnsiTheme="minorEastAsia" w:cstheme="minorEastAsia"/>
          <w:b/>
          <w:kern w:val="0"/>
          <w:sz w:val="24"/>
          <w:szCs w:val="24"/>
          <w:lang w:val="en-US" w:eastAsia="zh-CN"/>
        </w:rPr>
        <w:t>FW12</w:t>
      </w:r>
    </w:p>
    <w:p w14:paraId="23CFBEF3">
      <w:pPr>
        <w:spacing w:line="360" w:lineRule="exact"/>
        <w:rPr>
          <w:rFonts w:hint="eastAsia" w:asciiTheme="minorEastAsia" w:hAnsiTheme="minorEastAsia" w:eastAsiaTheme="minorEastAsia" w:cstheme="minorEastAsia"/>
          <w:b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sz w:val="24"/>
          <w:szCs w:val="24"/>
        </w:rPr>
        <w:t>各单位：</w:t>
      </w:r>
    </w:p>
    <w:p w14:paraId="7A46ECDF">
      <w:pPr>
        <w:spacing w:line="360" w:lineRule="exact"/>
        <w:ind w:firstLine="480" w:firstLineChars="200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bookmarkStart w:id="1" w:name="OLE_LINK1"/>
      <w:bookmarkStart w:id="2" w:name="OLE_LINK2"/>
      <w:bookmarkStart w:id="3" w:name="OLE_LINK5"/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四川</w:t>
      </w:r>
      <w:bookmarkEnd w:id="1"/>
      <w:bookmarkEnd w:id="2"/>
      <w:bookmarkEnd w:id="3"/>
      <w:r>
        <w:rPr>
          <w:rFonts w:hint="eastAsia" w:asciiTheme="minorEastAsia" w:hAnsiTheme="minorEastAsia" w:cstheme="minorEastAsia"/>
          <w:kern w:val="0"/>
          <w:sz w:val="24"/>
          <w:szCs w:val="24"/>
          <w:lang w:val="en-US" w:eastAsia="zh-CN"/>
        </w:rPr>
        <w:t>绵竹川润化工有限公司需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川润埋地天然气管道整改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，本着“公开、公平、公正”的原则，现对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川润埋地天然气管道整改项目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进行公开比选。欢迎贵公司前来报价，现将相关事项公告如下：</w:t>
      </w:r>
    </w:p>
    <w:p w14:paraId="3C4DF528">
      <w:pPr>
        <w:numPr>
          <w:ilvl w:val="0"/>
          <w:numId w:val="1"/>
        </w:numPr>
        <w:spacing w:line="360" w:lineRule="exact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标的物：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川润埋地天然气管道整改项目（详见报价清单）</w:t>
      </w:r>
    </w:p>
    <w:p w14:paraId="3189E225">
      <w:pPr>
        <w:spacing w:line="360" w:lineRule="exact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二、比选人：四川宏达股份有限公司  </w:t>
      </w:r>
    </w:p>
    <w:p w14:paraId="67EB3B3D">
      <w:pPr>
        <w:spacing w:line="360" w:lineRule="exact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三、具体内容及要求：</w:t>
      </w:r>
    </w:p>
    <w:p w14:paraId="3E06B9B5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1.标的物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明细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：</w:t>
      </w:r>
    </w:p>
    <w:p w14:paraId="4EB2BBBA">
      <w:pPr>
        <w:rPr>
          <w:rFonts w:hint="eastAsia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1.1主要</w:t>
      </w:r>
      <w:r>
        <w:rPr>
          <w:rFonts w:hint="eastAsia"/>
        </w:rPr>
        <w:t>整改管道情况如下表：</w:t>
      </w:r>
    </w:p>
    <w:tbl>
      <w:tblPr>
        <w:tblStyle w:val="19"/>
        <w:tblW w:w="7932" w:type="dxa"/>
        <w:tblInd w:w="9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8"/>
        <w:gridCol w:w="1340"/>
        <w:gridCol w:w="1752"/>
        <w:gridCol w:w="1572"/>
        <w:gridCol w:w="1980"/>
      </w:tblGrid>
      <w:tr w14:paraId="796F9F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627655">
            <w:pPr>
              <w:jc w:val="center"/>
              <w:textAlignment w:val="center"/>
              <w:rPr>
                <w:rFonts w:ascii="仿宋" w:hAnsi="仿宋" w:eastAsia="仿宋" w:cs="仿宋"/>
                <w:color w:val="0F1115"/>
                <w:szCs w:val="21"/>
              </w:rPr>
            </w:pPr>
            <w:r>
              <w:rPr>
                <w:rFonts w:hint="eastAsia" w:ascii="仿宋" w:hAnsi="仿宋" w:eastAsia="仿宋" w:cs="仿宋"/>
                <w:color w:val="0F1115"/>
                <w:szCs w:val="21"/>
              </w:rPr>
              <w:t>管道名称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0EE3D0">
            <w:pPr>
              <w:jc w:val="center"/>
              <w:textAlignment w:val="center"/>
              <w:rPr>
                <w:rFonts w:ascii="仿宋" w:hAnsi="仿宋" w:eastAsia="仿宋" w:cs="仿宋"/>
                <w:color w:val="0F1115"/>
                <w:szCs w:val="21"/>
              </w:rPr>
            </w:pPr>
            <w:r>
              <w:rPr>
                <w:rFonts w:hint="eastAsia" w:ascii="仿宋" w:hAnsi="仿宋" w:eastAsia="仿宋" w:cs="仿宋"/>
                <w:color w:val="0F1115"/>
                <w:szCs w:val="21"/>
              </w:rPr>
              <w:t>起止点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234CC4">
            <w:pPr>
              <w:jc w:val="center"/>
              <w:textAlignment w:val="center"/>
              <w:rPr>
                <w:rFonts w:ascii="仿宋" w:hAnsi="仿宋" w:eastAsia="仿宋" w:cs="仿宋"/>
                <w:color w:val="0F1115"/>
                <w:szCs w:val="21"/>
              </w:rPr>
            </w:pPr>
            <w:r>
              <w:rPr>
                <w:rFonts w:hint="eastAsia" w:ascii="仿宋" w:hAnsi="仿宋" w:eastAsia="仿宋" w:cs="仿宋"/>
                <w:color w:val="0F1115"/>
                <w:szCs w:val="21"/>
              </w:rPr>
              <w:t>规格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BD4144">
            <w:pPr>
              <w:jc w:val="center"/>
              <w:textAlignment w:val="center"/>
              <w:rPr>
                <w:rFonts w:ascii="仿宋" w:hAnsi="仿宋" w:eastAsia="仿宋" w:cs="仿宋"/>
                <w:color w:val="0F1115"/>
                <w:szCs w:val="21"/>
              </w:rPr>
            </w:pPr>
            <w:r>
              <w:rPr>
                <w:rFonts w:hint="eastAsia" w:ascii="仿宋" w:hAnsi="仿宋" w:eastAsia="仿宋" w:cs="仿宋"/>
                <w:color w:val="0F1115"/>
                <w:szCs w:val="21"/>
              </w:rPr>
              <w:t>长度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FC0F43">
            <w:pPr>
              <w:jc w:val="center"/>
              <w:textAlignment w:val="center"/>
              <w:rPr>
                <w:rFonts w:ascii="仿宋" w:hAnsi="仿宋" w:eastAsia="仿宋" w:cs="仿宋"/>
                <w:color w:val="0F1115"/>
                <w:szCs w:val="21"/>
              </w:rPr>
            </w:pPr>
            <w:r>
              <w:rPr>
                <w:rFonts w:hint="eastAsia" w:ascii="仿宋" w:hAnsi="仿宋" w:eastAsia="仿宋" w:cs="仿宋"/>
                <w:color w:val="0F1115"/>
                <w:szCs w:val="21"/>
              </w:rPr>
              <w:t>阴极保护桩点数</w:t>
            </w:r>
          </w:p>
        </w:tc>
      </w:tr>
      <w:tr w14:paraId="689FED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752BB3">
            <w:pPr>
              <w:jc w:val="center"/>
              <w:textAlignment w:val="center"/>
              <w:rPr>
                <w:rFonts w:ascii="仿宋" w:hAnsi="仿宋" w:eastAsia="仿宋" w:cs="仿宋"/>
                <w:color w:val="0F1115"/>
                <w:szCs w:val="21"/>
              </w:rPr>
            </w:pPr>
            <w:r>
              <w:rPr>
                <w:rFonts w:hint="eastAsia" w:ascii="仿宋" w:hAnsi="仿宋" w:eastAsia="仿宋" w:cs="仿宋"/>
                <w:color w:val="0F1115"/>
                <w:szCs w:val="21"/>
              </w:rPr>
              <w:t>管道A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8B213E">
            <w:pPr>
              <w:jc w:val="center"/>
              <w:textAlignment w:val="center"/>
              <w:rPr>
                <w:rFonts w:ascii="仿宋" w:hAnsi="仿宋" w:eastAsia="仿宋" w:cs="仿宋"/>
                <w:color w:val="0F1115"/>
                <w:szCs w:val="21"/>
              </w:rPr>
            </w:pPr>
            <w:r>
              <w:rPr>
                <w:rFonts w:hint="eastAsia" w:ascii="仿宋" w:hAnsi="仿宋" w:eastAsia="仿宋" w:cs="仿宋"/>
                <w:color w:val="0F1115"/>
                <w:szCs w:val="21"/>
              </w:rPr>
              <w:t>绵竹市孝德镇金星村—川润厂区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E2E513">
            <w:pPr>
              <w:jc w:val="center"/>
              <w:textAlignment w:val="center"/>
              <w:rPr>
                <w:rFonts w:ascii="仿宋" w:hAnsi="仿宋" w:eastAsia="仿宋" w:cs="仿宋"/>
                <w:color w:val="0F1115"/>
                <w:szCs w:val="21"/>
              </w:rPr>
            </w:pPr>
            <w:r>
              <w:rPr>
                <w:rFonts w:hint="eastAsia" w:ascii="仿宋" w:hAnsi="仿宋" w:eastAsia="仿宋" w:cs="仿宋"/>
                <w:color w:val="0F1115"/>
                <w:szCs w:val="21"/>
              </w:rPr>
              <w:t>3根并行埋地管道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F73EF6">
            <w:pPr>
              <w:jc w:val="center"/>
              <w:textAlignment w:val="center"/>
              <w:rPr>
                <w:rFonts w:ascii="仿宋" w:hAnsi="仿宋" w:eastAsia="仿宋" w:cs="仿宋"/>
                <w:color w:val="0F1115"/>
                <w:szCs w:val="21"/>
              </w:rPr>
            </w:pPr>
            <w:r>
              <w:rPr>
                <w:rFonts w:hint="eastAsia" w:ascii="仿宋" w:hAnsi="仿宋" w:eastAsia="仿宋" w:cs="仿宋"/>
                <w:color w:val="0F1115"/>
                <w:szCs w:val="21"/>
              </w:rPr>
              <w:t>单根2.8 km，合计8.4 km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9D3E0B">
            <w:pPr>
              <w:jc w:val="center"/>
              <w:textAlignment w:val="center"/>
              <w:rPr>
                <w:rFonts w:ascii="仿宋" w:hAnsi="仿宋" w:eastAsia="仿宋" w:cs="仿宋"/>
                <w:color w:val="0F1115"/>
                <w:szCs w:val="21"/>
              </w:rPr>
            </w:pPr>
            <w:r>
              <w:rPr>
                <w:rFonts w:hint="eastAsia" w:ascii="仿宋" w:hAnsi="仿宋" w:eastAsia="仿宋" w:cs="仿宋"/>
                <w:color w:val="0F1115"/>
                <w:szCs w:val="21"/>
              </w:rPr>
              <w:t>3</w:t>
            </w:r>
          </w:p>
        </w:tc>
      </w:tr>
      <w:tr w14:paraId="6D0CE3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74E117">
            <w:pPr>
              <w:jc w:val="center"/>
              <w:textAlignment w:val="center"/>
              <w:rPr>
                <w:rFonts w:ascii="仿宋" w:hAnsi="仿宋" w:eastAsia="仿宋" w:cs="仿宋"/>
                <w:color w:val="0F1115"/>
                <w:szCs w:val="21"/>
              </w:rPr>
            </w:pPr>
            <w:r>
              <w:rPr>
                <w:rFonts w:hint="eastAsia" w:ascii="仿宋" w:hAnsi="仿宋" w:eastAsia="仿宋" w:cs="仿宋"/>
                <w:color w:val="0F1115"/>
                <w:szCs w:val="21"/>
              </w:rPr>
              <w:t>管道B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447802">
            <w:pPr>
              <w:jc w:val="center"/>
              <w:textAlignment w:val="center"/>
              <w:rPr>
                <w:rFonts w:ascii="仿宋" w:hAnsi="仿宋" w:eastAsia="仿宋" w:cs="仿宋"/>
                <w:color w:val="0F1115"/>
                <w:szCs w:val="21"/>
              </w:rPr>
            </w:pPr>
            <w:r>
              <w:rPr>
                <w:rFonts w:hint="eastAsia" w:ascii="仿宋" w:hAnsi="仿宋" w:eastAsia="仿宋" w:cs="仿宋"/>
                <w:color w:val="0F1115"/>
                <w:szCs w:val="21"/>
              </w:rPr>
              <w:t>孝泉华能CNG\LNG加气站—川润厂区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37EB91">
            <w:pPr>
              <w:jc w:val="center"/>
              <w:textAlignment w:val="center"/>
              <w:rPr>
                <w:rFonts w:ascii="仿宋" w:hAnsi="仿宋" w:eastAsia="仿宋" w:cs="仿宋"/>
                <w:color w:val="0F1115"/>
                <w:szCs w:val="21"/>
              </w:rPr>
            </w:pPr>
            <w:r>
              <w:rPr>
                <w:rFonts w:hint="eastAsia" w:ascii="仿宋" w:hAnsi="仿宋" w:eastAsia="仿宋" w:cs="仿宋"/>
                <w:color w:val="0F1115"/>
                <w:szCs w:val="21"/>
              </w:rPr>
              <w:t>单根埋地管道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99020A">
            <w:pPr>
              <w:jc w:val="center"/>
              <w:textAlignment w:val="center"/>
              <w:rPr>
                <w:rFonts w:ascii="仿宋" w:hAnsi="仿宋" w:eastAsia="仿宋" w:cs="仿宋"/>
                <w:color w:val="0F1115"/>
                <w:szCs w:val="21"/>
              </w:rPr>
            </w:pPr>
            <w:r>
              <w:rPr>
                <w:rFonts w:hint="eastAsia" w:ascii="仿宋" w:hAnsi="仿宋" w:eastAsia="仿宋" w:cs="仿宋"/>
                <w:color w:val="0F1115"/>
                <w:szCs w:val="21"/>
              </w:rPr>
              <w:t>5.5 km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6A1FBB">
            <w:pPr>
              <w:jc w:val="center"/>
              <w:textAlignment w:val="center"/>
              <w:rPr>
                <w:rFonts w:ascii="仿宋" w:hAnsi="仿宋" w:eastAsia="仿宋" w:cs="仿宋"/>
                <w:color w:val="0F1115"/>
                <w:szCs w:val="21"/>
              </w:rPr>
            </w:pPr>
            <w:r>
              <w:rPr>
                <w:rFonts w:hint="eastAsia" w:ascii="仿宋" w:hAnsi="仿宋" w:eastAsia="仿宋" w:cs="仿宋"/>
                <w:color w:val="0F1115"/>
                <w:szCs w:val="21"/>
              </w:rPr>
              <w:t>4</w:t>
            </w:r>
          </w:p>
        </w:tc>
      </w:tr>
      <w:tr w14:paraId="6712E7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56FE62">
            <w:pPr>
              <w:jc w:val="center"/>
              <w:textAlignment w:val="center"/>
              <w:rPr>
                <w:rFonts w:ascii="仿宋" w:hAnsi="仿宋" w:eastAsia="仿宋" w:cs="仿宋"/>
                <w:color w:val="0F1115"/>
                <w:szCs w:val="21"/>
              </w:rPr>
            </w:pPr>
            <w:r>
              <w:rPr>
                <w:rFonts w:hint="eastAsia" w:ascii="仿宋" w:hAnsi="仿宋" w:eastAsia="仿宋" w:cs="仿宋"/>
                <w:color w:val="0F1115"/>
                <w:szCs w:val="21"/>
              </w:rPr>
              <w:t>合计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90F7DD">
            <w:pPr>
              <w:jc w:val="center"/>
              <w:textAlignment w:val="center"/>
              <w:rPr>
                <w:rFonts w:ascii="仿宋" w:hAnsi="仿宋" w:eastAsia="仿宋" w:cs="仿宋"/>
                <w:color w:val="0F1115"/>
                <w:szCs w:val="21"/>
              </w:rPr>
            </w:pPr>
            <w:r>
              <w:rPr>
                <w:rFonts w:hint="eastAsia" w:ascii="仿宋" w:hAnsi="仿宋" w:eastAsia="仿宋" w:cs="仿宋"/>
                <w:color w:val="0F1115"/>
                <w:szCs w:val="21"/>
              </w:rPr>
              <w:t>—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CB839B">
            <w:pPr>
              <w:jc w:val="center"/>
              <w:textAlignment w:val="center"/>
              <w:rPr>
                <w:rFonts w:ascii="仿宋" w:hAnsi="仿宋" w:eastAsia="仿宋" w:cs="仿宋"/>
                <w:color w:val="0F1115"/>
                <w:szCs w:val="21"/>
              </w:rPr>
            </w:pPr>
            <w:r>
              <w:rPr>
                <w:rFonts w:hint="eastAsia" w:ascii="仿宋" w:hAnsi="仿宋" w:eastAsia="仿宋" w:cs="仿宋"/>
                <w:color w:val="0F1115"/>
                <w:szCs w:val="21"/>
              </w:rPr>
              <w:t>—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4A4643">
            <w:pPr>
              <w:jc w:val="center"/>
              <w:textAlignment w:val="center"/>
              <w:rPr>
                <w:rFonts w:ascii="仿宋" w:hAnsi="仿宋" w:eastAsia="仿宋" w:cs="仿宋"/>
                <w:color w:val="0F1115"/>
                <w:szCs w:val="21"/>
              </w:rPr>
            </w:pPr>
            <w:r>
              <w:rPr>
                <w:rFonts w:hint="eastAsia" w:ascii="仿宋" w:hAnsi="仿宋" w:eastAsia="仿宋" w:cs="仿宋"/>
                <w:color w:val="0F1115"/>
                <w:szCs w:val="21"/>
              </w:rPr>
              <w:t>13.9 km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18CCE0">
            <w:pPr>
              <w:jc w:val="center"/>
              <w:textAlignment w:val="center"/>
              <w:rPr>
                <w:rFonts w:ascii="仿宋" w:hAnsi="仿宋" w:eastAsia="仿宋" w:cs="仿宋"/>
                <w:color w:val="0F1115"/>
                <w:szCs w:val="21"/>
              </w:rPr>
            </w:pPr>
            <w:r>
              <w:rPr>
                <w:rFonts w:hint="eastAsia" w:ascii="仿宋" w:hAnsi="仿宋" w:eastAsia="仿宋" w:cs="仿宋"/>
                <w:color w:val="0F1115"/>
                <w:szCs w:val="21"/>
              </w:rPr>
              <w:t>7</w:t>
            </w:r>
          </w:p>
        </w:tc>
      </w:tr>
    </w:tbl>
    <w:p w14:paraId="093A51E1">
      <w:pPr>
        <w:pStyle w:val="15"/>
        <w:spacing w:before="0" w:beforeAutospacing="0" w:after="0" w:afterAutospacing="0" w:line="400" w:lineRule="exac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具体详见报价清单</w:t>
      </w:r>
    </w:p>
    <w:p w14:paraId="7994AFFE">
      <w:pPr>
        <w:rPr>
          <w:rFonts w:hint="eastAsia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1.2</w:t>
      </w:r>
      <w:r>
        <w:rPr>
          <w:rFonts w:hint="eastAsia"/>
        </w:rPr>
        <w:t>管道布置见《附件1、厂外埋地天然气管道整改项目整改区域管道布置示意图》</w:t>
      </w:r>
    </w:p>
    <w:p w14:paraId="4B010CC6">
      <w:pPr>
        <w:numPr>
          <w:ilvl w:val="0"/>
          <w:numId w:val="0"/>
        </w:numPr>
        <w:spacing w:line="360" w:lineRule="exac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要求：</w:t>
      </w:r>
    </w:p>
    <w:p w14:paraId="13394D27">
      <w:pPr>
        <w:numPr>
          <w:ilvl w:val="0"/>
          <w:numId w:val="0"/>
        </w:numPr>
        <w:spacing w:line="360" w:lineRule="exact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.1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具有有效营业执照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。</w:t>
      </w:r>
    </w:p>
    <w:p w14:paraId="611BABD1">
      <w:pPr>
        <w:rPr>
          <w:rFonts w:hint="eastAsia"/>
        </w:rPr>
      </w:pPr>
      <w:r>
        <w:rPr>
          <w:rFonts w:hint="eastAsia" w:asciiTheme="minorEastAsia" w:hAnsiTheme="minorEastAsia" w:cstheme="minorEastAsia"/>
          <w:kern w:val="0"/>
          <w:sz w:val="24"/>
          <w:szCs w:val="24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.2</w:t>
      </w:r>
      <w:r>
        <w:rPr>
          <w:rFonts w:hint="eastAsia" w:asciiTheme="minorEastAsia" w:hAnsiTheme="minorEastAsia" w:cstheme="minorEastAsia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/>
        </w:rPr>
        <w:t>资质要求具备：承压类特种设备安装、修理、改造（公用管道安装GB1）资质。</w:t>
      </w:r>
    </w:p>
    <w:p w14:paraId="318C942C">
      <w:pPr>
        <w:spacing w:line="420" w:lineRule="exact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cstheme="minorEastAsia"/>
          <w:kern w:val="0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、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付款方式： </w:t>
      </w:r>
    </w:p>
    <w:p w14:paraId="24A08032">
      <w:pPr>
        <w:widowControl/>
        <w:shd w:val="clear" w:color="auto" w:fill="FFFFFF"/>
        <w:spacing w:line="400" w:lineRule="exact"/>
        <w:ind w:firstLine="240" w:firstLineChars="100"/>
        <w:jc w:val="left"/>
        <w:rPr>
          <w:rFonts w:hint="default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付款方式：</w:t>
      </w:r>
      <w:r>
        <w:rPr>
          <w:rFonts w:hint="eastAsia" w:asciiTheme="minorEastAsia" w:hAnsiTheme="minorEastAsia" w:cstheme="minorEastAsia"/>
          <w:kern w:val="0"/>
          <w:sz w:val="24"/>
          <w:szCs w:val="24"/>
          <w:lang w:val="en-US" w:eastAsia="zh-CN"/>
        </w:rPr>
        <w:t>工程完成，验收合格后，开具全额增值税专用发票，一次性付清</w:t>
      </w:r>
    </w:p>
    <w:p w14:paraId="6F201807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kern w:val="0"/>
          <w:sz w:val="24"/>
          <w:szCs w:val="24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比选文件的获取</w:t>
      </w:r>
    </w:p>
    <w:p w14:paraId="2AE6E591">
      <w:pPr>
        <w:spacing w:line="420" w:lineRule="exact"/>
        <w:outlineLvl w:val="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获取方式为：自 202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年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月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16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日 00 时 00 分至 20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26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年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月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22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日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时 00分通过四川宏达股份有限公司集采中心招投标平台(以下简称“ 宏达股份集采平台”）（http://jc.sichuanhongda.com/）进行注册并登录后参与投标并下载比选文件。 </w:t>
      </w:r>
    </w:p>
    <w:p w14:paraId="504767B0">
      <w:pPr>
        <w:numPr>
          <w:ilvl w:val="0"/>
          <w:numId w:val="0"/>
        </w:numPr>
        <w:spacing w:line="420" w:lineRule="exac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响应性文件的递交</w:t>
      </w:r>
    </w:p>
    <w:p w14:paraId="03D00619">
      <w:pPr>
        <w:spacing w:line="420" w:lineRule="exac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递交截止时间：202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年 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月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22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日 1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时 0分。</w:t>
      </w:r>
    </w:p>
    <w:p w14:paraId="0E7C9B66">
      <w:pPr>
        <w:spacing w:line="420" w:lineRule="exac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比选申请人按本比选文件第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二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章响应性文件格式制作报价文件，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注明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标的物名称、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投标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单价、所有上述资料组成响应性文件，比选申请人需将响应性文件打印盖章后，以电子文件方式（PDF、扫描文件等）上传至宏达股份集采平台。</w:t>
      </w:r>
    </w:p>
    <w:p w14:paraId="0BDA6A4D">
      <w:pPr>
        <w:spacing w:line="420" w:lineRule="exac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响应性文件的要求</w:t>
      </w:r>
    </w:p>
    <w:p w14:paraId="03F77DBF">
      <w:pPr>
        <w:spacing w:line="420" w:lineRule="exac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① 比选申请人需提供</w:t>
      </w:r>
      <w:bookmarkStart w:id="4" w:name="OLE_LINK3"/>
      <w:bookmarkStart w:id="5" w:name="OLE_LINK4"/>
      <w:r>
        <w:rPr>
          <w:rFonts w:hint="eastAsia" w:asciiTheme="minorEastAsia" w:hAnsiTheme="minorEastAsia" w:eastAsiaTheme="minorEastAsia" w:cstheme="minorEastAsia"/>
          <w:sz w:val="24"/>
          <w:szCs w:val="24"/>
        </w:rPr>
        <w:t>营业执照</w:t>
      </w:r>
      <w:bookmarkEnd w:id="4"/>
      <w:bookmarkEnd w:id="5"/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</w:p>
    <w:p w14:paraId="268F4F9D">
      <w:pPr>
        <w:spacing w:line="420" w:lineRule="exac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②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kern w:val="0"/>
          <w:sz w:val="24"/>
          <w:szCs w:val="24"/>
          <w:lang w:val="en-US" w:eastAsia="zh-CN"/>
        </w:rPr>
        <w:t>资质要求。</w:t>
      </w:r>
    </w:p>
    <w:p w14:paraId="10154FBB">
      <w:pPr>
        <w:spacing w:line="420" w:lineRule="exac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7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比选时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在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资质符合要求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以最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低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报价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单价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中选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。</w:t>
      </w:r>
    </w:p>
    <w:p w14:paraId="0F249A58">
      <w:pPr>
        <w:spacing w:line="420" w:lineRule="exact"/>
        <w:rPr>
          <w:rFonts w:hint="eastAsia"/>
        </w:rPr>
      </w:pPr>
      <w:r>
        <w:rPr>
          <w:rFonts w:hint="eastAsia" w:asciiTheme="minorEastAsia" w:hAnsiTheme="minorEastAsia" w:cstheme="minorEastAsia"/>
          <w:kern w:val="0"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、上传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报价文件前，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投标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方可自愿前来我公司进行实地考查咨询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eastAsia="zh-CN"/>
        </w:rPr>
        <w:t>，</w:t>
      </w:r>
      <w:r>
        <w:rPr>
          <w:rFonts w:hint="eastAsia"/>
        </w:rPr>
        <w:t>以了解其野外埋地天然气具体情况</w:t>
      </w:r>
      <w:r>
        <w:rPr>
          <w:rFonts w:hint="eastAsia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明确标的物范围，否则自动让权。</w:t>
      </w:r>
    </w:p>
    <w:p w14:paraId="72C357C5">
      <w:pPr>
        <w:spacing w:line="420" w:lineRule="exact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</w:p>
    <w:p w14:paraId="440F1485">
      <w:pPr>
        <w:spacing w:line="420" w:lineRule="exact"/>
        <w:rPr>
          <w:rFonts w:hint="default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kern w:val="0"/>
          <w:sz w:val="24"/>
          <w:szCs w:val="24"/>
          <w:lang w:val="en-US" w:eastAsia="zh-CN"/>
        </w:rPr>
        <w:t>商务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联系人：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kern w:val="0"/>
          <w:sz w:val="24"/>
          <w:szCs w:val="24"/>
          <w:lang w:val="en-US" w:eastAsia="zh-CN"/>
        </w:rPr>
        <w:t>曾和东 13508001166</w:t>
      </w:r>
    </w:p>
    <w:p w14:paraId="4C3FD538">
      <w:pPr>
        <w:spacing w:line="420" w:lineRule="exact"/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现场联系人：</w:t>
      </w:r>
      <w:r>
        <w:rPr>
          <w:rFonts w:hint="eastAsia"/>
        </w:rPr>
        <w:t>杨强 13869831810；任明军13890230293）</w:t>
      </w:r>
    </w:p>
    <w:p w14:paraId="446C7FA9">
      <w:pPr>
        <w:adjustRightInd w:val="0"/>
        <w:spacing w:line="420" w:lineRule="exact"/>
        <w:jc w:val="left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cstheme="minorEastAsia"/>
          <w:kern w:val="0"/>
          <w:sz w:val="24"/>
          <w:szCs w:val="24"/>
          <w:lang w:val="en-US" w:eastAsia="zh-CN"/>
        </w:rPr>
        <w:t>项目现场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地址：</w:t>
      </w:r>
      <w:r>
        <w:rPr>
          <w:rFonts w:hint="eastAsia" w:asciiTheme="minorEastAsia" w:hAnsiTheme="minorEastAsia" w:cstheme="minorEastAsia"/>
          <w:kern w:val="0"/>
          <w:sz w:val="24"/>
          <w:szCs w:val="24"/>
          <w:lang w:val="en-US" w:eastAsia="zh-CN"/>
        </w:rPr>
        <w:t>德阳市绵竹市孝德镇茶店子村九组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 xml:space="preserve">                 </w:t>
      </w:r>
    </w:p>
    <w:p w14:paraId="0BEE090F">
      <w:pPr>
        <w:pStyle w:val="7"/>
        <w:ind w:firstLine="0" w:firstLineChars="0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</w:p>
    <w:p w14:paraId="6ED43AE4">
      <w:pP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</w:p>
    <w:p w14:paraId="20636B28">
      <w:pPr>
        <w:pStyle w:val="7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7F1145CE">
      <w:pPr>
        <w:adjustRightInd w:val="0"/>
        <w:spacing w:line="420" w:lineRule="exact"/>
        <w:ind w:firstLine="4680" w:firstLineChars="1950"/>
        <w:jc w:val="left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四川宏达股份有限公司</w:t>
      </w:r>
    </w:p>
    <w:p w14:paraId="2A7A58D4">
      <w:pPr>
        <w:spacing w:line="420" w:lineRule="exact"/>
        <w:ind w:firstLine="5040" w:firstLineChars="2100"/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202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年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月</w:t>
      </w:r>
      <w:r>
        <w:rPr>
          <w:rFonts w:hint="eastAsia" w:asciiTheme="minorEastAsia" w:hAnsiTheme="minorEastAsia" w:cstheme="minorEastAsia"/>
          <w:kern w:val="0"/>
          <w:sz w:val="24"/>
          <w:szCs w:val="24"/>
          <w:lang w:val="en-US" w:eastAsia="zh-CN"/>
        </w:rPr>
        <w:t>15</w:t>
      </w:r>
      <w:r>
        <w:rPr>
          <w:rFonts w:hint="eastAsia" w:asciiTheme="minorEastAsia" w:hAnsiTheme="minorEastAsia" w:eastAsiaTheme="minorEastAsia" w:cstheme="minorEastAsia"/>
          <w:kern w:val="0"/>
          <w:sz w:val="24"/>
          <w:szCs w:val="24"/>
        </w:rPr>
        <w:t>日</w:t>
      </w:r>
    </w:p>
    <w:p w14:paraId="104BB685">
      <w:pPr>
        <w:spacing w:line="420" w:lineRule="exact"/>
        <w:rPr>
          <w:rFonts w:hint="eastAsia" w:asciiTheme="minorEastAsia" w:hAnsiTheme="minorEastAsia" w:eastAsiaTheme="minorEastAsia" w:cstheme="minorEastAsia"/>
          <w:b/>
          <w:kern w:val="0"/>
          <w:sz w:val="24"/>
          <w:szCs w:val="24"/>
        </w:rPr>
      </w:pPr>
    </w:p>
    <w:p w14:paraId="0A9B5430">
      <w:pPr>
        <w:spacing w:line="360" w:lineRule="exact"/>
        <w:rPr>
          <w:rFonts w:hint="eastAsia" w:asciiTheme="minorEastAsia" w:hAnsiTheme="minorEastAsia" w:eastAsiaTheme="minorEastAsia" w:cstheme="minorEastAsia"/>
          <w:b/>
          <w:kern w:val="0"/>
          <w:sz w:val="24"/>
          <w:szCs w:val="24"/>
        </w:rPr>
      </w:pPr>
    </w:p>
    <w:p w14:paraId="12331C79">
      <w:pPr>
        <w:pStyle w:val="52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 w14:paraId="37EDF4DE">
      <w:pPr>
        <w:spacing w:line="360" w:lineRule="exact"/>
        <w:rPr>
          <w:rFonts w:hint="eastAsia" w:asciiTheme="minorEastAsia" w:hAnsiTheme="minorEastAsia" w:eastAsiaTheme="minorEastAsia" w:cstheme="minorEastAsia"/>
          <w:b/>
          <w:kern w:val="0"/>
          <w:sz w:val="21"/>
          <w:szCs w:val="21"/>
        </w:rPr>
      </w:pPr>
    </w:p>
    <w:p w14:paraId="17071F13">
      <w:pPr>
        <w:spacing w:line="360" w:lineRule="exact"/>
        <w:rPr>
          <w:rFonts w:hint="eastAsia" w:asciiTheme="minorEastAsia" w:hAnsiTheme="minorEastAsia" w:eastAsiaTheme="minorEastAsia" w:cstheme="minorEastAsia"/>
          <w:b/>
          <w:kern w:val="0"/>
          <w:sz w:val="21"/>
          <w:szCs w:val="21"/>
        </w:rPr>
      </w:pPr>
    </w:p>
    <w:p w14:paraId="0A1A3FC5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420" w:firstLineChars="200"/>
        <w:jc w:val="left"/>
        <w:textAlignment w:val="bottom"/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</w:pPr>
    </w:p>
    <w:p w14:paraId="6A3A3A12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420" w:firstLineChars="200"/>
        <w:jc w:val="center"/>
        <w:textAlignment w:val="bottom"/>
        <w:rPr>
          <w:rFonts w:hint="eastAsia" w:asciiTheme="minorEastAsia" w:hAnsiTheme="minorEastAsia" w:eastAsiaTheme="minorEastAsia" w:cstheme="minorEastAsia"/>
          <w:kern w:val="0"/>
          <w:sz w:val="21"/>
          <w:szCs w:val="21"/>
        </w:rPr>
      </w:pPr>
    </w:p>
    <w:p w14:paraId="45DAD0FD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420" w:firstLineChars="200"/>
        <w:jc w:val="center"/>
        <w:textAlignment w:val="bottom"/>
        <w:rPr>
          <w:rFonts w:hint="eastAsia" w:asciiTheme="minorEastAsia" w:hAnsiTheme="minorEastAsia" w:eastAsiaTheme="minorEastAsia" w:cstheme="minorEastAsia"/>
          <w:kern w:val="0"/>
          <w:sz w:val="21"/>
          <w:szCs w:val="21"/>
        </w:rPr>
      </w:pPr>
    </w:p>
    <w:p w14:paraId="1D59CCB9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420" w:firstLineChars="200"/>
        <w:jc w:val="center"/>
        <w:textAlignment w:val="bottom"/>
        <w:rPr>
          <w:rFonts w:hint="eastAsia" w:asciiTheme="minorEastAsia" w:hAnsiTheme="minorEastAsia" w:eastAsiaTheme="minorEastAsia" w:cstheme="minorEastAsia"/>
          <w:kern w:val="0"/>
          <w:sz w:val="21"/>
          <w:szCs w:val="21"/>
        </w:rPr>
      </w:pPr>
    </w:p>
    <w:p w14:paraId="7F60E2DD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420" w:firstLineChars="200"/>
        <w:jc w:val="center"/>
        <w:textAlignment w:val="bottom"/>
        <w:rPr>
          <w:rFonts w:hint="eastAsia" w:asciiTheme="minorEastAsia" w:hAnsiTheme="minorEastAsia" w:eastAsiaTheme="minorEastAsia" w:cstheme="minorEastAsia"/>
          <w:kern w:val="0"/>
          <w:sz w:val="21"/>
          <w:szCs w:val="21"/>
        </w:rPr>
      </w:pPr>
    </w:p>
    <w:p w14:paraId="36522144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jc w:val="both"/>
        <w:textAlignment w:val="bottom"/>
        <w:rPr>
          <w:rFonts w:hint="eastAsia" w:asciiTheme="minorEastAsia" w:hAnsiTheme="minorEastAsia" w:eastAsiaTheme="minorEastAsia" w:cstheme="minorEastAsia"/>
          <w:kern w:val="0"/>
          <w:sz w:val="21"/>
          <w:szCs w:val="21"/>
        </w:rPr>
      </w:pPr>
    </w:p>
    <w:p w14:paraId="027A10F6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420" w:firstLineChars="200"/>
        <w:jc w:val="center"/>
        <w:textAlignment w:val="bottom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 w14:paraId="5D536923">
      <w:pPr>
        <w:ind w:firstLine="3780" w:firstLineChars="1800"/>
        <w:jc w:val="both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 w14:paraId="4A841A41">
      <w:pPr>
        <w:ind w:firstLine="3780" w:firstLineChars="1800"/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、</w:t>
      </w:r>
    </w:p>
    <w:p w14:paraId="39E41669">
      <w:pPr>
        <w:ind w:firstLine="420" w:firstLineChars="200"/>
        <w:jc w:val="both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 w14:paraId="40A97A7B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420" w:firstLineChars="200"/>
        <w:jc w:val="center"/>
        <w:textAlignment w:val="bottom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 w14:paraId="7BBFCC21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40" w:firstLineChars="200"/>
        <w:jc w:val="center"/>
        <w:textAlignment w:val="bottom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 w14:paraId="7EF0F2FC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40" w:firstLineChars="200"/>
        <w:jc w:val="center"/>
        <w:textAlignment w:val="bottom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 w14:paraId="22162AD8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40" w:firstLineChars="200"/>
        <w:jc w:val="center"/>
        <w:textAlignment w:val="bottom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第二章</w:t>
      </w:r>
    </w:p>
    <w:p w14:paraId="34C87B93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40" w:firstLineChars="200"/>
        <w:jc w:val="center"/>
        <w:textAlignment w:val="bottom"/>
        <w:rPr>
          <w:rFonts w:hint="eastAsia" w:asciiTheme="minorEastAsia" w:hAnsiTheme="minorEastAsia" w:eastAsiaTheme="minorEastAsia" w:cstheme="minorEastAsia"/>
          <w:sz w:val="32"/>
          <w:szCs w:val="32"/>
        </w:rPr>
      </w:pPr>
    </w:p>
    <w:p w14:paraId="1D4D877C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4200" w:firstLineChars="1500"/>
        <w:jc w:val="both"/>
        <w:textAlignment w:val="bottom"/>
        <w:rPr>
          <w:rFonts w:hint="eastAsia" w:ascii="黑体" w:hAnsi="黑体" w:eastAsia="黑体" w:cs="黑体"/>
          <w:sz w:val="28"/>
          <w:szCs w:val="28"/>
          <w:lang w:val="zh-CN"/>
        </w:rPr>
      </w:pPr>
      <w:r>
        <w:rPr>
          <w:rFonts w:hint="eastAsia" w:ascii="黑体" w:hAnsi="黑体" w:eastAsia="黑体" w:cs="黑体"/>
          <w:sz w:val="28"/>
          <w:szCs w:val="28"/>
        </w:rPr>
        <w:t>报价</w:t>
      </w:r>
      <w:r>
        <w:rPr>
          <w:rFonts w:hint="eastAsia" w:ascii="黑体" w:hAnsi="黑体" w:eastAsia="黑体" w:cs="黑体"/>
          <w:sz w:val="28"/>
          <w:szCs w:val="28"/>
          <w:lang w:val="zh-CN"/>
        </w:rPr>
        <w:t>文件格式</w:t>
      </w:r>
    </w:p>
    <w:p w14:paraId="13843338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4200" w:firstLineChars="1500"/>
        <w:jc w:val="both"/>
        <w:textAlignment w:val="bottom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响应性文件</w:t>
      </w:r>
    </w:p>
    <w:p w14:paraId="4B5D167F">
      <w:pPr>
        <w:ind w:firstLine="560" w:firstLineChars="200"/>
        <w:jc w:val="center"/>
        <w:rPr>
          <w:rFonts w:hint="eastAsia" w:ascii="黑体" w:hAnsi="黑体" w:eastAsia="黑体" w:cs="黑体"/>
          <w:sz w:val="28"/>
          <w:szCs w:val="28"/>
        </w:rPr>
      </w:pPr>
    </w:p>
    <w:p w14:paraId="3888B98C">
      <w:pPr>
        <w:ind w:firstLine="560" w:firstLineChars="200"/>
        <w:rPr>
          <w:rFonts w:hint="eastAsia" w:ascii="黑体" w:hAnsi="黑体" w:eastAsia="黑体" w:cs="黑体"/>
          <w:sz w:val="28"/>
          <w:szCs w:val="28"/>
        </w:rPr>
      </w:pPr>
    </w:p>
    <w:p w14:paraId="1500B26A">
      <w:pPr>
        <w:spacing w:line="440" w:lineRule="exact"/>
        <w:ind w:firstLine="2240" w:firstLineChars="800"/>
        <w:jc w:val="left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报价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  <w:t>商名称：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u w:val="single"/>
        </w:rPr>
        <w:t xml:space="preserve">       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  <w:t>（盖单位章）</w:t>
      </w:r>
    </w:p>
    <w:p w14:paraId="51BF1462">
      <w:pPr>
        <w:ind w:firstLine="420" w:firstLineChars="200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</w:p>
    <w:p w14:paraId="0D3BBDFC">
      <w:pPr>
        <w:ind w:firstLine="843" w:firstLineChars="400"/>
        <w:rPr>
          <w:rFonts w:hint="eastAsia" w:asciiTheme="minorEastAsia" w:hAnsiTheme="minorEastAsia" w:eastAsiaTheme="minorEastAsia" w:cstheme="minorEastAsia"/>
          <w:b/>
          <w:sz w:val="21"/>
          <w:szCs w:val="21"/>
          <w:u w:val="single"/>
        </w:rPr>
      </w:pPr>
    </w:p>
    <w:p w14:paraId="15B0E4F3">
      <w:pPr>
        <w:spacing w:line="560" w:lineRule="exact"/>
        <w:rPr>
          <w:rFonts w:hint="eastAsia" w:asciiTheme="minorEastAsia" w:hAnsiTheme="minorEastAsia" w:eastAsiaTheme="minorEastAsia" w:cstheme="minorEastAsia"/>
          <w:sz w:val="21"/>
          <w:szCs w:val="21"/>
        </w:rPr>
        <w:sectPr>
          <w:footerReference r:id="rId6" w:type="default"/>
          <w:footerReference r:id="rId7" w:type="even"/>
          <w:pgSz w:w="11906" w:h="16838"/>
          <w:pgMar w:top="1440" w:right="1191" w:bottom="1440" w:left="1191" w:header="851" w:footer="992" w:gutter="0"/>
          <w:pgNumType w:start="0"/>
          <w:cols w:space="720" w:num="1"/>
          <w:titlePg/>
          <w:docGrid w:type="lines" w:linePitch="312" w:charSpace="0"/>
        </w:sect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一、营业执照</w:t>
      </w:r>
      <w:r>
        <w:rPr>
          <w:rFonts w:hint="eastAsia" w:asciiTheme="minorEastAsia" w:hAnsiTheme="minorEastAsia" w:cstheme="minorEastAsia"/>
          <w:b/>
          <w:bCs/>
          <w:sz w:val="21"/>
          <w:szCs w:val="21"/>
          <w:lang w:val="en-US" w:eastAsia="zh-CN"/>
        </w:rPr>
        <w:t xml:space="preserve">  资质文件，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都需盖章</w:t>
      </w:r>
    </w:p>
    <w:p w14:paraId="51757DAC">
      <w:pPr>
        <w:pStyle w:val="53"/>
        <w:spacing w:line="360" w:lineRule="auto"/>
        <w:jc w:val="both"/>
        <w:rPr>
          <w:rFonts w:hint="eastAsia" w:asciiTheme="minorEastAsia" w:hAnsiTheme="minorEastAsia" w:eastAsiaTheme="minorEastAsia" w:cstheme="minorEastAsia"/>
          <w:b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 w:val="21"/>
          <w:szCs w:val="21"/>
          <w:lang w:val="en-US" w:eastAsia="zh-CN"/>
        </w:rPr>
        <w:t>一</w:t>
      </w:r>
      <w:r>
        <w:rPr>
          <w:rFonts w:hint="eastAsia" w:asciiTheme="minorEastAsia" w:hAnsiTheme="minorEastAsia" w:eastAsiaTheme="minorEastAsia" w:cstheme="minorEastAsia"/>
          <w:b/>
          <w:sz w:val="21"/>
          <w:szCs w:val="21"/>
        </w:rPr>
        <w:t>、报价表</w:t>
      </w:r>
    </w:p>
    <w:p w14:paraId="635D0AFC">
      <w:pPr>
        <w:pStyle w:val="7"/>
        <w:ind w:firstLine="3780" w:firstLineChars="1800"/>
        <w:jc w:val="left"/>
        <w:rPr>
          <w:rFonts w:hint="default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报价清单</w:t>
      </w:r>
    </w:p>
    <w:tbl>
      <w:tblPr>
        <w:tblStyle w:val="19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1"/>
        <w:gridCol w:w="2193"/>
        <w:gridCol w:w="996"/>
        <w:gridCol w:w="1272"/>
        <w:gridCol w:w="1134"/>
        <w:gridCol w:w="2409"/>
      </w:tblGrid>
      <w:tr w14:paraId="12AE5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1" w:type="dxa"/>
            <w:noWrap w:val="0"/>
            <w:vAlign w:val="center"/>
          </w:tcPr>
          <w:p w14:paraId="51FB058E">
            <w:pPr>
              <w:widowControl w:val="0"/>
              <w:spacing w:line="2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193" w:type="dxa"/>
            <w:noWrap w:val="0"/>
            <w:vAlign w:val="center"/>
          </w:tcPr>
          <w:p w14:paraId="3D845FD3">
            <w:pPr>
              <w:widowControl w:val="0"/>
              <w:spacing w:line="2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项目</w:t>
            </w:r>
          </w:p>
        </w:tc>
        <w:tc>
          <w:tcPr>
            <w:tcW w:w="996" w:type="dxa"/>
            <w:noWrap w:val="0"/>
            <w:vAlign w:val="center"/>
          </w:tcPr>
          <w:p w14:paraId="210DA924">
            <w:pPr>
              <w:widowControl w:val="0"/>
              <w:spacing w:line="2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数量</w:t>
            </w:r>
          </w:p>
        </w:tc>
        <w:tc>
          <w:tcPr>
            <w:tcW w:w="1272" w:type="dxa"/>
            <w:noWrap w:val="0"/>
            <w:vAlign w:val="center"/>
          </w:tcPr>
          <w:p w14:paraId="485B99F4">
            <w:pPr>
              <w:widowControl w:val="0"/>
              <w:spacing w:line="2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单价（元）</w:t>
            </w:r>
          </w:p>
        </w:tc>
        <w:tc>
          <w:tcPr>
            <w:tcW w:w="1134" w:type="dxa"/>
            <w:noWrap w:val="0"/>
            <w:vAlign w:val="center"/>
          </w:tcPr>
          <w:p w14:paraId="62421BB0">
            <w:pPr>
              <w:widowControl w:val="0"/>
              <w:spacing w:line="2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合价（元）</w:t>
            </w:r>
          </w:p>
        </w:tc>
        <w:tc>
          <w:tcPr>
            <w:tcW w:w="2409" w:type="dxa"/>
            <w:noWrap w:val="0"/>
            <w:vAlign w:val="center"/>
          </w:tcPr>
          <w:p w14:paraId="1995BBEF">
            <w:pPr>
              <w:widowControl w:val="0"/>
              <w:spacing w:line="220" w:lineRule="atLeast"/>
              <w:jc w:val="center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备注</w:t>
            </w:r>
          </w:p>
        </w:tc>
      </w:tr>
      <w:tr w14:paraId="78E62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51" w:type="dxa"/>
            <w:noWrap w:val="0"/>
            <w:vAlign w:val="center"/>
          </w:tcPr>
          <w:p w14:paraId="52F89596">
            <w:pPr>
              <w:widowControl w:val="0"/>
              <w:spacing w:line="22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</w:t>
            </w:r>
          </w:p>
        </w:tc>
        <w:tc>
          <w:tcPr>
            <w:tcW w:w="2193" w:type="dxa"/>
            <w:noWrap w:val="0"/>
            <w:vAlign w:val="center"/>
          </w:tcPr>
          <w:p w14:paraId="10F5C811">
            <w:pPr>
              <w:widowControl w:val="0"/>
              <w:spacing w:line="22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阴极保护装置安装</w:t>
            </w:r>
          </w:p>
        </w:tc>
        <w:tc>
          <w:tcPr>
            <w:tcW w:w="996" w:type="dxa"/>
            <w:noWrap w:val="0"/>
            <w:vAlign w:val="center"/>
          </w:tcPr>
          <w:p w14:paraId="6A6690FB">
            <w:pPr>
              <w:widowControl w:val="0"/>
              <w:spacing w:line="22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7组</w:t>
            </w:r>
          </w:p>
        </w:tc>
        <w:tc>
          <w:tcPr>
            <w:tcW w:w="1272" w:type="dxa"/>
            <w:noWrap w:val="0"/>
            <w:vAlign w:val="center"/>
          </w:tcPr>
          <w:p w14:paraId="33224351">
            <w:pPr>
              <w:widowControl w:val="0"/>
              <w:spacing w:line="22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2BA05FFC">
            <w:pPr>
              <w:widowControl w:val="0"/>
              <w:spacing w:line="22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409" w:type="dxa"/>
            <w:noWrap w:val="0"/>
            <w:vAlign w:val="center"/>
          </w:tcPr>
          <w:p w14:paraId="0E2CE11A">
            <w:pPr>
              <w:widowControl w:val="0"/>
              <w:spacing w:line="220" w:lineRule="atLeas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采用牺牲阳极方式，含材料与安装。</w:t>
            </w:r>
          </w:p>
        </w:tc>
      </w:tr>
      <w:tr w14:paraId="63AA3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751" w:type="dxa"/>
            <w:vMerge w:val="restart"/>
            <w:noWrap w:val="0"/>
            <w:vAlign w:val="center"/>
          </w:tcPr>
          <w:p w14:paraId="1E577F5B">
            <w:pPr>
              <w:widowControl w:val="0"/>
              <w:spacing w:line="22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2</w:t>
            </w:r>
          </w:p>
        </w:tc>
        <w:tc>
          <w:tcPr>
            <w:tcW w:w="2193" w:type="dxa"/>
            <w:noWrap w:val="0"/>
            <w:vAlign w:val="center"/>
          </w:tcPr>
          <w:p w14:paraId="1A9EABA8">
            <w:pPr>
              <w:widowControl w:val="0"/>
              <w:spacing w:line="220" w:lineRule="atLeas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防腐层检测、RTK定位测绘</w:t>
            </w:r>
          </w:p>
        </w:tc>
        <w:tc>
          <w:tcPr>
            <w:tcW w:w="996" w:type="dxa"/>
            <w:noWrap w:val="0"/>
            <w:vAlign w:val="center"/>
          </w:tcPr>
          <w:p w14:paraId="4B780B32">
            <w:pPr>
              <w:widowControl w:val="0"/>
              <w:spacing w:line="22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13.9km</w:t>
            </w:r>
          </w:p>
        </w:tc>
        <w:tc>
          <w:tcPr>
            <w:tcW w:w="1272" w:type="dxa"/>
            <w:noWrap w:val="0"/>
            <w:vAlign w:val="center"/>
          </w:tcPr>
          <w:p w14:paraId="7161F4FD">
            <w:pPr>
              <w:widowControl w:val="0"/>
              <w:spacing w:line="22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元/米</w:t>
            </w:r>
          </w:p>
        </w:tc>
        <w:tc>
          <w:tcPr>
            <w:tcW w:w="1134" w:type="dxa"/>
            <w:noWrap w:val="0"/>
            <w:vAlign w:val="center"/>
          </w:tcPr>
          <w:p w14:paraId="51AEA36C">
            <w:pPr>
              <w:widowControl w:val="0"/>
              <w:spacing w:line="22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409" w:type="dxa"/>
            <w:noWrap w:val="0"/>
            <w:vAlign w:val="center"/>
          </w:tcPr>
          <w:p w14:paraId="0EE68ED7">
            <w:pPr>
              <w:widowControl w:val="0"/>
              <w:spacing w:line="22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229A7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1" w:type="dxa"/>
            <w:vMerge w:val="continue"/>
            <w:noWrap w:val="0"/>
            <w:vAlign w:val="center"/>
          </w:tcPr>
          <w:p w14:paraId="2EA3DC8A">
            <w:pPr>
              <w:widowControl w:val="0"/>
              <w:spacing w:line="22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193" w:type="dxa"/>
            <w:noWrap w:val="0"/>
            <w:vAlign w:val="center"/>
          </w:tcPr>
          <w:p w14:paraId="3B62CCCC">
            <w:pPr>
              <w:widowControl w:val="0"/>
              <w:spacing w:line="220" w:lineRule="atLeas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防腐层破损点修补</w:t>
            </w:r>
          </w:p>
        </w:tc>
        <w:tc>
          <w:tcPr>
            <w:tcW w:w="996" w:type="dxa"/>
            <w:noWrap w:val="0"/>
            <w:vAlign w:val="center"/>
          </w:tcPr>
          <w:p w14:paraId="52BF9CB3">
            <w:pPr>
              <w:widowControl w:val="0"/>
              <w:spacing w:line="22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6处</w:t>
            </w:r>
          </w:p>
        </w:tc>
        <w:tc>
          <w:tcPr>
            <w:tcW w:w="1272" w:type="dxa"/>
            <w:noWrap w:val="0"/>
            <w:vAlign w:val="center"/>
          </w:tcPr>
          <w:p w14:paraId="0574BC5C">
            <w:pPr>
              <w:widowControl w:val="0"/>
              <w:spacing w:line="22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15B1BA1C">
            <w:pPr>
              <w:widowControl w:val="0"/>
              <w:spacing w:line="22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409" w:type="dxa"/>
            <w:noWrap w:val="0"/>
            <w:vAlign w:val="center"/>
          </w:tcPr>
          <w:p w14:paraId="367D0A0B">
            <w:pPr>
              <w:widowControl w:val="0"/>
              <w:spacing w:line="220" w:lineRule="atLeas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数量为预估，按总量不超6处,根据实际数量结算。</w:t>
            </w:r>
          </w:p>
        </w:tc>
      </w:tr>
      <w:tr w14:paraId="7968D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1" w:type="dxa"/>
            <w:noWrap w:val="0"/>
            <w:vAlign w:val="center"/>
          </w:tcPr>
          <w:p w14:paraId="3FA5BB23">
            <w:pPr>
              <w:widowControl w:val="0"/>
              <w:spacing w:line="22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3</w:t>
            </w:r>
          </w:p>
        </w:tc>
        <w:tc>
          <w:tcPr>
            <w:tcW w:w="2193" w:type="dxa"/>
            <w:noWrap w:val="0"/>
            <w:vAlign w:val="center"/>
          </w:tcPr>
          <w:p w14:paraId="5F2C84BA">
            <w:pPr>
              <w:widowControl w:val="0"/>
              <w:spacing w:line="22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安全措施</w:t>
            </w:r>
          </w:p>
        </w:tc>
        <w:tc>
          <w:tcPr>
            <w:tcW w:w="996" w:type="dxa"/>
            <w:noWrap w:val="0"/>
            <w:vAlign w:val="center"/>
          </w:tcPr>
          <w:p w14:paraId="18A6320D">
            <w:pPr>
              <w:widowControl w:val="0"/>
              <w:spacing w:line="22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72" w:type="dxa"/>
            <w:noWrap w:val="0"/>
            <w:vAlign w:val="center"/>
          </w:tcPr>
          <w:p w14:paraId="266527BD">
            <w:pPr>
              <w:widowControl w:val="0"/>
              <w:spacing w:line="22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04D2FD6A">
            <w:pPr>
              <w:widowControl w:val="0"/>
              <w:spacing w:line="22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409" w:type="dxa"/>
            <w:noWrap w:val="0"/>
            <w:vAlign w:val="center"/>
          </w:tcPr>
          <w:p w14:paraId="56B6B238">
            <w:pPr>
              <w:widowControl w:val="0"/>
              <w:spacing w:line="220" w:lineRule="atLeast"/>
              <w:jc w:val="both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根据需要在土方开挖点设置</w:t>
            </w:r>
          </w:p>
        </w:tc>
      </w:tr>
      <w:tr w14:paraId="70A89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55" w:type="dxa"/>
            <w:gridSpan w:val="6"/>
            <w:noWrap w:val="0"/>
            <w:vAlign w:val="center"/>
          </w:tcPr>
          <w:p w14:paraId="3E475BE0">
            <w:pPr>
              <w:widowControl w:val="0"/>
              <w:spacing w:line="220" w:lineRule="atLeas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以上费用包含协调、赔青、土方挖填、阴极保护桩及安装、防腐层检测修补、RTK定位、安全措施等。</w:t>
            </w:r>
          </w:p>
        </w:tc>
      </w:tr>
      <w:tr w14:paraId="52DE0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55" w:type="dxa"/>
            <w:gridSpan w:val="6"/>
            <w:noWrap w:val="0"/>
            <w:vAlign w:val="center"/>
          </w:tcPr>
          <w:p w14:paraId="1A29AA3F">
            <w:pPr>
              <w:widowControl w:val="0"/>
              <w:spacing w:line="220" w:lineRule="atLeast"/>
              <w:ind w:firstLine="2650" w:firstLineChars="110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一组阴极保护装置报价</w:t>
            </w:r>
          </w:p>
        </w:tc>
      </w:tr>
      <w:tr w14:paraId="71BBA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1" w:type="dxa"/>
            <w:noWrap w:val="0"/>
            <w:vAlign w:val="center"/>
          </w:tcPr>
          <w:p w14:paraId="6AEE5F63">
            <w:pPr>
              <w:widowControl w:val="0"/>
              <w:spacing w:line="220" w:lineRule="atLeas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193" w:type="dxa"/>
            <w:shd w:val="clear" w:color="auto" w:fill="auto"/>
            <w:noWrap w:val="0"/>
            <w:vAlign w:val="center"/>
          </w:tcPr>
          <w:p w14:paraId="22F4417D">
            <w:pPr>
              <w:widowControl w:val="0"/>
              <w:spacing w:line="220" w:lineRule="atLeast"/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土方挖填</w:t>
            </w:r>
          </w:p>
        </w:tc>
        <w:tc>
          <w:tcPr>
            <w:tcW w:w="996" w:type="dxa"/>
            <w:shd w:val="clear" w:color="auto" w:fill="auto"/>
            <w:noWrap w:val="0"/>
            <w:vAlign w:val="center"/>
          </w:tcPr>
          <w:p w14:paraId="3958FA7B">
            <w:pPr>
              <w:widowControl w:val="0"/>
              <w:spacing w:line="220" w:lineRule="atLeast"/>
              <w:rPr>
                <w:rFonts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1项</w:t>
            </w:r>
          </w:p>
        </w:tc>
        <w:tc>
          <w:tcPr>
            <w:tcW w:w="1272" w:type="dxa"/>
            <w:noWrap w:val="0"/>
            <w:vAlign w:val="center"/>
          </w:tcPr>
          <w:p w14:paraId="0FF47F36">
            <w:pPr>
              <w:widowControl w:val="0"/>
              <w:spacing w:line="22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279BFBF2">
            <w:pPr>
              <w:widowControl w:val="0"/>
              <w:spacing w:line="22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409" w:type="dxa"/>
            <w:noWrap w:val="0"/>
            <w:vAlign w:val="center"/>
          </w:tcPr>
          <w:p w14:paraId="365CE6E2">
            <w:pPr>
              <w:widowControl w:val="0"/>
              <w:spacing w:line="220" w:lineRule="atLeast"/>
              <w:rPr>
                <w:rFonts w:hint="eastAsia" w:ascii="仿宋_GB2312" w:eastAsia="仿宋_GB2312"/>
                <w:sz w:val="24"/>
                <w:szCs w:val="24"/>
              </w:rPr>
            </w:pPr>
            <w:bookmarkStart w:id="6" w:name="_GoBack"/>
            <w:bookmarkEnd w:id="6"/>
          </w:p>
        </w:tc>
      </w:tr>
      <w:tr w14:paraId="62462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1" w:type="dxa"/>
            <w:noWrap w:val="0"/>
            <w:vAlign w:val="center"/>
          </w:tcPr>
          <w:p w14:paraId="2F026453">
            <w:pPr>
              <w:widowControl w:val="0"/>
              <w:spacing w:line="220" w:lineRule="atLeas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193" w:type="dxa"/>
            <w:shd w:val="clear" w:color="auto" w:fill="auto"/>
            <w:noWrap w:val="0"/>
            <w:vAlign w:val="center"/>
          </w:tcPr>
          <w:p w14:paraId="237A169C">
            <w:pPr>
              <w:widowControl w:val="0"/>
              <w:spacing w:line="220" w:lineRule="atLeast"/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安装</w:t>
            </w:r>
          </w:p>
        </w:tc>
        <w:tc>
          <w:tcPr>
            <w:tcW w:w="996" w:type="dxa"/>
            <w:shd w:val="clear" w:color="auto" w:fill="auto"/>
            <w:noWrap w:val="0"/>
            <w:vAlign w:val="center"/>
          </w:tcPr>
          <w:p w14:paraId="35934B33">
            <w:pPr>
              <w:widowControl w:val="0"/>
              <w:spacing w:line="220" w:lineRule="atLeast"/>
              <w:rPr>
                <w:rFonts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1项</w:t>
            </w:r>
          </w:p>
        </w:tc>
        <w:tc>
          <w:tcPr>
            <w:tcW w:w="1272" w:type="dxa"/>
            <w:noWrap w:val="0"/>
            <w:vAlign w:val="center"/>
          </w:tcPr>
          <w:p w14:paraId="0FDB90CF">
            <w:pPr>
              <w:widowControl w:val="0"/>
              <w:spacing w:line="22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0C23619D">
            <w:pPr>
              <w:widowControl w:val="0"/>
              <w:spacing w:line="22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409" w:type="dxa"/>
            <w:noWrap w:val="0"/>
            <w:vAlign w:val="center"/>
          </w:tcPr>
          <w:p w14:paraId="6F8055AF">
            <w:pPr>
              <w:widowControl w:val="0"/>
              <w:spacing w:line="220" w:lineRule="atLeast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72F2C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1" w:type="dxa"/>
            <w:noWrap w:val="0"/>
            <w:vAlign w:val="center"/>
          </w:tcPr>
          <w:p w14:paraId="4BA6D3CA">
            <w:pPr>
              <w:widowControl w:val="0"/>
              <w:spacing w:line="220" w:lineRule="atLeas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193" w:type="dxa"/>
            <w:shd w:val="clear" w:color="auto" w:fill="auto"/>
            <w:noWrap w:val="0"/>
            <w:vAlign w:val="center"/>
          </w:tcPr>
          <w:p w14:paraId="14C5FB16">
            <w:pPr>
              <w:widowControl w:val="0"/>
              <w:spacing w:line="220" w:lineRule="atLeast"/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阴极保护测试桩H=3m</w:t>
            </w:r>
          </w:p>
        </w:tc>
        <w:tc>
          <w:tcPr>
            <w:tcW w:w="996" w:type="dxa"/>
            <w:shd w:val="clear" w:color="auto" w:fill="auto"/>
            <w:noWrap w:val="0"/>
            <w:vAlign w:val="center"/>
          </w:tcPr>
          <w:p w14:paraId="4A632217">
            <w:pPr>
              <w:widowControl w:val="0"/>
              <w:spacing w:line="220" w:lineRule="atLeast"/>
              <w:rPr>
                <w:rFonts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1支</w:t>
            </w:r>
          </w:p>
        </w:tc>
        <w:tc>
          <w:tcPr>
            <w:tcW w:w="1272" w:type="dxa"/>
            <w:noWrap w:val="0"/>
            <w:vAlign w:val="center"/>
          </w:tcPr>
          <w:p w14:paraId="0DE10FA4">
            <w:pPr>
              <w:widowControl w:val="0"/>
              <w:spacing w:line="22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2E52A810">
            <w:pPr>
              <w:widowControl w:val="0"/>
              <w:spacing w:line="22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409" w:type="dxa"/>
            <w:noWrap w:val="0"/>
            <w:vAlign w:val="center"/>
          </w:tcPr>
          <w:p w14:paraId="736600FF">
            <w:pPr>
              <w:widowControl w:val="0"/>
              <w:spacing w:line="220" w:lineRule="atLeast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7FD88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1" w:type="dxa"/>
            <w:noWrap w:val="0"/>
            <w:vAlign w:val="center"/>
          </w:tcPr>
          <w:p w14:paraId="262B5230">
            <w:pPr>
              <w:widowControl w:val="0"/>
              <w:spacing w:line="220" w:lineRule="atLeas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193" w:type="dxa"/>
            <w:shd w:val="clear" w:color="auto" w:fill="auto"/>
            <w:noWrap w:val="0"/>
            <w:vAlign w:val="center"/>
          </w:tcPr>
          <w:p w14:paraId="29772C40">
            <w:pPr>
              <w:widowControl w:val="0"/>
              <w:spacing w:line="220" w:lineRule="atLeast"/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镁合金阳极药包（14kg/支）</w:t>
            </w:r>
          </w:p>
        </w:tc>
        <w:tc>
          <w:tcPr>
            <w:tcW w:w="996" w:type="dxa"/>
            <w:shd w:val="clear" w:color="auto" w:fill="auto"/>
            <w:noWrap w:val="0"/>
            <w:vAlign w:val="center"/>
          </w:tcPr>
          <w:p w14:paraId="64631AF5">
            <w:pPr>
              <w:widowControl w:val="0"/>
              <w:spacing w:line="220" w:lineRule="atLeast"/>
              <w:rPr>
                <w:rFonts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4支</w:t>
            </w:r>
          </w:p>
        </w:tc>
        <w:tc>
          <w:tcPr>
            <w:tcW w:w="1272" w:type="dxa"/>
            <w:noWrap w:val="0"/>
            <w:vAlign w:val="center"/>
          </w:tcPr>
          <w:p w14:paraId="2F09255C">
            <w:pPr>
              <w:widowControl w:val="0"/>
              <w:spacing w:line="22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7ACB54A0">
            <w:pPr>
              <w:widowControl w:val="0"/>
              <w:spacing w:line="22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409" w:type="dxa"/>
            <w:noWrap w:val="0"/>
            <w:vAlign w:val="center"/>
          </w:tcPr>
          <w:p w14:paraId="215A9044">
            <w:pPr>
              <w:widowControl w:val="0"/>
              <w:spacing w:line="220" w:lineRule="atLeast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65388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1" w:type="dxa"/>
            <w:noWrap w:val="0"/>
            <w:vAlign w:val="center"/>
          </w:tcPr>
          <w:p w14:paraId="3F54AAE9">
            <w:pPr>
              <w:widowControl w:val="0"/>
              <w:spacing w:line="220" w:lineRule="atLeas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193" w:type="dxa"/>
            <w:shd w:val="clear" w:color="auto" w:fill="auto"/>
            <w:noWrap w:val="0"/>
            <w:vAlign w:val="center"/>
          </w:tcPr>
          <w:p w14:paraId="25065324">
            <w:pPr>
              <w:widowControl w:val="0"/>
              <w:spacing w:line="220" w:lineRule="atLeast"/>
              <w:rPr>
                <w:rFonts w:hint="eastAsia"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单芯双头绝艳铜芯电缆（35mm</w:t>
            </w:r>
            <w:r>
              <w:rPr>
                <w:rFonts w:hint="eastAsia" w:ascii="仿宋_GB2312" w:eastAsia="仿宋_GB2312"/>
                <w:sz w:val="24"/>
                <w:szCs w:val="24"/>
                <w:vertAlign w:val="superscript"/>
              </w:rPr>
              <w:t>2</w:t>
            </w:r>
            <w:r>
              <w:rPr>
                <w:rFonts w:hint="eastAsia" w:ascii="仿宋_GB2312" w:eastAsia="仿宋_GB2312"/>
                <w:sz w:val="24"/>
                <w:szCs w:val="24"/>
              </w:rPr>
              <w:t>）</w:t>
            </w:r>
          </w:p>
        </w:tc>
        <w:tc>
          <w:tcPr>
            <w:tcW w:w="996" w:type="dxa"/>
            <w:shd w:val="clear" w:color="auto" w:fill="auto"/>
            <w:noWrap w:val="0"/>
            <w:vAlign w:val="center"/>
          </w:tcPr>
          <w:p w14:paraId="3B1AC949">
            <w:pPr>
              <w:widowControl w:val="0"/>
              <w:spacing w:line="220" w:lineRule="atLeast"/>
              <w:rPr>
                <w:rFonts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30米</w:t>
            </w:r>
          </w:p>
        </w:tc>
        <w:tc>
          <w:tcPr>
            <w:tcW w:w="1272" w:type="dxa"/>
            <w:noWrap w:val="0"/>
            <w:vAlign w:val="center"/>
          </w:tcPr>
          <w:p w14:paraId="3245B1BF">
            <w:pPr>
              <w:widowControl w:val="0"/>
              <w:spacing w:line="22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280A8BF5">
            <w:pPr>
              <w:widowControl w:val="0"/>
              <w:spacing w:line="22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409" w:type="dxa"/>
            <w:noWrap w:val="0"/>
            <w:vAlign w:val="center"/>
          </w:tcPr>
          <w:p w14:paraId="47AF1A75">
            <w:pPr>
              <w:widowControl w:val="0"/>
              <w:spacing w:line="220" w:lineRule="atLeast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11E3A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1" w:type="dxa"/>
            <w:noWrap w:val="0"/>
            <w:vAlign w:val="center"/>
          </w:tcPr>
          <w:p w14:paraId="0048FB01">
            <w:pPr>
              <w:widowControl w:val="0"/>
              <w:spacing w:line="220" w:lineRule="atLeas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193" w:type="dxa"/>
            <w:shd w:val="clear" w:color="auto" w:fill="auto"/>
            <w:noWrap w:val="0"/>
            <w:vAlign w:val="center"/>
          </w:tcPr>
          <w:p w14:paraId="0D858512">
            <w:pPr>
              <w:widowControl w:val="0"/>
              <w:spacing w:line="220" w:lineRule="atLeast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参比电极MCT-1</w:t>
            </w:r>
          </w:p>
        </w:tc>
        <w:tc>
          <w:tcPr>
            <w:tcW w:w="996" w:type="dxa"/>
            <w:shd w:val="clear" w:color="auto" w:fill="auto"/>
            <w:noWrap w:val="0"/>
            <w:vAlign w:val="center"/>
          </w:tcPr>
          <w:p w14:paraId="2C4328F9">
            <w:pPr>
              <w:widowControl w:val="0"/>
              <w:spacing w:line="220" w:lineRule="atLeast"/>
              <w:rPr>
                <w:rFonts w:ascii="仿宋_GB2312" w:eastAsia="仿宋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1支</w:t>
            </w:r>
          </w:p>
        </w:tc>
        <w:tc>
          <w:tcPr>
            <w:tcW w:w="1272" w:type="dxa"/>
            <w:noWrap w:val="0"/>
            <w:vAlign w:val="center"/>
          </w:tcPr>
          <w:p w14:paraId="1D2260E1">
            <w:pPr>
              <w:widowControl w:val="0"/>
              <w:spacing w:line="22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2F7FDA06">
            <w:pPr>
              <w:widowControl w:val="0"/>
              <w:spacing w:line="220" w:lineRule="atLeas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409" w:type="dxa"/>
            <w:noWrap w:val="0"/>
            <w:vAlign w:val="center"/>
          </w:tcPr>
          <w:p w14:paraId="5FC99423">
            <w:pPr>
              <w:widowControl w:val="0"/>
              <w:spacing w:line="220" w:lineRule="atLeast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 w14:paraId="1C2E3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1" w:type="dxa"/>
            <w:noWrap w:val="0"/>
            <w:vAlign w:val="center"/>
          </w:tcPr>
          <w:p w14:paraId="232204CD">
            <w:pPr>
              <w:widowControl w:val="0"/>
              <w:spacing w:line="220" w:lineRule="atLeas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5595" w:type="dxa"/>
            <w:gridSpan w:val="4"/>
            <w:shd w:val="clear" w:color="auto" w:fill="auto"/>
            <w:noWrap w:val="0"/>
            <w:vAlign w:val="center"/>
          </w:tcPr>
          <w:p w14:paraId="2237A325">
            <w:pPr>
              <w:widowControl w:val="0"/>
              <w:spacing w:line="220" w:lineRule="atLeast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含税总价（元）</w:t>
            </w:r>
          </w:p>
        </w:tc>
        <w:tc>
          <w:tcPr>
            <w:tcW w:w="2409" w:type="dxa"/>
            <w:noWrap w:val="0"/>
            <w:vAlign w:val="center"/>
          </w:tcPr>
          <w:p w14:paraId="38CBE03F">
            <w:pPr>
              <w:widowControl w:val="0"/>
              <w:spacing w:line="220" w:lineRule="atLeast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</w:tbl>
    <w:p w14:paraId="610BDE5D">
      <w:pPr>
        <w:pStyle w:val="38"/>
        <w:spacing w:before="120" w:line="500" w:lineRule="exact"/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>付款方式：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                                      </w:t>
      </w:r>
      <w:r>
        <w:rPr>
          <w:rFonts w:hint="eastAsia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 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 xml:space="preserve">  </w:t>
      </w:r>
    </w:p>
    <w:p w14:paraId="5D12EE3C">
      <w:pPr>
        <w:pStyle w:val="38"/>
        <w:spacing w:before="120" w:line="500" w:lineRule="exact"/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 xml:space="preserve">完成时间：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                                       </w:t>
      </w:r>
      <w:r>
        <w:rPr>
          <w:rFonts w:hint="eastAsia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  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 xml:space="preserve">  </w:t>
      </w:r>
    </w:p>
    <w:p w14:paraId="41E5E6E5">
      <w:pPr>
        <w:pStyle w:val="38"/>
        <w:spacing w:before="120" w:line="500" w:lineRule="exact"/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 xml:space="preserve">质保期：  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                                            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 xml:space="preserve">                                                </w:t>
      </w:r>
    </w:p>
    <w:p w14:paraId="20BAF122">
      <w:pPr>
        <w:pStyle w:val="38"/>
        <w:spacing w:before="120" w:line="500" w:lineRule="exact"/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 xml:space="preserve">税率：  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                                     </w:t>
      </w:r>
      <w:r>
        <w:rPr>
          <w:rFonts w:hint="eastAsia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    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 xml:space="preserve">                                                       </w:t>
      </w:r>
    </w:p>
    <w:p w14:paraId="58E59183">
      <w:pPr>
        <w:pStyle w:val="38"/>
        <w:spacing w:before="120" w:line="480" w:lineRule="exact"/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</w:pP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lang w:val="en-US" w:eastAsia="zh-CN" w:bidi="ar-SA"/>
        </w:rPr>
        <w:t>备注：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                                </w:t>
      </w:r>
      <w:r>
        <w:rPr>
          <w:rFonts w:hint="eastAsia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  </w:t>
      </w:r>
      <w:r>
        <w:rPr>
          <w:rFonts w:hint="eastAsia" w:ascii="宋体" w:hAnsi="宋体" w:eastAsiaTheme="minorEastAsia" w:cstheme="minorBidi"/>
          <w:color w:val="auto"/>
          <w:kern w:val="2"/>
          <w:sz w:val="21"/>
          <w:szCs w:val="21"/>
          <w:u w:val="single"/>
          <w:lang w:val="en-US" w:eastAsia="zh-CN" w:bidi="ar-SA"/>
        </w:rPr>
        <w:t xml:space="preserve">             </w:t>
      </w:r>
    </w:p>
    <w:p w14:paraId="277B96C0">
      <w:pPr>
        <w:pStyle w:val="7"/>
        <w:ind w:firstLine="0" w:firstLineChars="0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                                             </w:t>
      </w:r>
    </w:p>
    <w:p w14:paraId="0FD62055">
      <w:pPr>
        <w:tabs>
          <w:tab w:val="left" w:pos="6120"/>
          <w:tab w:val="left" w:pos="6510"/>
          <w:tab w:val="left" w:pos="12495"/>
        </w:tabs>
        <w:spacing w:line="240" w:lineRule="auto"/>
        <w:jc w:val="lef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报价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商名称：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 xml:space="preserve">                   （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加盖单位公章）： </w:t>
      </w:r>
    </w:p>
    <w:p w14:paraId="62AD31DD">
      <w:pPr>
        <w:tabs>
          <w:tab w:val="left" w:pos="6120"/>
          <w:tab w:val="left" w:pos="6510"/>
          <w:tab w:val="left" w:pos="12495"/>
        </w:tabs>
        <w:spacing w:line="240" w:lineRule="auto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联系人及方式：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 xml:space="preserve">                        </w:t>
      </w:r>
    </w:p>
    <w:p w14:paraId="1802A1B8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</w:pPr>
    </w:p>
    <w:p w14:paraId="1BE8D095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</w:pP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</w:rPr>
        <w:t>报价包含但不限于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</w:rPr>
        <w:t>运费、</w:t>
      </w:r>
      <w:r>
        <w:rPr>
          <w:rFonts w:hint="eastAsia" w:asciiTheme="minorEastAsia" w:hAnsiTheme="minorEastAsia" w:cstheme="minorEastAsia"/>
          <w:kern w:val="2"/>
          <w:sz w:val="21"/>
          <w:szCs w:val="21"/>
          <w:lang w:val="en-US" w:eastAsia="zh-CN"/>
        </w:rPr>
        <w:t>施工，</w:t>
      </w: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</w:rPr>
        <w:t>保险费、税金等</w:t>
      </w:r>
      <w:r>
        <w:rPr>
          <w:rFonts w:hint="eastAsia" w:asciiTheme="minorEastAsia" w:hAnsiTheme="minorEastAsia" w:cstheme="minorEastAsia"/>
          <w:kern w:val="2"/>
          <w:sz w:val="21"/>
          <w:szCs w:val="21"/>
          <w:lang w:val="en-US" w:eastAsia="zh-CN"/>
        </w:rPr>
        <w:t>其他杂费</w:t>
      </w:r>
      <w:r>
        <w:rPr>
          <w:rFonts w:hint="eastAsia" w:asciiTheme="minorEastAsia" w:hAnsiTheme="minorEastAsia" w:eastAsiaTheme="minorEastAsia" w:cstheme="minorEastAsia"/>
          <w:kern w:val="2"/>
          <w:sz w:val="21"/>
          <w:szCs w:val="21"/>
        </w:rPr>
        <w:t>。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</w:t>
      </w:r>
    </w:p>
    <w:p w14:paraId="67671DE6">
      <w:pPr>
        <w:tabs>
          <w:tab w:val="center" w:pos="4212"/>
          <w:tab w:val="left" w:pos="5173"/>
        </w:tabs>
        <w:ind w:firstLine="2940" w:firstLineChars="1400"/>
        <w:jc w:val="left"/>
        <w:rPr>
          <w:rFonts w:hint="eastAsia" w:asciiTheme="minorEastAsia" w:hAnsiTheme="minorEastAsia" w:eastAsiaTheme="minorEastAsia" w:cstheme="minorEastAsia"/>
          <w:b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      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二</w:t>
      </w: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、</w:t>
      </w:r>
      <w:r>
        <w:rPr>
          <w:rFonts w:hint="eastAsia" w:asciiTheme="minorEastAsia" w:hAnsiTheme="minorEastAsia" w:eastAsiaTheme="minorEastAsia" w:cstheme="minorEastAsia"/>
          <w:b/>
          <w:sz w:val="21"/>
          <w:szCs w:val="21"/>
        </w:rPr>
        <w:t>承 诺</w:t>
      </w:r>
    </w:p>
    <w:p w14:paraId="492C3EAF">
      <w:p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致：</w:t>
      </w:r>
    </w:p>
    <w:p w14:paraId="4484B930">
      <w:p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我公司自愿参与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 xml:space="preserve"> </w:t>
      </w: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川润埋地天然气管道整改项目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的投标，现郑重作出以下承诺：</w:t>
      </w:r>
    </w:p>
    <w:p w14:paraId="57A5B7B5">
      <w:p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⑴我公司的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处置资质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、环保、安全符合国家要求；</w:t>
      </w:r>
    </w:p>
    <w:p w14:paraId="1AD6E6CB">
      <w:pPr>
        <w:spacing w:line="360" w:lineRule="auto"/>
        <w:ind w:left="420" w:left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⑵我公司具有良好的信誉、企业处于正常生产经营状态；</w:t>
      </w:r>
    </w:p>
    <w:p w14:paraId="700EDD5D">
      <w:pPr>
        <w:spacing w:line="360" w:lineRule="auto"/>
        <w:ind w:left="420" w:left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⑶我公司完全按报价文件严格执行。</w:t>
      </w:r>
    </w:p>
    <w:p w14:paraId="27DF6595">
      <w:p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⑷我公司将严格遵守投标的各项法律法规和程序，若有违规行为，愿意承担相应法律责任。</w:t>
      </w:r>
    </w:p>
    <w:p w14:paraId="49636186">
      <w:p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⑸若中标，我公司将按照合同约定的时间、地点和方式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收购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物资，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并按国家要求进行废旧物资处置，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。</w:t>
      </w:r>
    </w:p>
    <w:p w14:paraId="3AEB2814">
      <w:pPr>
        <w:spacing w:line="360" w:lineRule="auto"/>
        <w:ind w:left="630" w:leftChars="200" w:hanging="210" w:hangingChars="1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⑹我公司保证所提供的所有资料真实、准确、有效，如有虚假，愿意接受相应处罚。 一旦我方中标，愿意按照招标文件和招标人的规定和要求签订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回收协议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，并信守合同。</w:t>
      </w:r>
    </w:p>
    <w:p w14:paraId="0D404330">
      <w:p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 w14:paraId="5F7392C8">
      <w:pPr>
        <w:spacing w:line="360" w:lineRule="auto"/>
        <w:ind w:left="420" w:left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 w14:paraId="4E5BF481">
      <w:p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                       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报价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商名称：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 xml:space="preserve">   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（盖单位章）</w:t>
      </w:r>
    </w:p>
    <w:p w14:paraId="51147B5D">
      <w:pPr>
        <w:spacing w:line="360" w:lineRule="auto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                                 </w:t>
      </w:r>
    </w:p>
    <w:p w14:paraId="5FCC6A98">
      <w:pPr>
        <w:spacing w:line="360" w:lineRule="auto"/>
        <w:ind w:firstLine="4200" w:firstLineChars="2000"/>
        <w:rPr>
          <w:rFonts w:hint="eastAsia" w:asciiTheme="minorEastAsia" w:hAnsiTheme="minorEastAsia" w:eastAsiaTheme="minorEastAsia" w:cstheme="minorEastAsia"/>
          <w:sz w:val="21"/>
          <w:szCs w:val="21"/>
        </w:rPr>
        <w:sectPr>
          <w:pgSz w:w="11906" w:h="16838"/>
          <w:pgMar w:top="1440" w:right="1191" w:bottom="1440" w:left="1191" w:header="851" w:footer="992" w:gutter="0"/>
          <w:pgNumType w:start="0"/>
          <w:cols w:space="720" w:num="1"/>
          <w:titlePg/>
          <w:docGrid w:type="lines" w:linePitch="312" w:charSpace="0"/>
        </w:sect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   日  期：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年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月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</w:rPr>
        <w:t xml:space="preserve">     </w:t>
      </w:r>
    </w:p>
    <w:p w14:paraId="58F1EE86">
      <w:pPr>
        <w:spacing w:line="560" w:lineRule="exact"/>
        <w:rPr>
          <w:rFonts w:hint="default" w:asciiTheme="minorEastAsia" w:hAnsiTheme="minorEastAsia" w:eastAsiaTheme="minorEastAsia" w:cstheme="minorEastAsia"/>
          <w:sz w:val="21"/>
          <w:szCs w:val="21"/>
          <w:lang w:val="en-US"/>
        </w:rPr>
        <w:sectPr>
          <w:footerReference r:id="rId8" w:type="default"/>
          <w:footerReference r:id="rId9" w:type="even"/>
          <w:pgSz w:w="11906" w:h="16838"/>
          <w:pgMar w:top="1440" w:right="1191" w:bottom="1440" w:left="1191" w:header="851" w:footer="992" w:gutter="0"/>
          <w:pgNumType w:start="0"/>
          <w:cols w:space="720" w:num="1"/>
          <w:titlePg/>
          <w:docGrid w:type="lines" w:linePitch="312" w:charSpace="0"/>
        </w:sectPr>
      </w:pPr>
      <w:r>
        <w:rPr>
          <w:rFonts w:hint="eastAsia" w:asciiTheme="minorEastAsia" w:hAnsiTheme="minorEastAsia" w:cstheme="minorEastAsia"/>
          <w:b/>
          <w:bCs/>
          <w:sz w:val="21"/>
          <w:szCs w:val="21"/>
          <w:lang w:val="en-US" w:eastAsia="zh-CN"/>
        </w:rPr>
        <w:t>三</w:t>
      </w: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、营业执照</w:t>
      </w:r>
      <w:r>
        <w:rPr>
          <w:rFonts w:hint="eastAsia" w:asciiTheme="minorEastAsia" w:hAnsiTheme="minorEastAsia" w:cstheme="minorEastAsia"/>
          <w:b/>
          <w:bCs/>
          <w:sz w:val="21"/>
          <w:szCs w:val="21"/>
          <w:lang w:val="en-US" w:eastAsia="zh-CN"/>
        </w:rPr>
        <w:t xml:space="preserve">  资质文件（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都需盖章）</w:t>
      </w:r>
    </w:p>
    <w:p w14:paraId="3677D61A">
      <w:pPr>
        <w:pStyle w:val="5"/>
        <w:bidi w:val="0"/>
        <w:rPr>
          <w:rFonts w:hint="eastAsia"/>
        </w:rPr>
      </w:pPr>
      <w:r>
        <w:drawing>
          <wp:inline distT="0" distB="0" distL="114300" distR="114300">
            <wp:extent cx="5261610" cy="2746375"/>
            <wp:effectExtent l="0" t="0" r="11430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74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footerReference r:id="rId10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金山简魏碑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B3C64F">
    <w:pPr>
      <w:pStyle w:val="11"/>
      <w:tabs>
        <w:tab w:val="left" w:pos="645"/>
        <w:tab w:val="clear" w:pos="4153"/>
        <w:tab w:val="clear" w:pos="8306"/>
      </w:tabs>
      <w:ind w:right="360"/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18F215">
    <w:pPr>
      <w:pStyle w:val="11"/>
      <w:ind w:right="360"/>
      <w:jc w:val="center"/>
    </w:pPr>
    <w:r>
      <w:fldChar w:fldCharType="begin"/>
    </w:r>
    <w:r>
      <w:rPr>
        <w:rStyle w:val="23"/>
      </w:rPr>
      <w:instrText xml:space="preserve"> PAGE </w:instrText>
    </w:r>
    <w:r>
      <w:fldChar w:fldCharType="separate"/>
    </w:r>
    <w:r>
      <w:rPr>
        <w:rStyle w:val="23"/>
      </w:rPr>
      <w:t>0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9FAC21">
    <w:pPr>
      <w:pStyle w:val="11"/>
      <w:framePr w:wrap="around" w:vAnchor="text" w:hAnchor="margin" w:xAlign="center" w:y="1"/>
      <w:rPr>
        <w:rStyle w:val="23"/>
      </w:rPr>
    </w:pPr>
    <w:r>
      <w:fldChar w:fldCharType="begin"/>
    </w:r>
    <w:r>
      <w:rPr>
        <w:rStyle w:val="23"/>
      </w:rPr>
      <w:instrText xml:space="preserve">PAGE  </w:instrText>
    </w:r>
    <w:r>
      <w:fldChar w:fldCharType="separate"/>
    </w:r>
    <w:r>
      <w:rPr>
        <w:rStyle w:val="23"/>
      </w:rPr>
      <w:t>1</w:t>
    </w:r>
    <w:r>
      <w:fldChar w:fldCharType="end"/>
    </w:r>
  </w:p>
  <w:p w14:paraId="5432E586">
    <w:pPr>
      <w:pStyle w:val="11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A48F3C">
    <w:pPr>
      <w:pStyle w:val="11"/>
      <w:framePr w:wrap="around" w:vAnchor="text" w:hAnchor="margin" w:xAlign="center" w:y="1"/>
      <w:rPr>
        <w:rStyle w:val="23"/>
      </w:rPr>
    </w:pPr>
    <w:r>
      <w:fldChar w:fldCharType="begin"/>
    </w:r>
    <w:r>
      <w:rPr>
        <w:rStyle w:val="23"/>
      </w:rPr>
      <w:instrText xml:space="preserve">PAGE  </w:instrText>
    </w:r>
    <w:r>
      <w:fldChar w:fldCharType="end"/>
    </w:r>
  </w:p>
  <w:p w14:paraId="5941F4AB">
    <w:pPr>
      <w:pStyle w:val="11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CD92B9">
    <w:pPr>
      <w:pStyle w:val="11"/>
      <w:framePr w:wrap="around" w:vAnchor="text" w:hAnchor="margin" w:xAlign="center" w:y="1"/>
      <w:rPr>
        <w:rStyle w:val="23"/>
      </w:rPr>
    </w:pPr>
    <w:r>
      <w:fldChar w:fldCharType="begin"/>
    </w:r>
    <w:r>
      <w:rPr>
        <w:rStyle w:val="23"/>
      </w:rPr>
      <w:instrText xml:space="preserve">PAGE  </w:instrText>
    </w:r>
    <w:r>
      <w:fldChar w:fldCharType="separate"/>
    </w:r>
    <w:r>
      <w:rPr>
        <w:rStyle w:val="23"/>
      </w:rPr>
      <w:t>1</w:t>
    </w:r>
    <w:r>
      <w:fldChar w:fldCharType="end"/>
    </w:r>
  </w:p>
  <w:p w14:paraId="4655A26A">
    <w:pPr>
      <w:pStyle w:val="11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E84162">
    <w:pPr>
      <w:pStyle w:val="11"/>
      <w:framePr w:wrap="around" w:vAnchor="text" w:hAnchor="margin" w:xAlign="center" w:y="1"/>
      <w:rPr>
        <w:rStyle w:val="23"/>
      </w:rPr>
    </w:pPr>
    <w:r>
      <w:fldChar w:fldCharType="begin"/>
    </w:r>
    <w:r>
      <w:rPr>
        <w:rStyle w:val="23"/>
      </w:rPr>
      <w:instrText xml:space="preserve">PAGE  </w:instrText>
    </w:r>
    <w:r>
      <w:fldChar w:fldCharType="end"/>
    </w:r>
  </w:p>
  <w:p w14:paraId="4AFC4D36">
    <w:pPr>
      <w:pStyle w:val="11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43EC11">
    <w:pPr>
      <w:pStyle w:val="11"/>
      <w:framePr w:wrap="around" w:vAnchor="text" w:hAnchor="margin" w:xAlign="center" w:y="1"/>
      <w:rPr>
        <w:rStyle w:val="23"/>
      </w:rPr>
    </w:pPr>
    <w:r>
      <w:fldChar w:fldCharType="begin"/>
    </w:r>
    <w:r>
      <w:rPr>
        <w:rStyle w:val="23"/>
      </w:rPr>
      <w:instrText xml:space="preserve">PAGE  </w:instrText>
    </w:r>
    <w:r>
      <w:fldChar w:fldCharType="separate"/>
    </w:r>
    <w:r>
      <w:rPr>
        <w:rStyle w:val="23"/>
      </w:rPr>
      <w:t>1</w:t>
    </w:r>
    <w:r>
      <w:fldChar w:fldCharType="end"/>
    </w:r>
  </w:p>
  <w:p w14:paraId="7BADD2CA">
    <w:pPr>
      <w:pStyle w:val="11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2520CD">
    <w:pPr>
      <w:autoSpaceDE w:val="0"/>
      <w:autoSpaceDN w:val="0"/>
      <w:adjustRightInd w:val="0"/>
      <w:spacing w:before="100" w:after="100"/>
      <w:rPr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5612F23"/>
    <w:multiLevelType w:val="singleLevel"/>
    <w:tmpl w:val="45612F2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yOGYyNzU4ZjdjOWViYjQ0ZDczZWJlNGIxYWRkMDkifQ=="/>
  </w:docVars>
  <w:rsids>
    <w:rsidRoot w:val="0065569C"/>
    <w:rsid w:val="00000A88"/>
    <w:rsid w:val="00003FDE"/>
    <w:rsid w:val="00005CF9"/>
    <w:rsid w:val="000138D0"/>
    <w:rsid w:val="00017EA1"/>
    <w:rsid w:val="00035DC6"/>
    <w:rsid w:val="00044B92"/>
    <w:rsid w:val="0005211C"/>
    <w:rsid w:val="00052910"/>
    <w:rsid w:val="0006135C"/>
    <w:rsid w:val="00061A36"/>
    <w:rsid w:val="00065543"/>
    <w:rsid w:val="00066988"/>
    <w:rsid w:val="00071230"/>
    <w:rsid w:val="00071C22"/>
    <w:rsid w:val="000722E8"/>
    <w:rsid w:val="0007785F"/>
    <w:rsid w:val="0008220C"/>
    <w:rsid w:val="0008625B"/>
    <w:rsid w:val="000A3E50"/>
    <w:rsid w:val="000A4117"/>
    <w:rsid w:val="000B2E60"/>
    <w:rsid w:val="000C142F"/>
    <w:rsid w:val="000C1EB1"/>
    <w:rsid w:val="000D0DAB"/>
    <w:rsid w:val="000F24C0"/>
    <w:rsid w:val="000F718E"/>
    <w:rsid w:val="00100B54"/>
    <w:rsid w:val="00104EBC"/>
    <w:rsid w:val="0011300F"/>
    <w:rsid w:val="001212CE"/>
    <w:rsid w:val="0013608B"/>
    <w:rsid w:val="001427EF"/>
    <w:rsid w:val="001509F1"/>
    <w:rsid w:val="00161949"/>
    <w:rsid w:val="00172B3E"/>
    <w:rsid w:val="00172C7A"/>
    <w:rsid w:val="00174952"/>
    <w:rsid w:val="00174C25"/>
    <w:rsid w:val="00190BEB"/>
    <w:rsid w:val="00194F5E"/>
    <w:rsid w:val="00195548"/>
    <w:rsid w:val="001D2A71"/>
    <w:rsid w:val="001D38BC"/>
    <w:rsid w:val="001D59C1"/>
    <w:rsid w:val="001E2525"/>
    <w:rsid w:val="001E501C"/>
    <w:rsid w:val="001E578D"/>
    <w:rsid w:val="001F30C8"/>
    <w:rsid w:val="00205084"/>
    <w:rsid w:val="00213B8E"/>
    <w:rsid w:val="00214289"/>
    <w:rsid w:val="002203ED"/>
    <w:rsid w:val="0022557E"/>
    <w:rsid w:val="00227339"/>
    <w:rsid w:val="00262E43"/>
    <w:rsid w:val="00270166"/>
    <w:rsid w:val="0027355F"/>
    <w:rsid w:val="00295E7C"/>
    <w:rsid w:val="002A2975"/>
    <w:rsid w:val="002B37D6"/>
    <w:rsid w:val="002C0F82"/>
    <w:rsid w:val="002C4DAC"/>
    <w:rsid w:val="002D02EB"/>
    <w:rsid w:val="002D0865"/>
    <w:rsid w:val="002D190E"/>
    <w:rsid w:val="002E3D5D"/>
    <w:rsid w:val="002E7A79"/>
    <w:rsid w:val="002E7F96"/>
    <w:rsid w:val="00301EF7"/>
    <w:rsid w:val="0031109D"/>
    <w:rsid w:val="00312836"/>
    <w:rsid w:val="003138C1"/>
    <w:rsid w:val="00335D84"/>
    <w:rsid w:val="00337D58"/>
    <w:rsid w:val="0034055A"/>
    <w:rsid w:val="003414F3"/>
    <w:rsid w:val="003470FC"/>
    <w:rsid w:val="003476B8"/>
    <w:rsid w:val="003522B3"/>
    <w:rsid w:val="00352852"/>
    <w:rsid w:val="003550A6"/>
    <w:rsid w:val="003646F9"/>
    <w:rsid w:val="003666B5"/>
    <w:rsid w:val="00372182"/>
    <w:rsid w:val="003762CA"/>
    <w:rsid w:val="00383CF0"/>
    <w:rsid w:val="00393C4C"/>
    <w:rsid w:val="003A30DB"/>
    <w:rsid w:val="003A6BF8"/>
    <w:rsid w:val="003C0DF1"/>
    <w:rsid w:val="003D2982"/>
    <w:rsid w:val="003D2A0C"/>
    <w:rsid w:val="003D39EC"/>
    <w:rsid w:val="003D5F59"/>
    <w:rsid w:val="003D64A9"/>
    <w:rsid w:val="003D6656"/>
    <w:rsid w:val="003E4EC9"/>
    <w:rsid w:val="0040534D"/>
    <w:rsid w:val="00427D3E"/>
    <w:rsid w:val="00435A40"/>
    <w:rsid w:val="004448F3"/>
    <w:rsid w:val="0045342B"/>
    <w:rsid w:val="004620A2"/>
    <w:rsid w:val="00462F2A"/>
    <w:rsid w:val="004633FD"/>
    <w:rsid w:val="00467908"/>
    <w:rsid w:val="004A40F2"/>
    <w:rsid w:val="004B55EE"/>
    <w:rsid w:val="004B7B6D"/>
    <w:rsid w:val="004C3A30"/>
    <w:rsid w:val="004C645A"/>
    <w:rsid w:val="004D6284"/>
    <w:rsid w:val="004D69C7"/>
    <w:rsid w:val="004E033B"/>
    <w:rsid w:val="004E1035"/>
    <w:rsid w:val="004E6ED5"/>
    <w:rsid w:val="004F4AB3"/>
    <w:rsid w:val="004F5A03"/>
    <w:rsid w:val="00501B9F"/>
    <w:rsid w:val="00504752"/>
    <w:rsid w:val="00520A4A"/>
    <w:rsid w:val="00525759"/>
    <w:rsid w:val="00532F4F"/>
    <w:rsid w:val="00533F31"/>
    <w:rsid w:val="00537419"/>
    <w:rsid w:val="0054013B"/>
    <w:rsid w:val="00543302"/>
    <w:rsid w:val="00545CF4"/>
    <w:rsid w:val="00560394"/>
    <w:rsid w:val="00561297"/>
    <w:rsid w:val="00561358"/>
    <w:rsid w:val="00561B9C"/>
    <w:rsid w:val="00564D36"/>
    <w:rsid w:val="00573D09"/>
    <w:rsid w:val="00585356"/>
    <w:rsid w:val="005A0761"/>
    <w:rsid w:val="005A650E"/>
    <w:rsid w:val="005C0AA7"/>
    <w:rsid w:val="005C2AF9"/>
    <w:rsid w:val="005C2F1E"/>
    <w:rsid w:val="005C4C3F"/>
    <w:rsid w:val="005C5058"/>
    <w:rsid w:val="005C51F1"/>
    <w:rsid w:val="005C6BCB"/>
    <w:rsid w:val="005D5A4B"/>
    <w:rsid w:val="005E4B9F"/>
    <w:rsid w:val="005E51FE"/>
    <w:rsid w:val="005E6A61"/>
    <w:rsid w:val="005E6A67"/>
    <w:rsid w:val="005F62E3"/>
    <w:rsid w:val="006100B4"/>
    <w:rsid w:val="0062287A"/>
    <w:rsid w:val="0063138C"/>
    <w:rsid w:val="00637A3F"/>
    <w:rsid w:val="00642EC8"/>
    <w:rsid w:val="00644EEC"/>
    <w:rsid w:val="00653EE2"/>
    <w:rsid w:val="0065569C"/>
    <w:rsid w:val="0065589D"/>
    <w:rsid w:val="00660712"/>
    <w:rsid w:val="0067099D"/>
    <w:rsid w:val="00674861"/>
    <w:rsid w:val="00683C35"/>
    <w:rsid w:val="006947BA"/>
    <w:rsid w:val="006A41BC"/>
    <w:rsid w:val="006B0C12"/>
    <w:rsid w:val="006D6169"/>
    <w:rsid w:val="006D68F2"/>
    <w:rsid w:val="006E2ACF"/>
    <w:rsid w:val="006E42DF"/>
    <w:rsid w:val="006F5241"/>
    <w:rsid w:val="007007B8"/>
    <w:rsid w:val="00710417"/>
    <w:rsid w:val="00715769"/>
    <w:rsid w:val="007175C3"/>
    <w:rsid w:val="00725B99"/>
    <w:rsid w:val="00725D3D"/>
    <w:rsid w:val="0072609D"/>
    <w:rsid w:val="0073164B"/>
    <w:rsid w:val="00732403"/>
    <w:rsid w:val="00740DBE"/>
    <w:rsid w:val="00741BE9"/>
    <w:rsid w:val="007542CF"/>
    <w:rsid w:val="00766E8D"/>
    <w:rsid w:val="007712E5"/>
    <w:rsid w:val="00775ECF"/>
    <w:rsid w:val="007812BD"/>
    <w:rsid w:val="007860DE"/>
    <w:rsid w:val="00792619"/>
    <w:rsid w:val="007A069F"/>
    <w:rsid w:val="007A1660"/>
    <w:rsid w:val="007A51B4"/>
    <w:rsid w:val="007A5F8C"/>
    <w:rsid w:val="007C17B7"/>
    <w:rsid w:val="007C3F2D"/>
    <w:rsid w:val="007D29EB"/>
    <w:rsid w:val="007E6D3F"/>
    <w:rsid w:val="007F2EA0"/>
    <w:rsid w:val="007F53CF"/>
    <w:rsid w:val="00805453"/>
    <w:rsid w:val="00805D41"/>
    <w:rsid w:val="008105C3"/>
    <w:rsid w:val="00810A47"/>
    <w:rsid w:val="00812E44"/>
    <w:rsid w:val="008336F8"/>
    <w:rsid w:val="00841F48"/>
    <w:rsid w:val="00871447"/>
    <w:rsid w:val="008748A5"/>
    <w:rsid w:val="00891A2B"/>
    <w:rsid w:val="0089653A"/>
    <w:rsid w:val="008A0274"/>
    <w:rsid w:val="008A69E3"/>
    <w:rsid w:val="008B2B56"/>
    <w:rsid w:val="008B49BF"/>
    <w:rsid w:val="008B702E"/>
    <w:rsid w:val="008C239C"/>
    <w:rsid w:val="008C3CB5"/>
    <w:rsid w:val="008D0870"/>
    <w:rsid w:val="008D7341"/>
    <w:rsid w:val="008E0218"/>
    <w:rsid w:val="008E2166"/>
    <w:rsid w:val="008E36F4"/>
    <w:rsid w:val="008E496A"/>
    <w:rsid w:val="008E4B82"/>
    <w:rsid w:val="008E4DF4"/>
    <w:rsid w:val="008F12B1"/>
    <w:rsid w:val="008F66F7"/>
    <w:rsid w:val="00902597"/>
    <w:rsid w:val="0090667F"/>
    <w:rsid w:val="009208C0"/>
    <w:rsid w:val="00923C6B"/>
    <w:rsid w:val="0092587A"/>
    <w:rsid w:val="00925DF5"/>
    <w:rsid w:val="00952C4B"/>
    <w:rsid w:val="00953BFF"/>
    <w:rsid w:val="009608C8"/>
    <w:rsid w:val="00961BCB"/>
    <w:rsid w:val="00966557"/>
    <w:rsid w:val="00973E4D"/>
    <w:rsid w:val="009775B6"/>
    <w:rsid w:val="00977EC1"/>
    <w:rsid w:val="009876E0"/>
    <w:rsid w:val="00993B97"/>
    <w:rsid w:val="00993CEF"/>
    <w:rsid w:val="00996ACF"/>
    <w:rsid w:val="009B35E0"/>
    <w:rsid w:val="009C18F3"/>
    <w:rsid w:val="009C4309"/>
    <w:rsid w:val="009C5041"/>
    <w:rsid w:val="009D0F62"/>
    <w:rsid w:val="009D2416"/>
    <w:rsid w:val="009E3DF6"/>
    <w:rsid w:val="009E7305"/>
    <w:rsid w:val="009F2FCD"/>
    <w:rsid w:val="00A01C7B"/>
    <w:rsid w:val="00A20F8B"/>
    <w:rsid w:val="00A2500C"/>
    <w:rsid w:val="00A30F6D"/>
    <w:rsid w:val="00A44276"/>
    <w:rsid w:val="00A52FB5"/>
    <w:rsid w:val="00A70652"/>
    <w:rsid w:val="00A76C72"/>
    <w:rsid w:val="00A82099"/>
    <w:rsid w:val="00A86EB3"/>
    <w:rsid w:val="00A945A7"/>
    <w:rsid w:val="00A9571D"/>
    <w:rsid w:val="00A967EE"/>
    <w:rsid w:val="00AA2C4C"/>
    <w:rsid w:val="00AB5F82"/>
    <w:rsid w:val="00AC3ABC"/>
    <w:rsid w:val="00AC4B9D"/>
    <w:rsid w:val="00AC7A9E"/>
    <w:rsid w:val="00AE06F0"/>
    <w:rsid w:val="00AE0FC0"/>
    <w:rsid w:val="00AF688D"/>
    <w:rsid w:val="00B10379"/>
    <w:rsid w:val="00B12B53"/>
    <w:rsid w:val="00B204A9"/>
    <w:rsid w:val="00B24FFF"/>
    <w:rsid w:val="00B40D20"/>
    <w:rsid w:val="00B4274F"/>
    <w:rsid w:val="00B55EA0"/>
    <w:rsid w:val="00B61092"/>
    <w:rsid w:val="00B64EA1"/>
    <w:rsid w:val="00B65751"/>
    <w:rsid w:val="00B66EE0"/>
    <w:rsid w:val="00B7470B"/>
    <w:rsid w:val="00B82DBD"/>
    <w:rsid w:val="00B82FDA"/>
    <w:rsid w:val="00B831F0"/>
    <w:rsid w:val="00B835BF"/>
    <w:rsid w:val="00B83D0F"/>
    <w:rsid w:val="00B929BE"/>
    <w:rsid w:val="00BA2D0B"/>
    <w:rsid w:val="00BA54FE"/>
    <w:rsid w:val="00BB6C69"/>
    <w:rsid w:val="00BC3933"/>
    <w:rsid w:val="00BD2FAA"/>
    <w:rsid w:val="00BE732A"/>
    <w:rsid w:val="00BF5864"/>
    <w:rsid w:val="00BF5F53"/>
    <w:rsid w:val="00C068FD"/>
    <w:rsid w:val="00C07394"/>
    <w:rsid w:val="00C12AB1"/>
    <w:rsid w:val="00C16D22"/>
    <w:rsid w:val="00C172FB"/>
    <w:rsid w:val="00C23E07"/>
    <w:rsid w:val="00C2542F"/>
    <w:rsid w:val="00C34112"/>
    <w:rsid w:val="00C42056"/>
    <w:rsid w:val="00C44139"/>
    <w:rsid w:val="00C6057C"/>
    <w:rsid w:val="00C67A65"/>
    <w:rsid w:val="00C71715"/>
    <w:rsid w:val="00C92639"/>
    <w:rsid w:val="00C9715B"/>
    <w:rsid w:val="00CA0206"/>
    <w:rsid w:val="00CA4F7E"/>
    <w:rsid w:val="00CA5458"/>
    <w:rsid w:val="00CB0A7E"/>
    <w:rsid w:val="00CB15AF"/>
    <w:rsid w:val="00CB2D5B"/>
    <w:rsid w:val="00CC4E32"/>
    <w:rsid w:val="00CC6A94"/>
    <w:rsid w:val="00CC72C9"/>
    <w:rsid w:val="00CD4F90"/>
    <w:rsid w:val="00CD7CCE"/>
    <w:rsid w:val="00CE2297"/>
    <w:rsid w:val="00CF0C6E"/>
    <w:rsid w:val="00CF152A"/>
    <w:rsid w:val="00CF1911"/>
    <w:rsid w:val="00CF30F1"/>
    <w:rsid w:val="00CF7276"/>
    <w:rsid w:val="00D00BC6"/>
    <w:rsid w:val="00D03629"/>
    <w:rsid w:val="00D0370B"/>
    <w:rsid w:val="00D05740"/>
    <w:rsid w:val="00D10C8F"/>
    <w:rsid w:val="00D21D2E"/>
    <w:rsid w:val="00D24AD3"/>
    <w:rsid w:val="00D27F8A"/>
    <w:rsid w:val="00D30598"/>
    <w:rsid w:val="00D32997"/>
    <w:rsid w:val="00D3746D"/>
    <w:rsid w:val="00D42E99"/>
    <w:rsid w:val="00D4404E"/>
    <w:rsid w:val="00D54747"/>
    <w:rsid w:val="00D54B54"/>
    <w:rsid w:val="00D66C88"/>
    <w:rsid w:val="00D73FDA"/>
    <w:rsid w:val="00D80B8F"/>
    <w:rsid w:val="00DA7914"/>
    <w:rsid w:val="00DB4E8D"/>
    <w:rsid w:val="00DC28D7"/>
    <w:rsid w:val="00DC308B"/>
    <w:rsid w:val="00DC661D"/>
    <w:rsid w:val="00DE12E2"/>
    <w:rsid w:val="00DE33D0"/>
    <w:rsid w:val="00DE52F3"/>
    <w:rsid w:val="00DE5648"/>
    <w:rsid w:val="00DE64E3"/>
    <w:rsid w:val="00DF0BD8"/>
    <w:rsid w:val="00DF1753"/>
    <w:rsid w:val="00E00269"/>
    <w:rsid w:val="00E0273F"/>
    <w:rsid w:val="00E0351C"/>
    <w:rsid w:val="00E11335"/>
    <w:rsid w:val="00E117B3"/>
    <w:rsid w:val="00E13267"/>
    <w:rsid w:val="00E23E49"/>
    <w:rsid w:val="00E324B9"/>
    <w:rsid w:val="00E33C43"/>
    <w:rsid w:val="00E42739"/>
    <w:rsid w:val="00E45179"/>
    <w:rsid w:val="00E454BC"/>
    <w:rsid w:val="00E65122"/>
    <w:rsid w:val="00E67ADB"/>
    <w:rsid w:val="00E70EA2"/>
    <w:rsid w:val="00E7146C"/>
    <w:rsid w:val="00E7505E"/>
    <w:rsid w:val="00E7542E"/>
    <w:rsid w:val="00E7711F"/>
    <w:rsid w:val="00E87C9B"/>
    <w:rsid w:val="00E9142E"/>
    <w:rsid w:val="00E91EA2"/>
    <w:rsid w:val="00E935F6"/>
    <w:rsid w:val="00E944A0"/>
    <w:rsid w:val="00E94CF8"/>
    <w:rsid w:val="00E965E0"/>
    <w:rsid w:val="00EA2469"/>
    <w:rsid w:val="00EA54A9"/>
    <w:rsid w:val="00EA5D30"/>
    <w:rsid w:val="00EB39ED"/>
    <w:rsid w:val="00EC4353"/>
    <w:rsid w:val="00ED03DD"/>
    <w:rsid w:val="00ED700E"/>
    <w:rsid w:val="00EE2879"/>
    <w:rsid w:val="00EF4688"/>
    <w:rsid w:val="00F0047E"/>
    <w:rsid w:val="00F02FF4"/>
    <w:rsid w:val="00F142A0"/>
    <w:rsid w:val="00F165B6"/>
    <w:rsid w:val="00F417A8"/>
    <w:rsid w:val="00F43B59"/>
    <w:rsid w:val="00F43EF6"/>
    <w:rsid w:val="00F4527F"/>
    <w:rsid w:val="00F542A9"/>
    <w:rsid w:val="00F709E5"/>
    <w:rsid w:val="00F76284"/>
    <w:rsid w:val="00F81105"/>
    <w:rsid w:val="00F847F0"/>
    <w:rsid w:val="00F876B4"/>
    <w:rsid w:val="00F91B80"/>
    <w:rsid w:val="00F91CE2"/>
    <w:rsid w:val="00F95B40"/>
    <w:rsid w:val="00F96F43"/>
    <w:rsid w:val="00FC166C"/>
    <w:rsid w:val="00FC7AB9"/>
    <w:rsid w:val="00FD4A4A"/>
    <w:rsid w:val="00FE4088"/>
    <w:rsid w:val="00FE6B97"/>
    <w:rsid w:val="017D438D"/>
    <w:rsid w:val="0192652E"/>
    <w:rsid w:val="02AB256F"/>
    <w:rsid w:val="02C37C16"/>
    <w:rsid w:val="02EF6D93"/>
    <w:rsid w:val="02FE6509"/>
    <w:rsid w:val="0323465A"/>
    <w:rsid w:val="038F62BE"/>
    <w:rsid w:val="03A80897"/>
    <w:rsid w:val="03BC1030"/>
    <w:rsid w:val="041E3808"/>
    <w:rsid w:val="043B2184"/>
    <w:rsid w:val="04675A50"/>
    <w:rsid w:val="047542D8"/>
    <w:rsid w:val="0475718F"/>
    <w:rsid w:val="0485137E"/>
    <w:rsid w:val="04B2316F"/>
    <w:rsid w:val="04C66C1A"/>
    <w:rsid w:val="04D1736D"/>
    <w:rsid w:val="05573D16"/>
    <w:rsid w:val="057443B4"/>
    <w:rsid w:val="05C017FD"/>
    <w:rsid w:val="05EC445F"/>
    <w:rsid w:val="064015C4"/>
    <w:rsid w:val="0687687D"/>
    <w:rsid w:val="06F2489E"/>
    <w:rsid w:val="070268E6"/>
    <w:rsid w:val="070B4DB8"/>
    <w:rsid w:val="07153A96"/>
    <w:rsid w:val="07501427"/>
    <w:rsid w:val="076636BD"/>
    <w:rsid w:val="08084777"/>
    <w:rsid w:val="08287FF1"/>
    <w:rsid w:val="09157676"/>
    <w:rsid w:val="094A00EB"/>
    <w:rsid w:val="094D7C7A"/>
    <w:rsid w:val="097507C7"/>
    <w:rsid w:val="097D22E2"/>
    <w:rsid w:val="098403FE"/>
    <w:rsid w:val="098967ED"/>
    <w:rsid w:val="09AD2157"/>
    <w:rsid w:val="09E518F1"/>
    <w:rsid w:val="0A1D35CB"/>
    <w:rsid w:val="0A3C4D43"/>
    <w:rsid w:val="0AE9221C"/>
    <w:rsid w:val="0B6C6FDB"/>
    <w:rsid w:val="0B7E2F67"/>
    <w:rsid w:val="0BA23811"/>
    <w:rsid w:val="0BB33AA3"/>
    <w:rsid w:val="0C437A8C"/>
    <w:rsid w:val="0C542D5E"/>
    <w:rsid w:val="0C5F0F6E"/>
    <w:rsid w:val="0C9867BF"/>
    <w:rsid w:val="0CF63E15"/>
    <w:rsid w:val="0D004BE0"/>
    <w:rsid w:val="0D6635DC"/>
    <w:rsid w:val="0DCE25C5"/>
    <w:rsid w:val="0E9733D5"/>
    <w:rsid w:val="0EC51CF1"/>
    <w:rsid w:val="0F783207"/>
    <w:rsid w:val="0F797A29"/>
    <w:rsid w:val="0FBB34F5"/>
    <w:rsid w:val="0FD06B9F"/>
    <w:rsid w:val="0FFD54BA"/>
    <w:rsid w:val="10525110"/>
    <w:rsid w:val="110E3FBE"/>
    <w:rsid w:val="110E7C3C"/>
    <w:rsid w:val="118F0649"/>
    <w:rsid w:val="11CD523F"/>
    <w:rsid w:val="120F5BA7"/>
    <w:rsid w:val="1235718D"/>
    <w:rsid w:val="126B06F3"/>
    <w:rsid w:val="128A3A09"/>
    <w:rsid w:val="12A6008B"/>
    <w:rsid w:val="12D009A7"/>
    <w:rsid w:val="13995836"/>
    <w:rsid w:val="13C54541"/>
    <w:rsid w:val="1413253C"/>
    <w:rsid w:val="144803B4"/>
    <w:rsid w:val="14676D7E"/>
    <w:rsid w:val="151B6B0E"/>
    <w:rsid w:val="15916DD0"/>
    <w:rsid w:val="15B61CF7"/>
    <w:rsid w:val="161A7E53"/>
    <w:rsid w:val="16413351"/>
    <w:rsid w:val="164E090F"/>
    <w:rsid w:val="16937390"/>
    <w:rsid w:val="16D0758F"/>
    <w:rsid w:val="172F5937"/>
    <w:rsid w:val="17660053"/>
    <w:rsid w:val="177C482D"/>
    <w:rsid w:val="17EA5768"/>
    <w:rsid w:val="17FE0021"/>
    <w:rsid w:val="186A1000"/>
    <w:rsid w:val="18C532AF"/>
    <w:rsid w:val="1901601B"/>
    <w:rsid w:val="190E59FE"/>
    <w:rsid w:val="1925518F"/>
    <w:rsid w:val="192A37C4"/>
    <w:rsid w:val="19393A07"/>
    <w:rsid w:val="196842EC"/>
    <w:rsid w:val="19716D23"/>
    <w:rsid w:val="1A294B27"/>
    <w:rsid w:val="1A683441"/>
    <w:rsid w:val="1AEE1097"/>
    <w:rsid w:val="1AFC1190"/>
    <w:rsid w:val="1C024584"/>
    <w:rsid w:val="1C4C57FF"/>
    <w:rsid w:val="1D64697C"/>
    <w:rsid w:val="1DD969AB"/>
    <w:rsid w:val="1E1B3B16"/>
    <w:rsid w:val="1E933BB9"/>
    <w:rsid w:val="1E9F5249"/>
    <w:rsid w:val="1ED14404"/>
    <w:rsid w:val="1EF74148"/>
    <w:rsid w:val="1F7E48B7"/>
    <w:rsid w:val="1FA15E62"/>
    <w:rsid w:val="1FDB7383"/>
    <w:rsid w:val="2011008C"/>
    <w:rsid w:val="201306C3"/>
    <w:rsid w:val="207A70D9"/>
    <w:rsid w:val="20A629C0"/>
    <w:rsid w:val="20D504B9"/>
    <w:rsid w:val="21196F94"/>
    <w:rsid w:val="21263865"/>
    <w:rsid w:val="213571AA"/>
    <w:rsid w:val="217D645B"/>
    <w:rsid w:val="21843C8D"/>
    <w:rsid w:val="21EB5ABA"/>
    <w:rsid w:val="21F13065"/>
    <w:rsid w:val="2201708C"/>
    <w:rsid w:val="22A07CA6"/>
    <w:rsid w:val="237F15B6"/>
    <w:rsid w:val="238166D6"/>
    <w:rsid w:val="240E783E"/>
    <w:rsid w:val="246966F1"/>
    <w:rsid w:val="2470465E"/>
    <w:rsid w:val="24A56041"/>
    <w:rsid w:val="24F6510A"/>
    <w:rsid w:val="24FA55ED"/>
    <w:rsid w:val="25BC570A"/>
    <w:rsid w:val="25BD0469"/>
    <w:rsid w:val="25CC5B88"/>
    <w:rsid w:val="26933E36"/>
    <w:rsid w:val="26BC19A6"/>
    <w:rsid w:val="2728794E"/>
    <w:rsid w:val="274E2D73"/>
    <w:rsid w:val="2798776A"/>
    <w:rsid w:val="279E3E6D"/>
    <w:rsid w:val="27A73E71"/>
    <w:rsid w:val="27B8643F"/>
    <w:rsid w:val="27BF157B"/>
    <w:rsid w:val="28564D7B"/>
    <w:rsid w:val="288A4590"/>
    <w:rsid w:val="289607B9"/>
    <w:rsid w:val="28F11C08"/>
    <w:rsid w:val="290166AE"/>
    <w:rsid w:val="294A0D31"/>
    <w:rsid w:val="29CF276D"/>
    <w:rsid w:val="2A474B0A"/>
    <w:rsid w:val="2A494963"/>
    <w:rsid w:val="2A5A72A6"/>
    <w:rsid w:val="2A7A0382"/>
    <w:rsid w:val="2A8D3BB3"/>
    <w:rsid w:val="2AAB5DE7"/>
    <w:rsid w:val="2AC075D6"/>
    <w:rsid w:val="2B0F5533"/>
    <w:rsid w:val="2B25450F"/>
    <w:rsid w:val="2BB06B2B"/>
    <w:rsid w:val="2C0635BA"/>
    <w:rsid w:val="2C22032B"/>
    <w:rsid w:val="2C612895"/>
    <w:rsid w:val="2C672453"/>
    <w:rsid w:val="2CFC261D"/>
    <w:rsid w:val="2D9E2EE5"/>
    <w:rsid w:val="2E237314"/>
    <w:rsid w:val="2EB34696"/>
    <w:rsid w:val="2EC03E0B"/>
    <w:rsid w:val="2EE64169"/>
    <w:rsid w:val="2FCC2B64"/>
    <w:rsid w:val="2FD91648"/>
    <w:rsid w:val="300E355A"/>
    <w:rsid w:val="30337F16"/>
    <w:rsid w:val="30464A25"/>
    <w:rsid w:val="30474025"/>
    <w:rsid w:val="3082583C"/>
    <w:rsid w:val="30EF3CC6"/>
    <w:rsid w:val="31A45B7D"/>
    <w:rsid w:val="31A5035D"/>
    <w:rsid w:val="326E7E26"/>
    <w:rsid w:val="32A735AF"/>
    <w:rsid w:val="32C1481E"/>
    <w:rsid w:val="32FA790B"/>
    <w:rsid w:val="33093FF2"/>
    <w:rsid w:val="33980AB1"/>
    <w:rsid w:val="33AC157E"/>
    <w:rsid w:val="33D52499"/>
    <w:rsid w:val="344A7D4E"/>
    <w:rsid w:val="347D19AD"/>
    <w:rsid w:val="34C32719"/>
    <w:rsid w:val="34DD74E5"/>
    <w:rsid w:val="34E44129"/>
    <w:rsid w:val="34E65643"/>
    <w:rsid w:val="34F06EA9"/>
    <w:rsid w:val="3539753D"/>
    <w:rsid w:val="35553C0F"/>
    <w:rsid w:val="35771A99"/>
    <w:rsid w:val="35CE6E2D"/>
    <w:rsid w:val="35F2150E"/>
    <w:rsid w:val="361436EF"/>
    <w:rsid w:val="362C654F"/>
    <w:rsid w:val="363656FF"/>
    <w:rsid w:val="363D49D0"/>
    <w:rsid w:val="36481456"/>
    <w:rsid w:val="36A71B58"/>
    <w:rsid w:val="36F3056E"/>
    <w:rsid w:val="371A057C"/>
    <w:rsid w:val="37296A11"/>
    <w:rsid w:val="379522F8"/>
    <w:rsid w:val="37F56BA7"/>
    <w:rsid w:val="388861A3"/>
    <w:rsid w:val="38DC340E"/>
    <w:rsid w:val="39426BDA"/>
    <w:rsid w:val="395A55A8"/>
    <w:rsid w:val="39CE1AF2"/>
    <w:rsid w:val="39D95CDA"/>
    <w:rsid w:val="3A801D52"/>
    <w:rsid w:val="3ABF1B60"/>
    <w:rsid w:val="3B10121D"/>
    <w:rsid w:val="3BA23F27"/>
    <w:rsid w:val="3BB75F0B"/>
    <w:rsid w:val="3BF62074"/>
    <w:rsid w:val="3D2D4ECB"/>
    <w:rsid w:val="3D544CEB"/>
    <w:rsid w:val="3D8E7046"/>
    <w:rsid w:val="3DB1150E"/>
    <w:rsid w:val="3DD85B51"/>
    <w:rsid w:val="3E197344"/>
    <w:rsid w:val="3E583D12"/>
    <w:rsid w:val="3EC22693"/>
    <w:rsid w:val="3F213F33"/>
    <w:rsid w:val="3FE536F1"/>
    <w:rsid w:val="3FFF2A05"/>
    <w:rsid w:val="40083152"/>
    <w:rsid w:val="40085CD0"/>
    <w:rsid w:val="4041301D"/>
    <w:rsid w:val="416449B9"/>
    <w:rsid w:val="42587944"/>
    <w:rsid w:val="42932E0A"/>
    <w:rsid w:val="42A7117F"/>
    <w:rsid w:val="43243278"/>
    <w:rsid w:val="433A3D54"/>
    <w:rsid w:val="435B56FC"/>
    <w:rsid w:val="43884ABF"/>
    <w:rsid w:val="43B236C4"/>
    <w:rsid w:val="43D63A7D"/>
    <w:rsid w:val="44411F65"/>
    <w:rsid w:val="44A00219"/>
    <w:rsid w:val="44C36F40"/>
    <w:rsid w:val="44D83825"/>
    <w:rsid w:val="452E1696"/>
    <w:rsid w:val="45367494"/>
    <w:rsid w:val="454B3FF6"/>
    <w:rsid w:val="45877724"/>
    <w:rsid w:val="46282733"/>
    <w:rsid w:val="467A2DE5"/>
    <w:rsid w:val="470A03A4"/>
    <w:rsid w:val="47F46EAE"/>
    <w:rsid w:val="480E54C6"/>
    <w:rsid w:val="48724017"/>
    <w:rsid w:val="48750F6C"/>
    <w:rsid w:val="492B4B3C"/>
    <w:rsid w:val="4A185620"/>
    <w:rsid w:val="4A6F4C2B"/>
    <w:rsid w:val="4B964C95"/>
    <w:rsid w:val="4BDF7931"/>
    <w:rsid w:val="4D477799"/>
    <w:rsid w:val="4DB36BDD"/>
    <w:rsid w:val="4DCF4AEB"/>
    <w:rsid w:val="4DFA7BDD"/>
    <w:rsid w:val="4E0D1159"/>
    <w:rsid w:val="4E5A52AA"/>
    <w:rsid w:val="4ED908C5"/>
    <w:rsid w:val="4EE10E98"/>
    <w:rsid w:val="4EE97C85"/>
    <w:rsid w:val="4F203C16"/>
    <w:rsid w:val="4FE70DC0"/>
    <w:rsid w:val="502E581F"/>
    <w:rsid w:val="507B582D"/>
    <w:rsid w:val="50CC06E1"/>
    <w:rsid w:val="50F46497"/>
    <w:rsid w:val="514328A4"/>
    <w:rsid w:val="51875472"/>
    <w:rsid w:val="51890380"/>
    <w:rsid w:val="51EA7BD9"/>
    <w:rsid w:val="51F577C4"/>
    <w:rsid w:val="52712853"/>
    <w:rsid w:val="52884ADC"/>
    <w:rsid w:val="52A80CDA"/>
    <w:rsid w:val="533212A1"/>
    <w:rsid w:val="53EE72C6"/>
    <w:rsid w:val="547B6AD0"/>
    <w:rsid w:val="54887ACF"/>
    <w:rsid w:val="548B2661"/>
    <w:rsid w:val="54AA722A"/>
    <w:rsid w:val="54E00A4E"/>
    <w:rsid w:val="54FC55F1"/>
    <w:rsid w:val="553B4087"/>
    <w:rsid w:val="55BE4F5F"/>
    <w:rsid w:val="55E22755"/>
    <w:rsid w:val="56847368"/>
    <w:rsid w:val="57193C9E"/>
    <w:rsid w:val="57541431"/>
    <w:rsid w:val="576C2775"/>
    <w:rsid w:val="57D63BF4"/>
    <w:rsid w:val="582043A3"/>
    <w:rsid w:val="586048F0"/>
    <w:rsid w:val="588549CE"/>
    <w:rsid w:val="58AE7DA1"/>
    <w:rsid w:val="58DD7D9A"/>
    <w:rsid w:val="59977480"/>
    <w:rsid w:val="59AD4E28"/>
    <w:rsid w:val="5A8A765A"/>
    <w:rsid w:val="5AC661A1"/>
    <w:rsid w:val="5B1D65E8"/>
    <w:rsid w:val="5B32014C"/>
    <w:rsid w:val="5C8C341B"/>
    <w:rsid w:val="5CA93512"/>
    <w:rsid w:val="5D142BC1"/>
    <w:rsid w:val="5D2F2B1E"/>
    <w:rsid w:val="5DEF5A0F"/>
    <w:rsid w:val="5DF72B16"/>
    <w:rsid w:val="5E7E0C7E"/>
    <w:rsid w:val="5ECA3D86"/>
    <w:rsid w:val="5F267129"/>
    <w:rsid w:val="5F4D50E3"/>
    <w:rsid w:val="5F864151"/>
    <w:rsid w:val="5FB4440F"/>
    <w:rsid w:val="5FC5111D"/>
    <w:rsid w:val="5FD15044"/>
    <w:rsid w:val="60303C60"/>
    <w:rsid w:val="60320809"/>
    <w:rsid w:val="61314591"/>
    <w:rsid w:val="61E15FB7"/>
    <w:rsid w:val="61E66672"/>
    <w:rsid w:val="622B39AF"/>
    <w:rsid w:val="626B0ACC"/>
    <w:rsid w:val="626F728B"/>
    <w:rsid w:val="62761EE2"/>
    <w:rsid w:val="62A42563"/>
    <w:rsid w:val="63210307"/>
    <w:rsid w:val="633B16F7"/>
    <w:rsid w:val="63613BBD"/>
    <w:rsid w:val="63B46F6E"/>
    <w:rsid w:val="64132ACB"/>
    <w:rsid w:val="644F1AB3"/>
    <w:rsid w:val="64712CA8"/>
    <w:rsid w:val="64A52863"/>
    <w:rsid w:val="64F658D5"/>
    <w:rsid w:val="661512EF"/>
    <w:rsid w:val="66A77D57"/>
    <w:rsid w:val="66C75014"/>
    <w:rsid w:val="672B6AD9"/>
    <w:rsid w:val="67535261"/>
    <w:rsid w:val="67A92882"/>
    <w:rsid w:val="67CD5013"/>
    <w:rsid w:val="68C22DEE"/>
    <w:rsid w:val="68E42148"/>
    <w:rsid w:val="68F9171A"/>
    <w:rsid w:val="693A47A3"/>
    <w:rsid w:val="697414BE"/>
    <w:rsid w:val="698174D8"/>
    <w:rsid w:val="69A27DD9"/>
    <w:rsid w:val="69B61D6F"/>
    <w:rsid w:val="69C1618A"/>
    <w:rsid w:val="6A5752BA"/>
    <w:rsid w:val="6AB2229E"/>
    <w:rsid w:val="6AFB2A69"/>
    <w:rsid w:val="6B3E4F40"/>
    <w:rsid w:val="6B4C26F3"/>
    <w:rsid w:val="6B73407C"/>
    <w:rsid w:val="6C465631"/>
    <w:rsid w:val="6C6400AB"/>
    <w:rsid w:val="6C8B590C"/>
    <w:rsid w:val="6CBB3973"/>
    <w:rsid w:val="6CE8644B"/>
    <w:rsid w:val="6CE93FAF"/>
    <w:rsid w:val="6D343A27"/>
    <w:rsid w:val="6DCF182B"/>
    <w:rsid w:val="6F443CC4"/>
    <w:rsid w:val="6F465AAB"/>
    <w:rsid w:val="6F712728"/>
    <w:rsid w:val="6F926B42"/>
    <w:rsid w:val="6FF06CE8"/>
    <w:rsid w:val="70013F75"/>
    <w:rsid w:val="71516148"/>
    <w:rsid w:val="71710FBA"/>
    <w:rsid w:val="71812884"/>
    <w:rsid w:val="72372792"/>
    <w:rsid w:val="72F9402A"/>
    <w:rsid w:val="733A4279"/>
    <w:rsid w:val="74125240"/>
    <w:rsid w:val="74263BAF"/>
    <w:rsid w:val="74D06143"/>
    <w:rsid w:val="750D6EB1"/>
    <w:rsid w:val="75284014"/>
    <w:rsid w:val="753816C8"/>
    <w:rsid w:val="75C5557C"/>
    <w:rsid w:val="75C86662"/>
    <w:rsid w:val="75D4756D"/>
    <w:rsid w:val="75E36E5B"/>
    <w:rsid w:val="75E660A2"/>
    <w:rsid w:val="7668404E"/>
    <w:rsid w:val="76760B82"/>
    <w:rsid w:val="76E9529A"/>
    <w:rsid w:val="77190228"/>
    <w:rsid w:val="772B2770"/>
    <w:rsid w:val="775744D2"/>
    <w:rsid w:val="77E24ED1"/>
    <w:rsid w:val="789E730E"/>
    <w:rsid w:val="78A6518B"/>
    <w:rsid w:val="79042BD4"/>
    <w:rsid w:val="7963467E"/>
    <w:rsid w:val="7A450456"/>
    <w:rsid w:val="7A4543A9"/>
    <w:rsid w:val="7A8D1465"/>
    <w:rsid w:val="7AC516D6"/>
    <w:rsid w:val="7B445194"/>
    <w:rsid w:val="7B4B11A8"/>
    <w:rsid w:val="7BBE5F26"/>
    <w:rsid w:val="7CB43A32"/>
    <w:rsid w:val="7CBC125F"/>
    <w:rsid w:val="7D6E0BCF"/>
    <w:rsid w:val="7D902913"/>
    <w:rsid w:val="7DA00113"/>
    <w:rsid w:val="7DEC0AA9"/>
    <w:rsid w:val="7DEC29E5"/>
    <w:rsid w:val="7E6B5FAF"/>
    <w:rsid w:val="7EC34622"/>
    <w:rsid w:val="7ED33846"/>
    <w:rsid w:val="7F3A4BE0"/>
    <w:rsid w:val="7F632E2D"/>
    <w:rsid w:val="7F8E22D2"/>
    <w:rsid w:val="7FD400C7"/>
    <w:rsid w:val="7FF80259"/>
    <w:rsid w:val="7FFA051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qFormat="1"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2"/>
    <w:pPr>
      <w:keepNext/>
      <w:keepLines/>
      <w:spacing w:line="412" w:lineRule="auto"/>
      <w:outlineLvl w:val="1"/>
    </w:pPr>
    <w:rPr>
      <w:rFonts w:ascii="Arial" w:hAnsi="Arial" w:eastAsia="宋体" w:cs="Arial"/>
      <w:b/>
      <w:bCs/>
      <w:sz w:val="24"/>
      <w:szCs w:val="32"/>
    </w:rPr>
  </w:style>
  <w:style w:type="paragraph" w:styleId="4">
    <w:name w:val="heading 3"/>
    <w:basedOn w:val="1"/>
    <w:next w:val="1"/>
    <w:qFormat/>
    <w:uiPriority w:val="2"/>
    <w:pPr>
      <w:keepNext/>
      <w:keepLines/>
      <w:tabs>
        <w:tab w:val="left" w:pos="720"/>
      </w:tabs>
      <w:spacing w:before="20" w:after="20" w:line="412" w:lineRule="auto"/>
      <w:outlineLvl w:val="2"/>
    </w:pPr>
    <w:rPr>
      <w:b/>
      <w:bCs/>
      <w:szCs w:val="32"/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semiHidden/>
    <w:unhideWhenUsed/>
    <w:qFormat/>
    <w:uiPriority w:val="99"/>
    <w:pPr>
      <w:jc w:val="left"/>
    </w:pPr>
  </w:style>
  <w:style w:type="paragraph" w:styleId="7">
    <w:name w:val="Body Text"/>
    <w:basedOn w:val="1"/>
    <w:next w:val="1"/>
    <w:link w:val="56"/>
    <w:qFormat/>
    <w:uiPriority w:val="0"/>
    <w:pPr>
      <w:spacing w:line="360" w:lineRule="auto"/>
      <w:ind w:firstLine="480" w:firstLineChars="200"/>
    </w:pPr>
    <w:rPr>
      <w:rFonts w:ascii="Times New Roman" w:hAnsi="Times New Roman" w:cs="Times New Roman"/>
      <w:sz w:val="24"/>
      <w:szCs w:val="24"/>
    </w:rPr>
  </w:style>
  <w:style w:type="paragraph" w:styleId="8">
    <w:name w:val="Body Text Indent"/>
    <w:basedOn w:val="1"/>
    <w:next w:val="7"/>
    <w:qFormat/>
    <w:uiPriority w:val="0"/>
    <w:pPr>
      <w:ind w:left="420" w:leftChars="200"/>
    </w:pPr>
  </w:style>
  <w:style w:type="paragraph" w:styleId="9">
    <w:name w:val="Plain Text"/>
    <w:basedOn w:val="1"/>
    <w:qFormat/>
    <w:uiPriority w:val="0"/>
    <w:rPr>
      <w:rFonts w:ascii="宋体" w:hAnsi="Courier New" w:cs="金山简魏碑"/>
      <w:szCs w:val="21"/>
    </w:rPr>
  </w:style>
  <w:style w:type="paragraph" w:styleId="10">
    <w:name w:val="Balloon Text"/>
    <w:basedOn w:val="1"/>
    <w:link w:val="43"/>
    <w:semiHidden/>
    <w:unhideWhenUsed/>
    <w:qFormat/>
    <w:uiPriority w:val="99"/>
    <w:rPr>
      <w:sz w:val="18"/>
      <w:szCs w:val="18"/>
    </w:rPr>
  </w:style>
  <w:style w:type="paragraph" w:styleId="11">
    <w:name w:val="footer"/>
    <w:basedOn w:val="1"/>
    <w:link w:val="4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4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qFormat/>
    <w:uiPriority w:val="0"/>
    <w:pPr>
      <w:wordWrap w:val="0"/>
      <w:spacing w:after="60"/>
      <w:jc w:val="center"/>
    </w:pPr>
    <w:rPr>
      <w:sz w:val="24"/>
    </w:rPr>
  </w:style>
  <w:style w:type="paragraph" w:styleId="14">
    <w:name w:val="HTML Preformatted"/>
    <w:basedOn w:val="1"/>
    <w:link w:val="55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15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6">
    <w:name w:val="Title"/>
    <w:basedOn w:val="1"/>
    <w:qFormat/>
    <w:uiPriority w:val="0"/>
    <w:pPr>
      <w:adjustRightInd w:val="0"/>
      <w:spacing w:before="240" w:after="60" w:line="420" w:lineRule="atLeast"/>
      <w:jc w:val="center"/>
      <w:textAlignment w:val="baseline"/>
      <w:outlineLvl w:val="0"/>
    </w:pPr>
    <w:rPr>
      <w:rFonts w:ascii="Arial" w:hAnsi="Arial" w:eastAsia="宋体" w:cs="Times New Roman"/>
      <w:b/>
      <w:kern w:val="0"/>
      <w:sz w:val="32"/>
      <w:szCs w:val="20"/>
    </w:rPr>
  </w:style>
  <w:style w:type="paragraph" w:styleId="17">
    <w:name w:val="Body Text First Indent"/>
    <w:basedOn w:val="7"/>
    <w:unhideWhenUsed/>
    <w:qFormat/>
    <w:uiPriority w:val="99"/>
    <w:pPr>
      <w:spacing w:after="120" w:line="240" w:lineRule="auto"/>
      <w:ind w:firstLine="420" w:firstLineChars="100"/>
    </w:pPr>
    <w:rPr>
      <w:rFonts w:ascii="Arial" w:hAnsi="Arial"/>
      <w:sz w:val="20"/>
      <w:szCs w:val="20"/>
    </w:rPr>
  </w:style>
  <w:style w:type="paragraph" w:styleId="18">
    <w:name w:val="Body Text First Indent 2"/>
    <w:basedOn w:val="8"/>
    <w:next w:val="17"/>
    <w:qFormat/>
    <w:uiPriority w:val="0"/>
    <w:pPr>
      <w:spacing w:line="360" w:lineRule="auto"/>
      <w:ind w:firstLine="420" w:firstLineChars="200"/>
    </w:pPr>
    <w:rPr>
      <w:sz w:val="24"/>
    </w:rPr>
  </w:style>
  <w:style w:type="table" w:styleId="20">
    <w:name w:val="Table Grid"/>
    <w:basedOn w:val="19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2">
    <w:name w:val="Strong"/>
    <w:basedOn w:val="21"/>
    <w:qFormat/>
    <w:uiPriority w:val="22"/>
    <w:rPr>
      <w:b/>
      <w:bCs/>
    </w:rPr>
  </w:style>
  <w:style w:type="character" w:styleId="23">
    <w:name w:val="page number"/>
    <w:basedOn w:val="21"/>
    <w:qFormat/>
    <w:uiPriority w:val="0"/>
  </w:style>
  <w:style w:type="character" w:styleId="24">
    <w:name w:val="FollowedHyperlink"/>
    <w:basedOn w:val="21"/>
    <w:semiHidden/>
    <w:unhideWhenUsed/>
    <w:qFormat/>
    <w:uiPriority w:val="99"/>
    <w:rPr>
      <w:color w:val="5C5C5C"/>
      <w:u w:val="none"/>
    </w:rPr>
  </w:style>
  <w:style w:type="character" w:styleId="25">
    <w:name w:val="Emphasis"/>
    <w:basedOn w:val="21"/>
    <w:qFormat/>
    <w:uiPriority w:val="20"/>
    <w:rPr>
      <w:b/>
      <w:bCs/>
    </w:rPr>
  </w:style>
  <w:style w:type="character" w:styleId="26">
    <w:name w:val="HTML Definition"/>
    <w:basedOn w:val="21"/>
    <w:semiHidden/>
    <w:unhideWhenUsed/>
    <w:qFormat/>
    <w:uiPriority w:val="99"/>
  </w:style>
  <w:style w:type="character" w:styleId="27">
    <w:name w:val="HTML Typewriter"/>
    <w:basedOn w:val="21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8">
    <w:name w:val="HTML Acronym"/>
    <w:basedOn w:val="21"/>
    <w:semiHidden/>
    <w:unhideWhenUsed/>
    <w:qFormat/>
    <w:uiPriority w:val="99"/>
  </w:style>
  <w:style w:type="character" w:styleId="29">
    <w:name w:val="HTML Variable"/>
    <w:basedOn w:val="21"/>
    <w:semiHidden/>
    <w:unhideWhenUsed/>
    <w:qFormat/>
    <w:uiPriority w:val="99"/>
  </w:style>
  <w:style w:type="character" w:styleId="30">
    <w:name w:val="Hyperlink"/>
    <w:basedOn w:val="21"/>
    <w:semiHidden/>
    <w:unhideWhenUsed/>
    <w:qFormat/>
    <w:uiPriority w:val="99"/>
    <w:rPr>
      <w:color w:val="0000FF"/>
      <w:u w:val="single"/>
    </w:rPr>
  </w:style>
  <w:style w:type="character" w:styleId="31">
    <w:name w:val="HTML Code"/>
    <w:basedOn w:val="21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32">
    <w:name w:val="annotation reference"/>
    <w:basedOn w:val="21"/>
    <w:semiHidden/>
    <w:unhideWhenUsed/>
    <w:qFormat/>
    <w:uiPriority w:val="99"/>
    <w:rPr>
      <w:sz w:val="21"/>
      <w:szCs w:val="21"/>
    </w:rPr>
  </w:style>
  <w:style w:type="character" w:styleId="33">
    <w:name w:val="HTML Cite"/>
    <w:basedOn w:val="21"/>
    <w:semiHidden/>
    <w:unhideWhenUsed/>
    <w:qFormat/>
    <w:uiPriority w:val="99"/>
    <w:rPr>
      <w:vanish/>
      <w:color w:val="FFFFFF"/>
      <w:sz w:val="18"/>
      <w:szCs w:val="18"/>
      <w:shd w:val="clear" w:color="auto" w:fill="7CBCF3"/>
    </w:rPr>
  </w:style>
  <w:style w:type="character" w:styleId="34">
    <w:name w:val="HTML Keyboard"/>
    <w:basedOn w:val="21"/>
    <w:semiHidden/>
    <w:unhideWhenUsed/>
    <w:qFormat/>
    <w:uiPriority w:val="99"/>
    <w:rPr>
      <w:rFonts w:ascii="monospace" w:hAnsi="monospace" w:eastAsia="monospace" w:cs="monospace"/>
      <w:sz w:val="16"/>
      <w:szCs w:val="16"/>
    </w:rPr>
  </w:style>
  <w:style w:type="character" w:styleId="35">
    <w:name w:val="HTML Sample"/>
    <w:basedOn w:val="21"/>
    <w:semiHidden/>
    <w:unhideWhenUsed/>
    <w:qFormat/>
    <w:uiPriority w:val="99"/>
    <w:rPr>
      <w:rFonts w:hint="default" w:ascii="monospace" w:hAnsi="monospace" w:eastAsia="monospace" w:cs="monospace"/>
    </w:rPr>
  </w:style>
  <w:style w:type="paragraph" w:customStyle="1" w:styleId="36">
    <w:name w:val="普通(网站)1"/>
    <w:basedOn w:val="1"/>
    <w:qFormat/>
    <w:uiPriority w:val="0"/>
    <w:pPr>
      <w:widowControl/>
      <w:spacing w:before="100" w:beforeAutospacing="1" w:after="100" w:afterAutospacing="1" w:line="257" w:lineRule="auto"/>
    </w:pPr>
    <w:rPr>
      <w:rFonts w:ascii="Arial Unicode MS" w:hAnsi="Arial Unicode MS" w:eastAsia="Arial Unicode MS" w:cs="Arial Unicode MS"/>
      <w:color w:val="000000"/>
      <w:sz w:val="24"/>
    </w:rPr>
  </w:style>
  <w:style w:type="paragraph" w:customStyle="1" w:styleId="37">
    <w:name w:val="样式 小四 行距: 1.5 倍行距"/>
    <w:basedOn w:val="1"/>
    <w:qFormat/>
    <w:uiPriority w:val="0"/>
    <w:pPr>
      <w:ind w:firstLine="480" w:firstLineChars="200"/>
    </w:pPr>
    <w:rPr>
      <w:rFonts w:cs="宋体"/>
    </w:rPr>
  </w:style>
  <w:style w:type="paragraph" w:customStyle="1" w:styleId="38">
    <w:name w:val="p0"/>
    <w:basedOn w:val="1"/>
    <w:qFormat/>
    <w:uiPriority w:val="0"/>
    <w:pPr>
      <w:widowControl/>
      <w:snapToGrid w:val="0"/>
      <w:jc w:val="left"/>
    </w:pPr>
    <w:rPr>
      <w:rFonts w:ascii="宋体" w:hAnsi="宋体" w:eastAsia="宋体" w:cs="宋体"/>
      <w:kern w:val="0"/>
      <w:sz w:val="24"/>
      <w:szCs w:val="24"/>
    </w:rPr>
  </w:style>
  <w:style w:type="table" w:customStyle="1" w:styleId="39">
    <w:name w:val="Table Normal"/>
    <w:semiHidden/>
    <w:unhideWhenUsed/>
    <w:qFormat/>
    <w:uiPriority w:val="0"/>
    <w:rPr>
      <w:rFonts w:ascii="Arial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0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Cs w:val="21"/>
      <w:lang w:eastAsia="en-US"/>
    </w:rPr>
  </w:style>
  <w:style w:type="character" w:customStyle="1" w:styleId="41">
    <w:name w:val="页眉 Char"/>
    <w:basedOn w:val="21"/>
    <w:link w:val="1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2">
    <w:name w:val="页脚 Char"/>
    <w:basedOn w:val="21"/>
    <w:link w:val="11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3">
    <w:name w:val="批注框文本 Char"/>
    <w:basedOn w:val="21"/>
    <w:link w:val="10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4">
    <w:name w:val="hover"/>
    <w:basedOn w:val="21"/>
    <w:qFormat/>
    <w:uiPriority w:val="0"/>
    <w:rPr>
      <w:shd w:val="clear" w:color="auto" w:fill="E9F4FD"/>
    </w:rPr>
  </w:style>
  <w:style w:type="character" w:customStyle="1" w:styleId="45">
    <w:name w:val="hover1"/>
    <w:basedOn w:val="21"/>
    <w:qFormat/>
    <w:uiPriority w:val="0"/>
    <w:rPr>
      <w:color w:val="2590EB"/>
    </w:rPr>
  </w:style>
  <w:style w:type="character" w:customStyle="1" w:styleId="46">
    <w:name w:val="hover2"/>
    <w:basedOn w:val="21"/>
    <w:qFormat/>
    <w:uiPriority w:val="0"/>
    <w:rPr>
      <w:color w:val="2590EB"/>
      <w:shd w:val="clear" w:color="auto" w:fill="E9F4FD"/>
    </w:rPr>
  </w:style>
  <w:style w:type="character" w:customStyle="1" w:styleId="47">
    <w:name w:val="hover3"/>
    <w:basedOn w:val="21"/>
    <w:qFormat/>
    <w:uiPriority w:val="0"/>
    <w:rPr>
      <w:color w:val="2590EB"/>
    </w:rPr>
  </w:style>
  <w:style w:type="character" w:customStyle="1" w:styleId="48">
    <w:name w:val="laydate-disabled"/>
    <w:basedOn w:val="21"/>
    <w:qFormat/>
    <w:uiPriority w:val="0"/>
    <w:rPr>
      <w:color w:val="2590EB"/>
    </w:rPr>
  </w:style>
  <w:style w:type="character" w:customStyle="1" w:styleId="49">
    <w:name w:val="status"/>
    <w:basedOn w:val="21"/>
    <w:qFormat/>
    <w:uiPriority w:val="0"/>
    <w:rPr>
      <w:color w:val="0776DD"/>
    </w:rPr>
  </w:style>
  <w:style w:type="character" w:customStyle="1" w:styleId="50">
    <w:name w:val="time"/>
    <w:basedOn w:val="21"/>
    <w:qFormat/>
    <w:uiPriority w:val="0"/>
  </w:style>
  <w:style w:type="paragraph" w:styleId="51">
    <w:name w:val="List Paragraph"/>
    <w:basedOn w:val="1"/>
    <w:qFormat/>
    <w:uiPriority w:val="34"/>
    <w:pPr>
      <w:ind w:firstLine="420" w:firstLineChars="200"/>
    </w:pPr>
    <w:rPr>
      <w:rFonts w:cs="Times New Roman"/>
    </w:rPr>
  </w:style>
  <w:style w:type="paragraph" w:customStyle="1" w:styleId="52">
    <w:name w:val="Body Text1"/>
    <w:basedOn w:val="1"/>
    <w:qFormat/>
    <w:uiPriority w:val="0"/>
    <w:pPr>
      <w:tabs>
        <w:tab w:val="right" w:leader="dot" w:pos="9009"/>
      </w:tabs>
    </w:pPr>
    <w:rPr>
      <w:rFonts w:ascii="Arial" w:hAnsi="Arial" w:eastAsia="宋体" w:cs="Times New Roman"/>
      <w:sz w:val="28"/>
      <w:szCs w:val="24"/>
    </w:rPr>
  </w:style>
  <w:style w:type="paragraph" w:customStyle="1" w:styleId="53">
    <w:name w:val="样式 标题 3 + (中文) 黑体 小四 非加粗 段前: 7.8 磅 段后: 0 磅 行距: 固定值 20 磅"/>
    <w:basedOn w:val="4"/>
    <w:qFormat/>
    <w:uiPriority w:val="0"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54">
    <w:name w:val="列表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55">
    <w:name w:val="HTML 预设格式 Char"/>
    <w:basedOn w:val="21"/>
    <w:link w:val="14"/>
    <w:semiHidden/>
    <w:qFormat/>
    <w:uiPriority w:val="99"/>
    <w:rPr>
      <w:rFonts w:ascii="Courier New" w:hAnsi="Courier New" w:cs="Courier New" w:eastAsiaTheme="minorEastAsia"/>
      <w:kern w:val="2"/>
    </w:rPr>
  </w:style>
  <w:style w:type="character" w:customStyle="1" w:styleId="56">
    <w:name w:val="正文文本 Char"/>
    <w:basedOn w:val="21"/>
    <w:link w:val="7"/>
    <w:qFormat/>
    <w:uiPriority w:val="0"/>
    <w:rPr>
      <w:rFonts w:eastAsiaTheme="minorEastAsia"/>
      <w:kern w:val="2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6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numbering" Target="numbering.xml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7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6E1644-41A0-453B-8EFE-7A5488E503A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1465</Words>
  <Characters>1632</Characters>
  <Lines>31</Lines>
  <Paragraphs>8</Paragraphs>
  <TotalTime>5</TotalTime>
  <ScaleCrop>false</ScaleCrop>
  <LinksUpToDate>false</LinksUpToDate>
  <CharactersWithSpaces>1991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2025-05-14T07:31:00Z</dcterms:created>
  <dc:creator>姚洪兵</dc:creator>
  <cp:lastModifiedBy>三十年河东</cp:lastModifiedBy>
  <dcterms:modified xsi:type="dcterms:W3CDTF">2026-06-15T01:09:56Z</dcterms:modified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eyJoZGlkIjoiMmEzY2E3MzMxYTc3MTM3MjU1YWIyZWI0ZTU2NTBlZGIiLCJ1c2VySWQiOiIzNDY0NDk2MDIifQ==</vt:lpwstr>
  </property>
  <property fmtid="{D5CDD505-2E9C-101B-9397-08002B2CF9AE}" pid="3" name="KSOProductBuildVer">
    <vt:lpwstr>2052-12.1.0.26895</vt:lpwstr>
  </property>
  <property fmtid="{D5CDD505-2E9C-101B-9397-08002B2CF9AE}" pid="4" name="ICV">
    <vt:lpwstr>9B5E283670B7405AA706DCF3F1F725A4_13</vt:lpwstr>
  </property>
</Properties>
</file>