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电缆采购</w:t>
      </w:r>
    </w:p>
    <w:p w14:paraId="33D068A5">
      <w:pPr>
        <w:pStyle w:val="11"/>
        <w:jc w:val="both"/>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FF0000"/>
          <w:lang w:val="en-US" w:eastAsia="zh-CN"/>
        </w:rPr>
      </w:pPr>
      <w:r>
        <w:rPr>
          <w:rFonts w:hint="eastAsia" w:ascii="黑体" w:hAnsi="黑体" w:eastAsia="黑体" w:cs="宋体"/>
          <w:b/>
          <w:color w:val="auto"/>
          <w:kern w:val="0"/>
          <w:sz w:val="32"/>
          <w:szCs w:val="32"/>
          <w:lang w:val="en-US" w:eastAsia="zh-CN"/>
        </w:rPr>
        <w:t>编号：SFLHG-GKBX-2026-HW43</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408A72D8">
      <w:pPr>
        <w:keepNext w:val="0"/>
        <w:keepLines w:val="0"/>
        <w:pageBreakBefore w:val="0"/>
        <w:widowControl w:val="0"/>
        <w:kinsoku/>
        <w:wordWrap/>
        <w:overflowPunct/>
        <w:topLinePunct w:val="0"/>
        <w:autoSpaceDE/>
        <w:autoSpaceDN/>
        <w:bidi w:val="0"/>
        <w:adjustRightInd/>
        <w:snapToGrid/>
        <w:spacing w:line="480" w:lineRule="auto"/>
        <w:ind w:right="1050" w:rightChars="500"/>
        <w:jc w:val="both"/>
        <w:textAlignment w:val="auto"/>
        <w:rPr>
          <w:rFonts w:hint="eastAsia" w:asciiTheme="minorEastAsia" w:hAnsiTheme="minorEastAsia" w:eastAsiaTheme="minorEastAsia"/>
          <w:b/>
          <w:bCs/>
          <w:sz w:val="30"/>
          <w:szCs w:val="30"/>
          <w:highlight w:val="none"/>
          <w:lang w:eastAsia="zh-CN"/>
        </w:rPr>
      </w:pPr>
    </w:p>
    <w:p w14:paraId="1D6BDCB5">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eastAsia" w:asciiTheme="minorEastAsia" w:hAnsiTheme="minorEastAsia" w:eastAsiaTheme="minorEastAsia"/>
          <w:b/>
          <w:bCs/>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right"/>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电缆采购比选文件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color w:val="FF0000"/>
          <w:sz w:val="28"/>
          <w:szCs w:val="28"/>
          <w:lang w:val="en-US" w:eastAsia="zh-CN"/>
        </w:rPr>
      </w:pPr>
      <w:r>
        <w:rPr>
          <w:rFonts w:hint="eastAsia" w:ascii="黑体" w:hAnsi="黑体" w:eastAsia="黑体" w:cs="宋体"/>
          <w:b/>
          <w:color w:val="auto"/>
          <w:kern w:val="0"/>
          <w:sz w:val="28"/>
          <w:szCs w:val="28"/>
          <w:lang w:val="en-US" w:eastAsia="zh-CN"/>
        </w:rPr>
        <w:t>编号：SFLHG-GKBX-2026-HW43</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四川宏达股份有限公司什邡磷化工分公司因技改生产需要，需采购电力电缆1批，本着“公开、公平、公正”的原则，现对该标的物进行公开比选</w:t>
      </w:r>
      <w:r>
        <w:rPr>
          <w:rFonts w:hint="eastAsia" w:ascii="黑体" w:hAnsi="黑体" w:eastAsia="黑体" w:cs="宋体"/>
          <w:kern w:val="0"/>
          <w:sz w:val="28"/>
          <w:szCs w:val="28"/>
        </w:rPr>
        <w:t>。欢迎贵公司前来报价，现将相关事项公告如下：</w:t>
      </w:r>
    </w:p>
    <w:p w14:paraId="1DF726DA">
      <w:pPr>
        <w:keepNext w:val="0"/>
        <w:keepLines w:val="0"/>
        <w:pageBreakBefore w:val="0"/>
        <w:numPr>
          <w:ilvl w:val="0"/>
          <w:numId w:val="1"/>
        </w:numPr>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电力电缆</w:t>
      </w:r>
    </w:p>
    <w:p w14:paraId="3189E225">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名称及规格型号</w:t>
      </w:r>
      <w:r>
        <w:rPr>
          <w:rFonts w:hint="eastAsia" w:ascii="黑体" w:hAnsi="黑体" w:eastAsia="黑体" w:cs="宋体"/>
          <w:kern w:val="0"/>
          <w:sz w:val="28"/>
          <w:szCs w:val="28"/>
        </w:rPr>
        <w:t>：</w:t>
      </w:r>
    </w:p>
    <w:tbl>
      <w:tblPr>
        <w:tblStyle w:val="16"/>
        <w:tblW w:w="94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5"/>
        <w:gridCol w:w="1300"/>
        <w:gridCol w:w="3400"/>
        <w:gridCol w:w="830"/>
        <w:gridCol w:w="770"/>
        <w:gridCol w:w="2480"/>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85"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30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40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w:t>
            </w:r>
          </w:p>
        </w:tc>
        <w:tc>
          <w:tcPr>
            <w:tcW w:w="83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77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80" w:type="dxa"/>
            <w:tcBorders>
              <w:right w:val="single" w:color="auto" w:sz="4" w:space="0"/>
            </w:tcBorders>
            <w:noWrap w:val="0"/>
            <w:vAlign w:val="top"/>
          </w:tcPr>
          <w:p w14:paraId="181EF1C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307E3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2D98D21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1300" w:type="dxa"/>
            <w:tcBorders>
              <w:left w:val="single" w:color="auto" w:sz="4" w:space="0"/>
            </w:tcBorders>
            <w:noWrap w:val="0"/>
            <w:vAlign w:val="center"/>
          </w:tcPr>
          <w:p w14:paraId="5ADD91A0">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2DCA4637">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YJLHV22-0.6/1KV 3*150+2*70</w:t>
            </w:r>
          </w:p>
        </w:tc>
        <w:tc>
          <w:tcPr>
            <w:tcW w:w="830" w:type="dxa"/>
            <w:tcBorders>
              <w:left w:val="single" w:color="auto" w:sz="4" w:space="0"/>
              <w:right w:val="single" w:color="auto" w:sz="4" w:space="0"/>
            </w:tcBorders>
            <w:noWrap w:val="0"/>
            <w:vAlign w:val="center"/>
          </w:tcPr>
          <w:p w14:paraId="79C246D3">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200</w:t>
            </w:r>
          </w:p>
        </w:tc>
        <w:tc>
          <w:tcPr>
            <w:tcW w:w="770" w:type="dxa"/>
            <w:tcBorders>
              <w:top w:val="single" w:color="auto" w:sz="4" w:space="0"/>
              <w:bottom w:val="single" w:color="auto" w:sz="4" w:space="0"/>
              <w:right w:val="single" w:color="auto" w:sz="4" w:space="0"/>
            </w:tcBorders>
            <w:noWrap w:val="0"/>
            <w:vAlign w:val="center"/>
          </w:tcPr>
          <w:p w14:paraId="48288A9A">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3E2C91F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磷石膏无害化项目</w:t>
            </w:r>
          </w:p>
        </w:tc>
      </w:tr>
      <w:tr w14:paraId="3B334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D84CEA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2</w:t>
            </w:r>
          </w:p>
        </w:tc>
        <w:tc>
          <w:tcPr>
            <w:tcW w:w="1300" w:type="dxa"/>
            <w:tcBorders>
              <w:left w:val="single" w:color="auto" w:sz="4" w:space="0"/>
            </w:tcBorders>
            <w:noWrap w:val="0"/>
            <w:vAlign w:val="center"/>
          </w:tcPr>
          <w:p w14:paraId="31BDA0AC">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45842978">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YJV-0.6/1KV 3*35+1*16</w:t>
            </w:r>
          </w:p>
        </w:tc>
        <w:tc>
          <w:tcPr>
            <w:tcW w:w="830" w:type="dxa"/>
            <w:tcBorders>
              <w:left w:val="single" w:color="auto" w:sz="4" w:space="0"/>
              <w:right w:val="single" w:color="auto" w:sz="4" w:space="0"/>
            </w:tcBorders>
            <w:noWrap w:val="0"/>
            <w:vAlign w:val="center"/>
          </w:tcPr>
          <w:p w14:paraId="552C785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60</w:t>
            </w:r>
          </w:p>
        </w:tc>
        <w:tc>
          <w:tcPr>
            <w:tcW w:w="770" w:type="dxa"/>
            <w:tcBorders>
              <w:top w:val="single" w:color="auto" w:sz="4" w:space="0"/>
              <w:bottom w:val="single" w:color="auto" w:sz="4" w:space="0"/>
              <w:right w:val="single" w:color="auto" w:sz="4" w:space="0"/>
            </w:tcBorders>
            <w:noWrap w:val="0"/>
            <w:vAlign w:val="center"/>
          </w:tcPr>
          <w:p w14:paraId="65A902D1">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C09E708">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p>
        </w:tc>
      </w:tr>
      <w:tr w14:paraId="486E3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3817ED5E">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3</w:t>
            </w:r>
          </w:p>
        </w:tc>
        <w:tc>
          <w:tcPr>
            <w:tcW w:w="1300" w:type="dxa"/>
            <w:tcBorders>
              <w:left w:val="single" w:color="auto" w:sz="4" w:space="0"/>
            </w:tcBorders>
            <w:noWrap w:val="0"/>
            <w:vAlign w:val="center"/>
          </w:tcPr>
          <w:p w14:paraId="35F552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6A6FA2E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YJV-0.6/1KV 3*6＋1*4</w:t>
            </w:r>
          </w:p>
        </w:tc>
        <w:tc>
          <w:tcPr>
            <w:tcW w:w="830" w:type="dxa"/>
            <w:tcBorders>
              <w:left w:val="single" w:color="auto" w:sz="4" w:space="0"/>
              <w:right w:val="single" w:color="auto" w:sz="4" w:space="0"/>
            </w:tcBorders>
            <w:noWrap w:val="0"/>
            <w:vAlign w:val="center"/>
          </w:tcPr>
          <w:p w14:paraId="74450BC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150</w:t>
            </w:r>
          </w:p>
        </w:tc>
        <w:tc>
          <w:tcPr>
            <w:tcW w:w="770" w:type="dxa"/>
            <w:tcBorders>
              <w:top w:val="single" w:color="auto" w:sz="4" w:space="0"/>
              <w:bottom w:val="single" w:color="auto" w:sz="4" w:space="0"/>
              <w:right w:val="single" w:color="auto" w:sz="4" w:space="0"/>
            </w:tcBorders>
            <w:noWrap w:val="0"/>
            <w:vAlign w:val="center"/>
          </w:tcPr>
          <w:p w14:paraId="3559CCF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5662C59E">
            <w:pPr>
              <w:keepNext w:val="0"/>
              <w:keepLines w:val="0"/>
              <w:widowControl/>
              <w:suppressLineNumbers w:val="0"/>
              <w:jc w:val="both"/>
              <w:textAlignment w:val="center"/>
              <w:rPr>
                <w:rFonts w:hint="eastAsia" w:ascii="黑体" w:hAnsi="黑体" w:eastAsia="黑体" w:cs="黑体"/>
                <w:i w:val="0"/>
                <w:iCs w:val="0"/>
                <w:color w:val="000000"/>
                <w:kern w:val="0"/>
                <w:sz w:val="21"/>
                <w:szCs w:val="21"/>
                <w:u w:val="none"/>
                <w:lang w:val="en-US" w:eastAsia="zh-CN" w:bidi="ar"/>
              </w:rPr>
            </w:pPr>
          </w:p>
        </w:tc>
      </w:tr>
      <w:tr w14:paraId="089A0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5B06E094">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4</w:t>
            </w:r>
          </w:p>
        </w:tc>
        <w:tc>
          <w:tcPr>
            <w:tcW w:w="1300" w:type="dxa"/>
            <w:tcBorders>
              <w:left w:val="single" w:color="auto" w:sz="4" w:space="0"/>
            </w:tcBorders>
            <w:noWrap w:val="0"/>
            <w:vAlign w:val="center"/>
          </w:tcPr>
          <w:p w14:paraId="7F58E2E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3595F60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ZC-YJV-0.6/1KV 4*240+1*120</w:t>
            </w:r>
          </w:p>
        </w:tc>
        <w:tc>
          <w:tcPr>
            <w:tcW w:w="830" w:type="dxa"/>
            <w:tcBorders>
              <w:left w:val="single" w:color="auto" w:sz="4" w:space="0"/>
              <w:right w:val="single" w:color="auto" w:sz="4" w:space="0"/>
            </w:tcBorders>
            <w:noWrap w:val="0"/>
            <w:vAlign w:val="center"/>
          </w:tcPr>
          <w:p w14:paraId="760498E1">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65 </w:t>
            </w:r>
          </w:p>
        </w:tc>
        <w:tc>
          <w:tcPr>
            <w:tcW w:w="770" w:type="dxa"/>
            <w:tcBorders>
              <w:top w:val="single" w:color="auto" w:sz="4" w:space="0"/>
              <w:bottom w:val="single" w:color="auto" w:sz="4" w:space="0"/>
              <w:right w:val="single" w:color="auto" w:sz="4" w:space="0"/>
            </w:tcBorders>
            <w:noWrap w:val="0"/>
            <w:vAlign w:val="center"/>
          </w:tcPr>
          <w:p w14:paraId="2620CA2A">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restart"/>
            <w:tcBorders>
              <w:right w:val="single" w:color="auto" w:sz="4" w:space="0"/>
            </w:tcBorders>
            <w:noWrap w:val="0"/>
            <w:vAlign w:val="center"/>
          </w:tcPr>
          <w:p w14:paraId="695E5313">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设备更新改造项目（变压器）</w:t>
            </w:r>
          </w:p>
        </w:tc>
      </w:tr>
      <w:tr w14:paraId="4C247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74241E30">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6</w:t>
            </w:r>
          </w:p>
        </w:tc>
        <w:tc>
          <w:tcPr>
            <w:tcW w:w="1300" w:type="dxa"/>
            <w:tcBorders>
              <w:left w:val="single" w:color="auto" w:sz="4" w:space="0"/>
            </w:tcBorders>
            <w:noWrap w:val="0"/>
            <w:vAlign w:val="center"/>
          </w:tcPr>
          <w:p w14:paraId="37AD428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2EB3D5B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ZC-YJV22-0.6/1KV 4*35+1*16</w:t>
            </w:r>
          </w:p>
        </w:tc>
        <w:tc>
          <w:tcPr>
            <w:tcW w:w="830" w:type="dxa"/>
            <w:tcBorders>
              <w:left w:val="single" w:color="auto" w:sz="4" w:space="0"/>
              <w:right w:val="single" w:color="auto" w:sz="4" w:space="0"/>
            </w:tcBorders>
            <w:noWrap w:val="0"/>
            <w:vAlign w:val="center"/>
          </w:tcPr>
          <w:p w14:paraId="28F900D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450 </w:t>
            </w:r>
          </w:p>
        </w:tc>
        <w:tc>
          <w:tcPr>
            <w:tcW w:w="770" w:type="dxa"/>
            <w:tcBorders>
              <w:top w:val="single" w:color="auto" w:sz="4" w:space="0"/>
              <w:bottom w:val="single" w:color="auto" w:sz="4" w:space="0"/>
              <w:right w:val="single" w:color="auto" w:sz="4" w:space="0"/>
            </w:tcBorders>
            <w:noWrap w:val="0"/>
            <w:vAlign w:val="center"/>
          </w:tcPr>
          <w:p w14:paraId="486A047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622CB024">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r w14:paraId="241F9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685" w:type="dxa"/>
            <w:tcBorders>
              <w:right w:val="single" w:color="auto" w:sz="4" w:space="0"/>
            </w:tcBorders>
            <w:noWrap w:val="0"/>
            <w:vAlign w:val="center"/>
          </w:tcPr>
          <w:p w14:paraId="4517012B">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7</w:t>
            </w:r>
          </w:p>
        </w:tc>
        <w:tc>
          <w:tcPr>
            <w:tcW w:w="1300" w:type="dxa"/>
            <w:tcBorders>
              <w:left w:val="single" w:color="auto" w:sz="4" w:space="0"/>
            </w:tcBorders>
            <w:noWrap w:val="0"/>
            <w:vAlign w:val="center"/>
          </w:tcPr>
          <w:p w14:paraId="2163A189">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电力电缆</w:t>
            </w:r>
          </w:p>
        </w:tc>
        <w:tc>
          <w:tcPr>
            <w:tcW w:w="3400" w:type="dxa"/>
            <w:tcBorders>
              <w:right w:val="single" w:color="auto" w:sz="4" w:space="0"/>
            </w:tcBorders>
            <w:noWrap w:val="0"/>
            <w:vAlign w:val="center"/>
          </w:tcPr>
          <w:p w14:paraId="64A762EE">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ZC-YJV22-0.6/1KV 5*16</w:t>
            </w:r>
          </w:p>
        </w:tc>
        <w:tc>
          <w:tcPr>
            <w:tcW w:w="830" w:type="dxa"/>
            <w:tcBorders>
              <w:left w:val="single" w:color="auto" w:sz="4" w:space="0"/>
              <w:right w:val="single" w:color="auto" w:sz="4" w:space="0"/>
            </w:tcBorders>
            <w:noWrap w:val="0"/>
            <w:vAlign w:val="center"/>
          </w:tcPr>
          <w:p w14:paraId="24A33F05">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160 </w:t>
            </w:r>
          </w:p>
        </w:tc>
        <w:tc>
          <w:tcPr>
            <w:tcW w:w="770" w:type="dxa"/>
            <w:tcBorders>
              <w:top w:val="single" w:color="auto" w:sz="4" w:space="0"/>
              <w:bottom w:val="single" w:color="auto" w:sz="4" w:space="0"/>
              <w:right w:val="single" w:color="auto" w:sz="4" w:space="0"/>
            </w:tcBorders>
            <w:noWrap w:val="0"/>
            <w:vAlign w:val="center"/>
          </w:tcPr>
          <w:p w14:paraId="272A124D">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米</w:t>
            </w:r>
          </w:p>
        </w:tc>
        <w:tc>
          <w:tcPr>
            <w:tcW w:w="2480" w:type="dxa"/>
            <w:vMerge w:val="continue"/>
            <w:tcBorders>
              <w:right w:val="single" w:color="auto" w:sz="4" w:space="0"/>
            </w:tcBorders>
            <w:noWrap w:val="0"/>
            <w:vAlign w:val="center"/>
          </w:tcPr>
          <w:p w14:paraId="4E2A8856">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p>
        </w:tc>
      </w:tr>
    </w:tbl>
    <w:p w14:paraId="522E69E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执行标准：</w:t>
      </w:r>
    </w:p>
    <w:p w14:paraId="5F0D3D9A">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按GB/T12706.1-2020、</w:t>
      </w:r>
      <w:r>
        <w:rPr>
          <w:rFonts w:ascii="黑体" w:hAnsi="黑体" w:eastAsia="黑体" w:cs="宋体"/>
          <w:kern w:val="0"/>
          <w:sz w:val="28"/>
          <w:szCs w:val="28"/>
        </w:rPr>
        <w:t xml:space="preserve"> GB/T9330-2020</w:t>
      </w:r>
      <w:r>
        <w:rPr>
          <w:rFonts w:hint="eastAsia" w:ascii="黑体" w:hAnsi="黑体" w:eastAsia="黑体" w:cs="宋体"/>
          <w:kern w:val="0"/>
          <w:sz w:val="28"/>
          <w:szCs w:val="28"/>
          <w:lang w:eastAsia="zh-CN"/>
        </w:rPr>
        <w:t>、</w:t>
      </w:r>
      <w:r>
        <w:rPr>
          <w:rFonts w:hint="eastAsia" w:ascii="黑体" w:hAnsi="黑体" w:eastAsia="黑体" w:cs="黑体"/>
          <w:sz w:val="28"/>
          <w:szCs w:val="28"/>
          <w:lang w:val="en-US" w:eastAsia="zh-CN"/>
        </w:rPr>
        <w:t>TICW/06-2009</w:t>
      </w:r>
      <w:r>
        <w:rPr>
          <w:rFonts w:hint="eastAsia" w:ascii="黑体" w:hAnsi="黑体" w:eastAsia="黑体" w:cs="宋体"/>
          <w:kern w:val="0"/>
          <w:sz w:val="28"/>
          <w:szCs w:val="28"/>
        </w:rPr>
        <w:t>等国标执行。电缆铜芯采用99.9%无氧铜杆；绝缘材料采用国内一线知名生产商产品</w:t>
      </w:r>
      <w:r>
        <w:rPr>
          <w:rFonts w:hint="eastAsia" w:ascii="黑体" w:hAnsi="黑体" w:eastAsia="黑体" w:cs="宋体"/>
          <w:kern w:val="0"/>
          <w:sz w:val="28"/>
          <w:szCs w:val="28"/>
          <w:lang w:eastAsia="zh-CN"/>
        </w:rPr>
        <w:t>。</w:t>
      </w:r>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3.交货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spacing w:line="420" w:lineRule="exact"/>
        <w:rPr>
          <w:rFonts w:hint="eastAsia" w:ascii="黑体" w:hAnsi="黑体" w:eastAsia="黑体" w:cs="宋体"/>
          <w:kern w:val="0"/>
          <w:sz w:val="28"/>
          <w:szCs w:val="28"/>
          <w:lang w:val="en-US" w:eastAsia="zh-CN"/>
        </w:rPr>
      </w:pPr>
      <w:r>
        <w:rPr>
          <w:rFonts w:hint="eastAsia" w:ascii="黑体" w:hAnsi="黑体" w:eastAsia="黑体" w:cs="黑体"/>
          <w:kern w:val="0"/>
          <w:sz w:val="28"/>
          <w:szCs w:val="28"/>
          <w:lang w:val="en-US" w:eastAsia="zh-CN"/>
        </w:rPr>
        <w:t>4.交</w:t>
      </w:r>
      <w:r>
        <w:rPr>
          <w:rFonts w:hint="eastAsia" w:ascii="黑体" w:hAnsi="黑体" w:eastAsia="黑体" w:cs="宋体"/>
          <w:kern w:val="0"/>
          <w:sz w:val="28"/>
          <w:szCs w:val="28"/>
          <w:lang w:val="en-US" w:eastAsia="zh-CN"/>
        </w:rPr>
        <w:t>货期：磷石膏无害化项目标的物交货期为合同生效之日起5个自然日内；设备更新改造项目（变压器）标的物交货期为合同生效之日起10个自然日内。</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总额95%，余5%作为质保金，待质保期结束且无无质量异议后付清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w:t>
      </w:r>
      <w:r>
        <w:rPr>
          <w:rFonts w:hint="eastAsia" w:ascii="黑体" w:hAnsi="黑体" w:eastAsia="黑体" w:cs="宋体"/>
          <w:kern w:val="0"/>
          <w:sz w:val="28"/>
          <w:szCs w:val="28"/>
          <w:lang w:val="en-US" w:eastAsia="zh-CN"/>
        </w:rPr>
        <w:t>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r>
        <w:rPr>
          <w:rFonts w:hint="eastAsia" w:ascii="黑体" w:hAnsi="黑体" w:eastAsia="黑体" w:cs="Times New Roman"/>
          <w:sz w:val="28"/>
          <w:szCs w:val="28"/>
          <w:lang w:val="en-US" w:eastAsia="zh-CN"/>
        </w:rPr>
        <w:t>供货商随货提供电缆检测报告。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8.比选文件的获取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2026年6月8日10时 00 分至 2026年6月10日 13时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9.</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递交截止时间：2026年6月10日13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10.响应性文件的组成要求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。代理商另需提供生产商营业执照及授权文件。</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②报价函件。</w:t>
      </w:r>
    </w:p>
    <w:p w14:paraId="034D5EB6">
      <w:pPr>
        <w:numPr>
          <w:ilvl w:val="0"/>
          <w:numId w:val="0"/>
        </w:numPr>
        <w:spacing w:line="420" w:lineRule="exact"/>
        <w:ind w:leftChars="0"/>
        <w:rPr>
          <w:rFonts w:hint="eastAsia" w:ascii="黑体" w:hAnsi="黑体" w:eastAsia="黑体" w:cs="Segoe UI"/>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Segoe UI"/>
          <w:kern w:val="0"/>
          <w:sz w:val="28"/>
          <w:szCs w:val="28"/>
          <w:lang w:val="en-US" w:eastAsia="zh-CN"/>
        </w:rPr>
        <w:t>承诺函。</w:t>
      </w:r>
    </w:p>
    <w:p w14:paraId="7F8BC4B5">
      <w:pPr>
        <w:numPr>
          <w:ilvl w:val="0"/>
          <w:numId w:val="0"/>
        </w:numPr>
        <w:spacing w:line="420" w:lineRule="exact"/>
        <w:ind w:leftChars="0"/>
        <w:rPr>
          <w:rFonts w:hint="eastAsia" w:ascii="黑体" w:hAnsi="黑体" w:eastAsia="黑体" w:cs="Times New Roman"/>
          <w:sz w:val="28"/>
          <w:szCs w:val="28"/>
          <w:lang w:val="en-US" w:eastAsia="zh-CN"/>
        </w:rPr>
      </w:pPr>
      <w:r>
        <w:rPr>
          <w:rFonts w:hint="eastAsia" w:ascii="黑体" w:hAnsi="黑体" w:eastAsia="黑体" w:cs="Segoe UI"/>
          <w:kern w:val="0"/>
          <w:sz w:val="28"/>
          <w:szCs w:val="28"/>
          <w:lang w:val="en-US" w:eastAsia="zh-CN"/>
        </w:rPr>
        <w:t>11.</w:t>
      </w:r>
      <w:r>
        <w:rPr>
          <w:rFonts w:hint="eastAsia" w:ascii="黑体" w:hAnsi="黑体" w:eastAsia="黑体" w:cs="Times New Roman"/>
          <w:sz w:val="28"/>
          <w:szCs w:val="28"/>
          <w:lang w:val="en-US" w:eastAsia="zh-CN"/>
        </w:rPr>
        <w:t>定价</w:t>
      </w:r>
    </w:p>
    <w:p w14:paraId="068BD809">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Times New Roman"/>
          <w:sz w:val="28"/>
          <w:szCs w:val="28"/>
          <w:lang w:val="en-US" w:eastAsia="zh-CN"/>
        </w:rPr>
        <w:t>本项目采用本项目采用符合响应性条款的最低投标价法进行比选。</w:t>
      </w:r>
    </w:p>
    <w:p w14:paraId="6238D60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仿宋_GB2312"/>
          <w:sz w:val="28"/>
          <w:szCs w:val="28"/>
          <w:lang w:val="en-US" w:eastAsia="zh-CN"/>
        </w:rPr>
        <w:t>②最终价格确认：比选</w:t>
      </w:r>
      <w:r>
        <w:rPr>
          <w:rFonts w:hint="eastAsia" w:ascii="黑体" w:hAnsi="黑体" w:eastAsia="黑体" w:cs="黑体"/>
          <w:sz w:val="28"/>
          <w:szCs w:val="28"/>
          <w:lang w:val="en-US" w:eastAsia="zh-CN"/>
        </w:rPr>
        <w:t>申请</w:t>
      </w:r>
      <w:r>
        <w:rPr>
          <w:rFonts w:hint="eastAsia" w:ascii="黑体" w:hAnsi="黑体" w:eastAsia="黑体" w:cs="仿宋_GB2312"/>
          <w:sz w:val="28"/>
          <w:szCs w:val="28"/>
          <w:lang w:val="en-US" w:eastAsia="zh-CN"/>
        </w:rPr>
        <w:t>人</w:t>
      </w:r>
      <w:r>
        <w:rPr>
          <w:rFonts w:hint="eastAsia" w:ascii="黑体" w:hAnsi="黑体" w:eastAsia="黑体" w:cs="宋体"/>
          <w:kern w:val="0"/>
          <w:sz w:val="28"/>
          <w:szCs w:val="28"/>
        </w:rPr>
        <w:t>按202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日</w:t>
      </w:r>
      <w:r>
        <w:rPr>
          <w:rFonts w:hint="eastAsia" w:ascii="黑体" w:hAnsi="黑体" w:eastAsia="黑体" w:cs="宋体"/>
          <w:kern w:val="0"/>
          <w:sz w:val="28"/>
          <w:szCs w:val="28"/>
          <w:lang w:val="en-US" w:eastAsia="zh-CN"/>
        </w:rPr>
        <w:t>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104100元/吨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作为基准价进行电缆报价。以中选通知书发出当日的上海</w:t>
      </w:r>
      <w:r>
        <w:rPr>
          <w:rFonts w:hint="eastAsia" w:ascii="黑体" w:hAnsi="黑体" w:eastAsia="黑体" w:cs="宋体"/>
          <w:kern w:val="0"/>
          <w:sz w:val="28"/>
          <w:szCs w:val="28"/>
        </w:rPr>
        <w:t>有</w:t>
      </w:r>
      <w:r>
        <w:rPr>
          <w:rFonts w:hint="eastAsia" w:ascii="黑体" w:hAnsi="黑体" w:eastAsia="黑体" w:cs="宋体"/>
          <w:kern w:val="0"/>
          <w:sz w:val="28"/>
          <w:szCs w:val="28"/>
          <w:lang w:val="en-US" w:eastAsia="zh-CN"/>
        </w:rPr>
        <w:t>色</w:t>
      </w:r>
      <w:r>
        <w:rPr>
          <w:rFonts w:hint="eastAsia" w:ascii="黑体" w:hAnsi="黑体" w:eastAsia="黑体" w:cs="宋体"/>
          <w:kern w:val="0"/>
          <w:sz w:val="28"/>
          <w:szCs w:val="28"/>
        </w:rPr>
        <w:t>网</w:t>
      </w:r>
      <w:r>
        <w:rPr>
          <w:rFonts w:hint="eastAsia" w:ascii="黑体" w:hAnsi="黑体" w:eastAsia="黑体" w:cs="宋体"/>
          <w:kern w:val="0"/>
          <w:sz w:val="28"/>
          <w:szCs w:val="28"/>
          <w:lang w:val="en-US" w:eastAsia="zh-CN"/>
        </w:rPr>
        <w:t>长江价格</w:t>
      </w:r>
      <w:r>
        <w:rPr>
          <w:rFonts w:hint="eastAsia" w:ascii="黑体" w:hAnsi="黑体" w:eastAsia="黑体" w:cs="宋体"/>
          <w:kern w:val="0"/>
          <w:sz w:val="28"/>
          <w:szCs w:val="28"/>
        </w:rPr>
        <w:t>1#电解铜均价</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与基准价进行</w:t>
      </w:r>
      <w:r>
        <w:rPr>
          <w:rFonts w:hint="eastAsia" w:ascii="黑体" w:hAnsi="黑体" w:eastAsia="黑体" w:cs="宋体"/>
          <w:kern w:val="0"/>
          <w:sz w:val="28"/>
          <w:szCs w:val="28"/>
        </w:rPr>
        <w:t>比</w:t>
      </w:r>
      <w:r>
        <w:rPr>
          <w:rFonts w:hint="eastAsia" w:ascii="黑体" w:hAnsi="黑体" w:eastAsia="黑体" w:cs="宋体"/>
          <w:kern w:val="0"/>
          <w:sz w:val="28"/>
          <w:szCs w:val="28"/>
          <w:lang w:val="en-US" w:eastAsia="zh-CN"/>
        </w:rPr>
        <w:t>对</w:t>
      </w:r>
      <w:r>
        <w:rPr>
          <w:rFonts w:hint="eastAsia" w:ascii="黑体" w:hAnsi="黑体" w:eastAsia="黑体" w:cs="宋体"/>
          <w:kern w:val="0"/>
          <w:sz w:val="28"/>
          <w:szCs w:val="28"/>
        </w:rPr>
        <w:t>，每上涨或下降1000元（含）以上，电缆单价</w:t>
      </w:r>
      <w:r>
        <w:rPr>
          <w:rFonts w:hint="eastAsia" w:ascii="黑体" w:hAnsi="黑体" w:eastAsia="黑体" w:cs="宋体"/>
          <w:kern w:val="0"/>
          <w:sz w:val="28"/>
          <w:szCs w:val="28"/>
          <w:lang w:val="en-US" w:eastAsia="zh-CN"/>
        </w:rPr>
        <w:t>相</w:t>
      </w:r>
      <w:r>
        <w:rPr>
          <w:rFonts w:hint="eastAsia" w:ascii="黑体" w:hAnsi="黑体" w:eastAsia="黑体" w:cs="宋体"/>
          <w:kern w:val="0"/>
          <w:sz w:val="28"/>
          <w:szCs w:val="28"/>
        </w:rPr>
        <w:t>应上涨或下降1.2%。上涨或下降</w:t>
      </w:r>
      <w:r>
        <w:rPr>
          <w:rFonts w:hint="eastAsia" w:ascii="黑体" w:hAnsi="黑体" w:eastAsia="黑体" w:cs="宋体"/>
          <w:kern w:val="0"/>
          <w:sz w:val="28"/>
          <w:szCs w:val="28"/>
          <w:lang w:val="en-US" w:eastAsia="zh-CN"/>
        </w:rPr>
        <w:t>不足1000元价格维持不变。</w:t>
      </w:r>
      <w:r>
        <w:rPr>
          <w:rFonts w:hint="eastAsia" w:ascii="黑体" w:hAnsi="黑体" w:eastAsia="黑体" w:cs="宋体"/>
          <w:kern w:val="0"/>
          <w:sz w:val="28"/>
          <w:szCs w:val="28"/>
        </w:rPr>
        <w:t>以此类推</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评委</w:t>
      </w:r>
      <w:bookmarkStart w:id="6" w:name="_GoBack"/>
      <w:bookmarkEnd w:id="6"/>
      <w:r>
        <w:rPr>
          <w:rFonts w:hint="eastAsia" w:ascii="黑体" w:hAnsi="黑体" w:eastAsia="黑体" w:cs="宋体"/>
          <w:kern w:val="0"/>
          <w:sz w:val="28"/>
          <w:szCs w:val="28"/>
          <w:lang w:val="en-US" w:eastAsia="zh-CN"/>
        </w:rPr>
        <w:t>会在开标当日确定中选候选人及最终价格，并在平台发布成交通知书。铝合金电缆报价不作调整。</w:t>
      </w:r>
    </w:p>
    <w:p w14:paraId="063A8B1D">
      <w:pPr>
        <w:numPr>
          <w:ilvl w:val="0"/>
          <w:numId w:val="0"/>
        </w:numPr>
        <w:spacing w:line="420" w:lineRule="exact"/>
        <w:rPr>
          <w:rFonts w:hint="default" w:ascii="黑体" w:hAnsi="黑体" w:eastAsia="黑体" w:cs="Times New Roman"/>
          <w:sz w:val="28"/>
          <w:szCs w:val="28"/>
          <w:lang w:val="en-US" w:eastAsia="zh-CN"/>
        </w:rPr>
      </w:pPr>
      <w:r>
        <w:rPr>
          <w:rFonts w:hint="default" w:ascii="黑体" w:hAnsi="黑体" w:eastAsia="黑体" w:cs="宋体"/>
          <w:kern w:val="0"/>
          <w:sz w:val="28"/>
          <w:szCs w:val="28"/>
          <w:lang w:val="en-US" w:eastAsia="zh-CN"/>
        </w:rPr>
        <w:t>③</w:t>
      </w:r>
      <w:r>
        <w:rPr>
          <w:rFonts w:hint="eastAsia" w:ascii="黑体" w:hAnsi="黑体" w:eastAsia="黑体" w:cs="宋体"/>
          <w:kern w:val="0"/>
          <w:sz w:val="28"/>
          <w:szCs w:val="28"/>
          <w:lang w:val="en-US" w:eastAsia="zh-CN"/>
        </w:rPr>
        <w:t>中选候选人应在接到比选人中选通知当日锁定中标产品价格。比选人以电话、微信或成交通知书形式进行通知，中选候选人不能以合同签署延后、成交通知书发布延后等原因变更价格。</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 xml:space="preserve"> </w:t>
      </w:r>
    </w:p>
    <w:p w14:paraId="6ED43AE4">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pPr>
    </w:p>
    <w:p w14:paraId="2602CA8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日</w:t>
      </w:r>
    </w:p>
    <w:p w14:paraId="7225673D">
      <w:pPr>
        <w:spacing w:line="360" w:lineRule="exact"/>
        <w:rPr>
          <w:rFonts w:hint="eastAsia" w:ascii="黑体" w:hAnsi="黑体" w:eastAsia="黑体" w:cs="宋体"/>
          <w:b/>
          <w:kern w:val="0"/>
          <w:sz w:val="28"/>
          <w:szCs w:val="28"/>
          <w:lang w:val="en-US" w:eastAsia="zh-CN"/>
        </w:rPr>
      </w:pPr>
    </w:p>
    <w:p w14:paraId="25B3B14D">
      <w:pPr>
        <w:spacing w:line="360" w:lineRule="exact"/>
        <w:rPr>
          <w:rFonts w:hint="eastAsia" w:ascii="黑体" w:hAnsi="黑体" w:eastAsia="黑体" w:cs="宋体"/>
          <w:b/>
          <w:kern w:val="0"/>
          <w:sz w:val="28"/>
          <w:szCs w:val="28"/>
          <w:lang w:val="en-US" w:eastAsia="zh-CN"/>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49475FA">
      <w:pPr>
        <w:numPr>
          <w:ilvl w:val="0"/>
          <w:numId w:val="3"/>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宏达股份磷化工分公司</w:t>
      </w:r>
      <w:r>
        <w:rPr>
          <w:rFonts w:hint="eastAsia" w:ascii="黑体" w:hAnsi="黑体" w:eastAsia="黑体" w:cs="黑体"/>
          <w:b w:val="0"/>
          <w:bCs w:val="0"/>
          <w:sz w:val="32"/>
          <w:szCs w:val="32"/>
          <w:lang w:val="en-US" w:eastAsia="zh-CN"/>
        </w:rPr>
        <w:t>电缆采购项目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4384"/>
      <w:bookmarkStart w:id="3" w:name="_Toc9978"/>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9063BF8">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34F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2885B97D">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18BAB7">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F22BA0">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EB1EDA">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144F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25A38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80ECE3">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7093A0">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F45E4BF">
            <w:pPr>
              <w:rPr>
                <w:rFonts w:hint="eastAsia" w:ascii="宋体" w:hAnsi="宋体" w:eastAsia="宋体" w:cs="宋体"/>
                <w:i w:val="0"/>
                <w:color w:val="auto"/>
                <w:sz w:val="18"/>
                <w:szCs w:val="18"/>
                <w:highlight w:val="none"/>
                <w:u w:val="none"/>
              </w:rPr>
            </w:pPr>
          </w:p>
        </w:tc>
      </w:tr>
      <w:tr w14:paraId="2BE972D0">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9D21FA">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3</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DB99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C0E1E3">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6A3DDE">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CF541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C2EB50">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DB7146">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03C1E72">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112CB5E">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三</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w:t>
      </w:r>
      <w:r>
        <w:rPr>
          <w:rFonts w:hint="eastAsia" w:ascii="黑体" w:hAnsi="黑体" w:eastAsia="黑体" w:cs="黑体"/>
          <w:color w:val="auto"/>
          <w:sz w:val="24"/>
          <w:szCs w:val="24"/>
          <w:lang w:val="en-US" w:eastAsia="zh-CN"/>
        </w:rPr>
        <w:t>26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B32C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609F342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2D77B126">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4.电缆盘装，电缆盘不退。</w:t>
      </w:r>
    </w:p>
    <w:p w14:paraId="24E98868">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5.随货提供标的物合格证及检测报告。</w:t>
      </w:r>
    </w:p>
    <w:p w14:paraId="32766130">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spacing w:line="360" w:lineRule="auto"/>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042D4482">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BB9F484F"/>
    <w:multiLevelType w:val="singleLevel"/>
    <w:tmpl w:val="BB9F484F"/>
    <w:lvl w:ilvl="0" w:tentative="0">
      <w:start w:val="2"/>
      <w:numFmt w:val="decimal"/>
      <w:lvlText w:val="%1."/>
      <w:lvlJc w:val="left"/>
      <w:pPr>
        <w:tabs>
          <w:tab w:val="left" w:pos="312"/>
        </w:tabs>
      </w:pPr>
    </w:lvl>
  </w:abstractNum>
  <w:abstractNum w:abstractNumId="2">
    <w:nsid w:val="CF8C3976"/>
    <w:multiLevelType w:val="singleLevel"/>
    <w:tmpl w:val="CF8C3976"/>
    <w:lvl w:ilvl="0" w:tentative="0">
      <w:start w:val="2"/>
      <w:numFmt w:val="chineseCounting"/>
      <w:suff w:val="space"/>
      <w:lvlText w:val="第%1章"/>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A3833"/>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4F41CCE"/>
    <w:rsid w:val="05573D16"/>
    <w:rsid w:val="056B432A"/>
    <w:rsid w:val="057443B4"/>
    <w:rsid w:val="05C017FD"/>
    <w:rsid w:val="0687687D"/>
    <w:rsid w:val="06F2489E"/>
    <w:rsid w:val="070268E6"/>
    <w:rsid w:val="07501427"/>
    <w:rsid w:val="076636BD"/>
    <w:rsid w:val="07FC2021"/>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0FE773C"/>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24E6"/>
    <w:rsid w:val="190E59FE"/>
    <w:rsid w:val="19382EBE"/>
    <w:rsid w:val="19393A07"/>
    <w:rsid w:val="1A1E58C0"/>
    <w:rsid w:val="1A294B27"/>
    <w:rsid w:val="1A683441"/>
    <w:rsid w:val="1AA50757"/>
    <w:rsid w:val="1B3B1CB8"/>
    <w:rsid w:val="1C4C57FF"/>
    <w:rsid w:val="1CC717EF"/>
    <w:rsid w:val="1D176383"/>
    <w:rsid w:val="1D215E04"/>
    <w:rsid w:val="1D64697C"/>
    <w:rsid w:val="1DD969AB"/>
    <w:rsid w:val="1DF514EE"/>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5B03F6"/>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C841152"/>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801D52"/>
    <w:rsid w:val="3A887EF3"/>
    <w:rsid w:val="3ABF1B60"/>
    <w:rsid w:val="3B10121D"/>
    <w:rsid w:val="3B5201C9"/>
    <w:rsid w:val="3BA23F27"/>
    <w:rsid w:val="3BB75F0B"/>
    <w:rsid w:val="3BF62074"/>
    <w:rsid w:val="3D2D4ECB"/>
    <w:rsid w:val="3D8E7046"/>
    <w:rsid w:val="3DB1150E"/>
    <w:rsid w:val="3DD85B51"/>
    <w:rsid w:val="3E197344"/>
    <w:rsid w:val="3E583D12"/>
    <w:rsid w:val="3F213F33"/>
    <w:rsid w:val="3F237712"/>
    <w:rsid w:val="3FE536F1"/>
    <w:rsid w:val="3FF33ABB"/>
    <w:rsid w:val="400745C7"/>
    <w:rsid w:val="40083152"/>
    <w:rsid w:val="40085CD0"/>
    <w:rsid w:val="4041301D"/>
    <w:rsid w:val="410728A7"/>
    <w:rsid w:val="42587944"/>
    <w:rsid w:val="42932E0A"/>
    <w:rsid w:val="43243278"/>
    <w:rsid w:val="435B56FC"/>
    <w:rsid w:val="43884ABF"/>
    <w:rsid w:val="44A00219"/>
    <w:rsid w:val="45367494"/>
    <w:rsid w:val="457345D5"/>
    <w:rsid w:val="45877724"/>
    <w:rsid w:val="467A2DE5"/>
    <w:rsid w:val="470A03A4"/>
    <w:rsid w:val="470C04B5"/>
    <w:rsid w:val="47F46EAE"/>
    <w:rsid w:val="48724017"/>
    <w:rsid w:val="48750F6C"/>
    <w:rsid w:val="492B4B3C"/>
    <w:rsid w:val="4A185620"/>
    <w:rsid w:val="4A6F4C2B"/>
    <w:rsid w:val="4B964C95"/>
    <w:rsid w:val="4BDF7931"/>
    <w:rsid w:val="4C7A4377"/>
    <w:rsid w:val="4D477799"/>
    <w:rsid w:val="4DCF4AEB"/>
    <w:rsid w:val="4E0D1159"/>
    <w:rsid w:val="4E5A52AA"/>
    <w:rsid w:val="4EE10E98"/>
    <w:rsid w:val="4EE97C85"/>
    <w:rsid w:val="4F0E5FFA"/>
    <w:rsid w:val="4F203C16"/>
    <w:rsid w:val="4F734927"/>
    <w:rsid w:val="4FE70DC0"/>
    <w:rsid w:val="502E581F"/>
    <w:rsid w:val="50CC06E1"/>
    <w:rsid w:val="50F46497"/>
    <w:rsid w:val="514328A4"/>
    <w:rsid w:val="51875472"/>
    <w:rsid w:val="51F577C4"/>
    <w:rsid w:val="523E309F"/>
    <w:rsid w:val="52884ADC"/>
    <w:rsid w:val="52914046"/>
    <w:rsid w:val="52A80CDA"/>
    <w:rsid w:val="533212A1"/>
    <w:rsid w:val="53EE72C6"/>
    <w:rsid w:val="54887ACF"/>
    <w:rsid w:val="548B2661"/>
    <w:rsid w:val="54AA722A"/>
    <w:rsid w:val="55090FE6"/>
    <w:rsid w:val="55BE4F5F"/>
    <w:rsid w:val="55E22755"/>
    <w:rsid w:val="57193C9E"/>
    <w:rsid w:val="57541431"/>
    <w:rsid w:val="576C2775"/>
    <w:rsid w:val="57741C90"/>
    <w:rsid w:val="586048F0"/>
    <w:rsid w:val="588549CE"/>
    <w:rsid w:val="58AE7DA1"/>
    <w:rsid w:val="58DD7D9A"/>
    <w:rsid w:val="59AD4E28"/>
    <w:rsid w:val="5AB80078"/>
    <w:rsid w:val="5ABD18BC"/>
    <w:rsid w:val="5B1D65E8"/>
    <w:rsid w:val="5B643D74"/>
    <w:rsid w:val="5B8E7647"/>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2D44B9F"/>
    <w:rsid w:val="6303661A"/>
    <w:rsid w:val="631B496A"/>
    <w:rsid w:val="63210307"/>
    <w:rsid w:val="633B16F7"/>
    <w:rsid w:val="63613BBD"/>
    <w:rsid w:val="64132ACB"/>
    <w:rsid w:val="644F1AB3"/>
    <w:rsid w:val="65CA7906"/>
    <w:rsid w:val="661512EF"/>
    <w:rsid w:val="668A74E0"/>
    <w:rsid w:val="66A77D57"/>
    <w:rsid w:val="66C75014"/>
    <w:rsid w:val="672B6AD9"/>
    <w:rsid w:val="67617096"/>
    <w:rsid w:val="67CD5013"/>
    <w:rsid w:val="68E42148"/>
    <w:rsid w:val="68F9171A"/>
    <w:rsid w:val="693A47A3"/>
    <w:rsid w:val="69B61D6F"/>
    <w:rsid w:val="69C1618A"/>
    <w:rsid w:val="6AB2229E"/>
    <w:rsid w:val="6AFB2A69"/>
    <w:rsid w:val="6B3E4F40"/>
    <w:rsid w:val="6B4C26F3"/>
    <w:rsid w:val="6B73407C"/>
    <w:rsid w:val="6B93653A"/>
    <w:rsid w:val="6C465631"/>
    <w:rsid w:val="6C6400AB"/>
    <w:rsid w:val="6C8B590C"/>
    <w:rsid w:val="6D343A27"/>
    <w:rsid w:val="6DCF182B"/>
    <w:rsid w:val="6F712728"/>
    <w:rsid w:val="6FF06CE8"/>
    <w:rsid w:val="716606CE"/>
    <w:rsid w:val="71710FBA"/>
    <w:rsid w:val="72F9402A"/>
    <w:rsid w:val="733A4279"/>
    <w:rsid w:val="74125240"/>
    <w:rsid w:val="74D06143"/>
    <w:rsid w:val="75284014"/>
    <w:rsid w:val="75942B42"/>
    <w:rsid w:val="75D4756D"/>
    <w:rsid w:val="75E36E5B"/>
    <w:rsid w:val="775744D2"/>
    <w:rsid w:val="77E24ED1"/>
    <w:rsid w:val="78117E1A"/>
    <w:rsid w:val="789E730E"/>
    <w:rsid w:val="78AA163C"/>
    <w:rsid w:val="79042BD4"/>
    <w:rsid w:val="7A450456"/>
    <w:rsid w:val="7AC516D6"/>
    <w:rsid w:val="7B502B3A"/>
    <w:rsid w:val="7BBE5F26"/>
    <w:rsid w:val="7C9D75AD"/>
    <w:rsid w:val="7D902913"/>
    <w:rsid w:val="7DA00113"/>
    <w:rsid w:val="7E6B5FAF"/>
    <w:rsid w:val="7EC34622"/>
    <w:rsid w:val="7EC77F20"/>
    <w:rsid w:val="7ED33846"/>
    <w:rsid w:val="7F331113"/>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4352</Words>
  <Characters>4749</Characters>
  <Lines>16</Lines>
  <Paragraphs>4</Paragraphs>
  <TotalTime>6</TotalTime>
  <ScaleCrop>false</ScaleCrop>
  <LinksUpToDate>false</LinksUpToDate>
  <CharactersWithSpaces>5644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2026-06-08T07:01:03Z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2052-12.1.0.26375</vt:lpwstr>
  </property>
  <property fmtid="{D5CDD505-2E9C-101B-9397-08002B2CF9AE}" pid="4" name="ICV">
    <vt:lpwstr>638278A91B6247A3A14F33886A0DB3EB_13</vt:lpwstr>
  </property>
</Properties>
</file>