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CA5B">
      <w:pPr>
        <w:autoSpaceDE w:val="0"/>
        <w:autoSpaceDN w:val="0"/>
        <w:adjustRightInd w:val="0"/>
        <w:spacing w:before="100" w:after="100"/>
        <w:jc w:val="center"/>
        <w:rPr>
          <w:rFonts w:hint="eastAsia" w:ascii="黑体" w:hAnsi="黑体" w:eastAsia="黑体" w:cs="黑体"/>
          <w:b/>
          <w:bCs/>
          <w:color w:val="auto"/>
          <w:sz w:val="48"/>
          <w:szCs w:val="48"/>
        </w:rPr>
      </w:pPr>
      <w:bookmarkStart w:id="21" w:name="_GoBack"/>
      <w:r>
        <w:rPr>
          <w:rFonts w:hint="eastAsia" w:ascii="黑体" w:hAnsi="黑体" w:eastAsia="黑体" w:cs="黑体"/>
          <w:b/>
          <w:bCs/>
          <w:color w:val="auto"/>
          <w:sz w:val="48"/>
          <w:szCs w:val="48"/>
        </w:rPr>
        <w:t>四川宏达股份有限公司</w:t>
      </w:r>
    </w:p>
    <w:p w14:paraId="57D8DA64">
      <w:pPr>
        <w:autoSpaceDE w:val="0"/>
        <w:autoSpaceDN w:val="0"/>
        <w:adjustRightInd w:val="0"/>
        <w:spacing w:before="100" w:after="100"/>
        <w:jc w:val="center"/>
        <w:rPr>
          <w:rFonts w:hint="eastAsia" w:ascii="黑体" w:hAnsi="黑体" w:eastAsia="黑体" w:cs="黑体"/>
          <w:color w:val="auto"/>
          <w:sz w:val="84"/>
          <w:szCs w:val="84"/>
          <w:lang w:val="zh-CN"/>
        </w:rPr>
      </w:pPr>
      <w:r>
        <w:rPr>
          <w:rFonts w:hint="eastAsia" w:ascii="黑体" w:hAnsi="黑体" w:eastAsia="黑体" w:cs="黑体"/>
          <w:b/>
          <w:bCs/>
          <w:color w:val="auto"/>
          <w:sz w:val="48"/>
          <w:szCs w:val="48"/>
          <w:lang w:val="en-US" w:eastAsia="zh-CN"/>
        </w:rPr>
        <w:t>氨水</w:t>
      </w:r>
      <w:r>
        <w:rPr>
          <w:rFonts w:hint="eastAsia" w:ascii="黑体" w:hAnsi="黑体" w:eastAsia="黑体" w:cs="黑体"/>
          <w:b/>
          <w:bCs/>
          <w:color w:val="auto"/>
          <w:sz w:val="48"/>
          <w:szCs w:val="48"/>
        </w:rPr>
        <w:t>采购</w:t>
      </w:r>
    </w:p>
    <w:p w14:paraId="4959B967">
      <w:pPr>
        <w:widowControl/>
        <w:jc w:val="center"/>
        <w:rPr>
          <w:rFonts w:hint="eastAsia" w:ascii="黑体" w:hAnsi="黑体" w:eastAsia="黑体" w:cs="黑体"/>
          <w:b/>
          <w:color w:val="auto"/>
          <w:kern w:val="0"/>
          <w:sz w:val="72"/>
          <w:szCs w:val="72"/>
        </w:rPr>
      </w:pPr>
    </w:p>
    <w:p w14:paraId="1C5D5DE4">
      <w:pPr>
        <w:widowControl/>
        <w:jc w:val="center"/>
        <w:rPr>
          <w:rFonts w:hint="eastAsia" w:ascii="黑体" w:hAnsi="黑体" w:eastAsia="黑体" w:cs="黑体"/>
          <w:b/>
          <w:color w:val="auto"/>
          <w:kern w:val="0"/>
          <w:sz w:val="72"/>
          <w:szCs w:val="72"/>
        </w:rPr>
      </w:pPr>
    </w:p>
    <w:p w14:paraId="002D5A45">
      <w:pPr>
        <w:widowControl/>
        <w:jc w:val="center"/>
        <w:rPr>
          <w:rFonts w:hint="eastAsia" w:ascii="黑体" w:hAnsi="黑体" w:eastAsia="黑体" w:cs="黑体"/>
          <w:b/>
          <w:color w:val="auto"/>
          <w:kern w:val="0"/>
          <w:sz w:val="72"/>
          <w:szCs w:val="72"/>
        </w:rPr>
      </w:pPr>
    </w:p>
    <w:p w14:paraId="096C1EFA">
      <w:pPr>
        <w:widowControl/>
        <w:jc w:val="center"/>
        <w:rPr>
          <w:rFonts w:hint="eastAsia" w:ascii="黑体" w:hAnsi="黑体" w:eastAsia="黑体" w:cs="黑体"/>
          <w:b/>
          <w:color w:val="auto"/>
          <w:kern w:val="0"/>
          <w:sz w:val="72"/>
          <w:szCs w:val="72"/>
        </w:rPr>
      </w:pPr>
      <w:r>
        <w:rPr>
          <w:rFonts w:hint="eastAsia" w:ascii="黑体" w:hAnsi="黑体" w:eastAsia="黑体" w:cs="黑体"/>
          <w:b/>
          <w:color w:val="auto"/>
          <w:kern w:val="0"/>
          <w:sz w:val="72"/>
          <w:szCs w:val="72"/>
        </w:rPr>
        <w:t>比选文件</w:t>
      </w:r>
    </w:p>
    <w:p w14:paraId="5186135B">
      <w:pPr>
        <w:spacing w:line="360" w:lineRule="auto"/>
        <w:ind w:left="-2" w:leftChars="-1"/>
        <w:jc w:val="center"/>
        <w:rPr>
          <w:rFonts w:hint="eastAsia" w:ascii="黑体" w:hAnsi="黑体" w:eastAsia="黑体" w:cs="黑体"/>
          <w:b w:val="0"/>
          <w:bCs/>
          <w:color w:val="auto"/>
          <w:kern w:val="0"/>
          <w:sz w:val="32"/>
          <w:szCs w:val="32"/>
        </w:rPr>
      </w:pPr>
    </w:p>
    <w:p w14:paraId="191E9533">
      <w:pPr>
        <w:spacing w:line="360" w:lineRule="auto"/>
        <w:ind w:left="-2" w:leftChars="-1"/>
        <w:jc w:val="center"/>
        <w:rPr>
          <w:rFonts w:hint="eastAsia" w:ascii="黑体" w:hAnsi="黑体" w:eastAsia="黑体" w:cs="黑体"/>
          <w:b w:val="0"/>
          <w:bCs/>
          <w:color w:val="auto"/>
          <w:sz w:val="24"/>
        </w:rPr>
      </w:pPr>
      <w:r>
        <w:rPr>
          <w:rFonts w:hint="eastAsia" w:ascii="黑体" w:hAnsi="黑体" w:eastAsia="黑体" w:cs="黑体"/>
          <w:b w:val="0"/>
          <w:bCs/>
          <w:color w:val="auto"/>
          <w:kern w:val="0"/>
          <w:sz w:val="32"/>
          <w:szCs w:val="32"/>
        </w:rPr>
        <w:t xml:space="preserve">编号：HDGF-GKBX-2026-HW21  </w:t>
      </w:r>
    </w:p>
    <w:p w14:paraId="29922B69">
      <w:pPr>
        <w:spacing w:line="480" w:lineRule="auto"/>
        <w:ind w:left="1050" w:leftChars="500" w:right="1050" w:rightChars="500"/>
        <w:jc w:val="center"/>
        <w:rPr>
          <w:rFonts w:hint="eastAsia" w:ascii="黑体" w:hAnsi="黑体" w:eastAsia="黑体" w:cs="黑体"/>
          <w:color w:val="auto"/>
          <w:sz w:val="48"/>
          <w:szCs w:val="48"/>
          <w:lang w:val="zh-CN"/>
        </w:rPr>
      </w:pPr>
    </w:p>
    <w:p w14:paraId="06089901">
      <w:pPr>
        <w:spacing w:line="480" w:lineRule="auto"/>
        <w:ind w:left="1050" w:leftChars="500" w:right="1050" w:rightChars="500"/>
        <w:jc w:val="center"/>
        <w:rPr>
          <w:rFonts w:hint="eastAsia" w:ascii="黑体" w:hAnsi="黑体" w:eastAsia="黑体" w:cs="黑体"/>
          <w:color w:val="auto"/>
          <w:sz w:val="48"/>
          <w:szCs w:val="48"/>
          <w:lang w:val="zh-CN"/>
        </w:rPr>
      </w:pPr>
    </w:p>
    <w:p w14:paraId="04FDD733">
      <w:pPr>
        <w:spacing w:line="480" w:lineRule="auto"/>
        <w:ind w:left="1050" w:leftChars="500" w:right="1050" w:rightChars="500"/>
        <w:jc w:val="center"/>
        <w:rPr>
          <w:rFonts w:hint="eastAsia" w:ascii="黑体" w:hAnsi="黑体" w:eastAsia="黑体" w:cs="黑体"/>
          <w:color w:val="auto"/>
          <w:sz w:val="48"/>
          <w:szCs w:val="48"/>
          <w:lang w:val="zh-CN"/>
        </w:rPr>
      </w:pPr>
    </w:p>
    <w:p w14:paraId="520D47C1">
      <w:pPr>
        <w:spacing w:line="480" w:lineRule="auto"/>
        <w:ind w:left="1050" w:leftChars="500" w:right="1050" w:rightChars="500"/>
        <w:jc w:val="center"/>
        <w:rPr>
          <w:rFonts w:hint="eastAsia" w:ascii="黑体" w:hAnsi="黑体" w:eastAsia="黑体" w:cs="黑体"/>
          <w:b/>
          <w:bCs/>
          <w:color w:val="auto"/>
          <w:sz w:val="30"/>
          <w:szCs w:val="30"/>
          <w:u w:val="single"/>
        </w:rPr>
      </w:pPr>
      <w:r>
        <w:rPr>
          <w:rFonts w:hint="eastAsia" w:ascii="黑体" w:hAnsi="黑体" w:eastAsia="黑体" w:cs="黑体"/>
          <w:b/>
          <w:bCs/>
          <w:color w:val="auto"/>
          <w:sz w:val="30"/>
          <w:szCs w:val="30"/>
        </w:rPr>
        <w:t>比选人：</w:t>
      </w:r>
      <w:r>
        <w:rPr>
          <w:rFonts w:hint="eastAsia" w:ascii="黑体" w:hAnsi="黑体" w:eastAsia="黑体" w:cs="黑体"/>
          <w:b/>
          <w:bCs/>
          <w:color w:val="auto"/>
          <w:sz w:val="30"/>
          <w:szCs w:val="30"/>
          <w:u w:val="single"/>
        </w:rPr>
        <w:t>四川宏达股份有限公司</w:t>
      </w:r>
    </w:p>
    <w:p w14:paraId="7DCBBCB8">
      <w:pPr>
        <w:autoSpaceDE w:val="0"/>
        <w:autoSpaceDN w:val="0"/>
        <w:adjustRightInd w:val="0"/>
        <w:spacing w:line="480" w:lineRule="auto"/>
        <w:jc w:val="center"/>
        <w:rPr>
          <w:rFonts w:hint="eastAsia" w:ascii="黑体" w:hAnsi="黑体" w:eastAsia="黑体" w:cs="黑体"/>
          <w:b/>
          <w:color w:val="auto"/>
          <w:sz w:val="30"/>
          <w:szCs w:val="30"/>
        </w:rPr>
        <w:sectPr>
          <w:footerReference r:id="rId5" w:type="first"/>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黑体" w:hAnsi="黑体" w:eastAsia="黑体" w:cs="黑体"/>
          <w:b/>
          <w:bCs/>
          <w:color w:val="auto"/>
          <w:sz w:val="30"/>
          <w:szCs w:val="30"/>
          <w:lang w:val="zh-CN"/>
        </w:rPr>
        <w:t>20</w:t>
      </w:r>
      <w:r>
        <w:rPr>
          <w:rFonts w:hint="eastAsia" w:ascii="黑体" w:hAnsi="黑体" w:eastAsia="黑体" w:cs="黑体"/>
          <w:b/>
          <w:bCs/>
          <w:color w:val="auto"/>
          <w:sz w:val="30"/>
          <w:szCs w:val="30"/>
        </w:rPr>
        <w:t>2</w:t>
      </w:r>
      <w:r>
        <w:rPr>
          <w:rFonts w:hint="eastAsia" w:ascii="黑体" w:hAnsi="黑体" w:eastAsia="黑体" w:cs="黑体"/>
          <w:b/>
          <w:bCs/>
          <w:color w:val="auto"/>
          <w:sz w:val="30"/>
          <w:szCs w:val="30"/>
          <w:lang w:val="en-US" w:eastAsia="zh-CN"/>
        </w:rPr>
        <w:t>6</w:t>
      </w:r>
      <w:r>
        <w:rPr>
          <w:rFonts w:hint="eastAsia" w:ascii="黑体" w:hAnsi="黑体" w:eastAsia="黑体" w:cs="黑体"/>
          <w:b/>
          <w:bCs/>
          <w:color w:val="auto"/>
          <w:sz w:val="30"/>
          <w:szCs w:val="30"/>
          <w:lang w:val="zh-CN"/>
        </w:rPr>
        <w:t>年</w:t>
      </w:r>
      <w:r>
        <w:rPr>
          <w:rFonts w:hint="eastAsia" w:ascii="黑体" w:hAnsi="黑体" w:eastAsia="黑体" w:cs="黑体"/>
          <w:b/>
          <w:bCs/>
          <w:color w:val="auto"/>
          <w:sz w:val="30"/>
          <w:szCs w:val="30"/>
          <w:lang w:val="en-US" w:eastAsia="zh-CN"/>
        </w:rPr>
        <w:t>5</w:t>
      </w:r>
      <w:r>
        <w:rPr>
          <w:rFonts w:hint="eastAsia" w:ascii="黑体" w:hAnsi="黑体" w:eastAsia="黑体" w:cs="黑体"/>
          <w:b/>
          <w:bCs/>
          <w:color w:val="auto"/>
          <w:sz w:val="30"/>
          <w:szCs w:val="30"/>
        </w:rPr>
        <w:t>月</w:t>
      </w:r>
      <w:r>
        <w:rPr>
          <w:rFonts w:hint="eastAsia" w:ascii="黑体" w:hAnsi="黑体" w:eastAsia="黑体" w:cs="黑体"/>
          <w:b/>
          <w:bCs/>
          <w:color w:val="auto"/>
          <w:sz w:val="30"/>
          <w:szCs w:val="30"/>
          <w:lang w:val="en-US" w:eastAsia="zh-CN"/>
        </w:rPr>
        <w:t>26</w:t>
      </w:r>
      <w:r>
        <w:rPr>
          <w:rFonts w:hint="eastAsia" w:ascii="黑体" w:hAnsi="黑体" w:eastAsia="黑体" w:cs="黑体"/>
          <w:b/>
          <w:bCs/>
          <w:color w:val="auto"/>
          <w:sz w:val="30"/>
          <w:szCs w:val="30"/>
        </w:rPr>
        <w:t>日</w:t>
      </w:r>
    </w:p>
    <w:p w14:paraId="0421BE4E">
      <w:pPr>
        <w:widowControl/>
        <w:shd w:val="clear" w:color="auto" w:fill="FFFFFF"/>
        <w:spacing w:line="400" w:lineRule="exact"/>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四川宏达股份有限公司</w:t>
      </w:r>
    </w:p>
    <w:p w14:paraId="5980774D">
      <w:pPr>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lang w:val="en-US" w:eastAsia="zh-CN"/>
        </w:rPr>
        <w:t>氨水</w:t>
      </w:r>
      <w:r>
        <w:rPr>
          <w:rFonts w:hint="eastAsia" w:ascii="黑体" w:hAnsi="黑体" w:eastAsia="黑体" w:cs="黑体"/>
          <w:b/>
          <w:color w:val="auto"/>
          <w:kern w:val="0"/>
          <w:sz w:val="32"/>
          <w:szCs w:val="32"/>
        </w:rPr>
        <w:t>采购比选文件</w:t>
      </w:r>
    </w:p>
    <w:p w14:paraId="06F41EA1">
      <w:pPr>
        <w:spacing w:line="360" w:lineRule="auto"/>
        <w:jc w:val="center"/>
        <w:rPr>
          <w:rFonts w:hint="eastAsia" w:ascii="黑体" w:hAnsi="黑体" w:eastAsia="黑体" w:cs="黑体"/>
          <w:color w:val="auto"/>
          <w:szCs w:val="21"/>
        </w:rPr>
      </w:pPr>
      <w:r>
        <w:rPr>
          <w:rFonts w:hint="eastAsia" w:ascii="黑体" w:hAnsi="黑体" w:eastAsia="黑体" w:cs="黑体"/>
          <w:b/>
          <w:color w:val="auto"/>
          <w:kern w:val="0"/>
          <w:szCs w:val="21"/>
          <w:lang w:val="en-US" w:eastAsia="zh-CN"/>
        </w:rPr>
        <w:t xml:space="preserve">                                   </w:t>
      </w:r>
      <w:r>
        <w:rPr>
          <w:rFonts w:hint="eastAsia" w:ascii="黑体" w:hAnsi="黑体" w:eastAsia="黑体" w:cs="黑体"/>
          <w:b/>
          <w:color w:val="auto"/>
          <w:kern w:val="0"/>
          <w:szCs w:val="21"/>
          <w:lang w:val="en-US" w:eastAsia="zh-CN"/>
        </w:rPr>
        <w:t xml:space="preserve">  </w:t>
      </w:r>
      <w:r>
        <w:rPr>
          <w:rFonts w:hint="eastAsia" w:ascii="黑体" w:hAnsi="黑体" w:eastAsia="黑体" w:cs="黑体"/>
          <w:b/>
          <w:color w:val="auto"/>
          <w:kern w:val="0"/>
          <w:szCs w:val="21"/>
        </w:rPr>
        <w:t xml:space="preserve">编号：HDGF-GKBX-2026-HW21 </w:t>
      </w:r>
      <w:r>
        <w:rPr>
          <w:rFonts w:hint="eastAsia" w:ascii="黑体" w:hAnsi="黑体" w:eastAsia="黑体" w:cs="黑体"/>
          <w:b/>
          <w:color w:val="auto"/>
          <w:kern w:val="0"/>
          <w:szCs w:val="21"/>
        </w:rPr>
        <w:t xml:space="preserve"> </w:t>
      </w:r>
    </w:p>
    <w:p w14:paraId="45485503">
      <w:pPr>
        <w:pageBreakBefore w:val="0"/>
        <w:kinsoku/>
        <w:wordWrap/>
        <w:overflowPunct/>
        <w:topLinePunct w:val="0"/>
        <w:bidi w:val="0"/>
        <w:spacing w:line="500" w:lineRule="exact"/>
        <w:rPr>
          <w:rFonts w:hint="eastAsia" w:ascii="黑体" w:hAnsi="黑体" w:eastAsia="黑体" w:cs="黑体"/>
          <w:b/>
          <w:color w:val="auto"/>
          <w:sz w:val="28"/>
          <w:szCs w:val="28"/>
        </w:rPr>
      </w:pPr>
      <w:r>
        <w:rPr>
          <w:rFonts w:hint="eastAsia" w:ascii="黑体" w:hAnsi="黑体" w:eastAsia="黑体" w:cs="黑体"/>
          <w:b/>
          <w:color w:val="auto"/>
          <w:sz w:val="28"/>
          <w:szCs w:val="28"/>
        </w:rPr>
        <w:t>各供应商单位：</w:t>
      </w:r>
    </w:p>
    <w:p w14:paraId="4588A74F">
      <w:pPr>
        <w:pageBreakBefore w:val="0"/>
        <w:kinsoku/>
        <w:wordWrap/>
        <w:overflowPunct/>
        <w:topLinePunct w:val="0"/>
        <w:bidi w:val="0"/>
        <w:spacing w:line="500" w:lineRule="exact"/>
        <w:ind w:firstLine="560" w:firstLineChars="2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四川宏达股份有限公司因生产需</w:t>
      </w:r>
      <w:r>
        <w:rPr>
          <w:rFonts w:hint="eastAsia" w:ascii="黑体" w:hAnsi="黑体" w:eastAsia="黑体" w:cs="黑体"/>
          <w:color w:val="auto"/>
          <w:kern w:val="0"/>
          <w:sz w:val="28"/>
          <w:szCs w:val="28"/>
          <w:lang w:val="en-US" w:eastAsia="zh-CN"/>
        </w:rPr>
        <w:t>要</w:t>
      </w:r>
      <w:r>
        <w:rPr>
          <w:rFonts w:hint="eastAsia" w:ascii="黑体" w:hAnsi="黑体" w:eastAsia="黑体" w:cs="黑体"/>
          <w:color w:val="auto"/>
          <w:kern w:val="0"/>
          <w:sz w:val="28"/>
          <w:szCs w:val="28"/>
        </w:rPr>
        <w:t>采购</w:t>
      </w:r>
      <w:r>
        <w:rPr>
          <w:rFonts w:hint="eastAsia" w:ascii="黑体" w:hAnsi="黑体" w:eastAsia="黑体" w:cs="黑体"/>
          <w:color w:val="auto"/>
          <w:kern w:val="0"/>
          <w:sz w:val="28"/>
          <w:szCs w:val="28"/>
          <w:lang w:val="en-US" w:eastAsia="zh-CN"/>
        </w:rPr>
        <w:t>150吨</w:t>
      </w:r>
      <w:r>
        <w:rPr>
          <w:rFonts w:hint="eastAsia" w:ascii="黑体" w:hAnsi="黑体" w:eastAsia="黑体" w:cs="黑体"/>
          <w:color w:val="auto"/>
          <w:kern w:val="0"/>
          <w:sz w:val="28"/>
          <w:szCs w:val="28"/>
          <w:lang w:eastAsia="zh-CN"/>
        </w:rPr>
        <w:t>氨水</w:t>
      </w:r>
      <w:r>
        <w:rPr>
          <w:rFonts w:hint="eastAsia" w:ascii="黑体" w:hAnsi="黑体" w:eastAsia="黑体" w:cs="黑体"/>
          <w:color w:val="auto"/>
          <w:kern w:val="0"/>
          <w:sz w:val="28"/>
          <w:szCs w:val="28"/>
        </w:rPr>
        <w:t>，本着“公开、公平、公正”的原则，现对</w:t>
      </w:r>
      <w:r>
        <w:rPr>
          <w:rFonts w:hint="eastAsia" w:ascii="黑体" w:hAnsi="黑体" w:eastAsia="黑体" w:cs="黑体"/>
          <w:color w:val="auto"/>
          <w:kern w:val="0"/>
          <w:sz w:val="28"/>
          <w:szCs w:val="28"/>
          <w:lang w:eastAsia="zh-CN"/>
        </w:rPr>
        <w:t>氨水</w:t>
      </w:r>
      <w:r>
        <w:rPr>
          <w:rFonts w:hint="eastAsia" w:ascii="黑体" w:hAnsi="黑体" w:eastAsia="黑体" w:cs="黑体"/>
          <w:color w:val="auto"/>
          <w:kern w:val="0"/>
          <w:sz w:val="28"/>
          <w:szCs w:val="28"/>
        </w:rPr>
        <w:t>进行公开比选。欢迎贵公司前来报价，现将相关事项公告如下：</w:t>
      </w:r>
    </w:p>
    <w:p w14:paraId="1ABE92D5">
      <w:pPr>
        <w:pageBreakBefore w:val="0"/>
        <w:numPr>
          <w:ilvl w:val="0"/>
          <w:numId w:val="1"/>
        </w:numPr>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标的物：</w:t>
      </w:r>
    </w:p>
    <w:p w14:paraId="4AE661B8">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名称：</w:t>
      </w:r>
      <w:r>
        <w:rPr>
          <w:rFonts w:hint="eastAsia" w:ascii="黑体" w:hAnsi="黑体" w:eastAsia="黑体" w:cs="黑体"/>
          <w:color w:val="auto"/>
          <w:kern w:val="0"/>
          <w:sz w:val="28"/>
          <w:szCs w:val="28"/>
          <w:lang w:val="en-US" w:eastAsia="zh-CN"/>
        </w:rPr>
        <w:t>氨水</w:t>
      </w:r>
    </w:p>
    <w:p w14:paraId="2797EEC6">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数量：</w:t>
      </w:r>
      <w:r>
        <w:rPr>
          <w:rFonts w:hint="eastAsia" w:ascii="黑体" w:hAnsi="黑体" w:eastAsia="黑体" w:cs="黑体"/>
          <w:color w:val="auto"/>
          <w:kern w:val="0"/>
          <w:sz w:val="28"/>
          <w:szCs w:val="28"/>
          <w:lang w:val="en-US" w:eastAsia="zh-CN"/>
        </w:rPr>
        <w:t>150吨</w:t>
      </w:r>
    </w:p>
    <w:p w14:paraId="5DA93B09">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二、比选人：四川宏达股份有限公司  </w:t>
      </w:r>
    </w:p>
    <w:p w14:paraId="25F08C61">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三、具体内容及要求：</w:t>
      </w:r>
    </w:p>
    <w:p w14:paraId="0A67758A">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1.质量标准及要求（见第二章购销合同附件）</w:t>
      </w:r>
    </w:p>
    <w:p w14:paraId="45E17A40">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①质量要求：NH</w:t>
      </w:r>
      <w:r>
        <w:rPr>
          <w:rFonts w:hint="eastAsia" w:ascii="黑体" w:hAnsi="黑体" w:eastAsia="黑体" w:cs="黑体"/>
          <w:color w:val="auto"/>
          <w:kern w:val="0"/>
          <w:sz w:val="28"/>
          <w:szCs w:val="28"/>
          <w:vertAlign w:val="subscript"/>
          <w:lang w:val="en-US" w:eastAsia="zh-CN"/>
        </w:rPr>
        <w:t>3</w:t>
      </w:r>
      <w:r>
        <w:rPr>
          <w:rFonts w:hint="eastAsia" w:ascii="黑体" w:hAnsi="黑体" w:eastAsia="黑体" w:cs="黑体"/>
          <w:color w:val="auto"/>
          <w:kern w:val="0"/>
          <w:sz w:val="28"/>
          <w:szCs w:val="28"/>
          <w:lang w:val="en-US" w:eastAsia="zh-CN"/>
        </w:rPr>
        <w:t>≥13.0%。②检测依据:按GB/T631-2007标准检测。</w:t>
      </w:r>
    </w:p>
    <w:p w14:paraId="2E297987">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2.交货地点及方式</w:t>
      </w:r>
    </w:p>
    <w:p w14:paraId="13DE53D4">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rPr>
        <w:t>交货地点：</w:t>
      </w:r>
      <w:r>
        <w:rPr>
          <w:rFonts w:hint="eastAsia" w:ascii="黑体" w:hAnsi="黑体" w:eastAsia="黑体" w:cs="黑体"/>
          <w:color w:val="auto"/>
          <w:kern w:val="0"/>
          <w:sz w:val="28"/>
          <w:szCs w:val="28"/>
          <w:lang w:val="en-US" w:eastAsia="zh-CN"/>
        </w:rPr>
        <w:t>宏达股份</w:t>
      </w:r>
      <w:r>
        <w:rPr>
          <w:rFonts w:hint="eastAsia" w:ascii="黑体" w:hAnsi="黑体" w:eastAsia="黑体" w:cs="黑体"/>
          <w:color w:val="auto"/>
          <w:kern w:val="0"/>
          <w:sz w:val="28"/>
          <w:szCs w:val="28"/>
          <w:lang w:eastAsia="zh-CN"/>
        </w:rPr>
        <w:t>什邡磷化工分公司</w:t>
      </w:r>
      <w:r>
        <w:rPr>
          <w:rFonts w:hint="eastAsia" w:ascii="黑体" w:hAnsi="黑体" w:eastAsia="黑体" w:cs="黑体"/>
          <w:color w:val="auto"/>
          <w:kern w:val="0"/>
          <w:sz w:val="28"/>
          <w:szCs w:val="28"/>
          <w:lang w:val="en-US" w:eastAsia="zh-CN"/>
        </w:rPr>
        <w:t>硫酸厂</w:t>
      </w:r>
      <w:r>
        <w:rPr>
          <w:rFonts w:hint="eastAsia" w:ascii="黑体" w:hAnsi="黑体" w:eastAsia="黑体" w:cs="黑体"/>
          <w:color w:val="auto"/>
          <w:kern w:val="0"/>
          <w:sz w:val="28"/>
          <w:szCs w:val="28"/>
        </w:rPr>
        <w:t>（什邡市洛水镇）。</w:t>
      </w:r>
    </w:p>
    <w:p w14:paraId="4E5929B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bCs/>
          <w:color w:val="auto"/>
          <w:sz w:val="24"/>
          <w:szCs w:val="24"/>
          <w:lang w:eastAsia="zh-CN"/>
        </w:rPr>
        <w:t>②</w:t>
      </w:r>
      <w:r>
        <w:rPr>
          <w:rFonts w:hint="eastAsia" w:ascii="黑体" w:hAnsi="黑体" w:eastAsia="黑体" w:cs="黑体"/>
          <w:color w:val="auto"/>
          <w:kern w:val="0"/>
          <w:sz w:val="28"/>
          <w:szCs w:val="28"/>
        </w:rPr>
        <w:t>交货方式：</w:t>
      </w:r>
      <w:r>
        <w:rPr>
          <w:rFonts w:hint="eastAsia" w:ascii="黑体" w:hAnsi="黑体" w:eastAsia="黑体" w:cs="黑体"/>
          <w:color w:val="auto"/>
          <w:kern w:val="0"/>
          <w:sz w:val="28"/>
          <w:szCs w:val="28"/>
          <w:lang w:val="en-US" w:eastAsia="zh-CN"/>
        </w:rPr>
        <w:t>中选方于合同期内，按比选方通知及时送货至</w:t>
      </w:r>
      <w:r>
        <w:rPr>
          <w:rFonts w:hint="eastAsia" w:ascii="黑体" w:hAnsi="黑体" w:eastAsia="黑体" w:cs="黑体"/>
          <w:color w:val="auto"/>
          <w:kern w:val="0"/>
          <w:sz w:val="28"/>
          <w:szCs w:val="28"/>
        </w:rPr>
        <w:t>指定地点。</w:t>
      </w:r>
    </w:p>
    <w:p w14:paraId="6F67F91A">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3.运输方式</w:t>
      </w:r>
    </w:p>
    <w:p w14:paraId="29E8533F">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汽车运输，中选方应保证运输方式符合交通部规定的特种全封闭危险品罐装汽车运输规范及国家其他有关运输危险货物规定的要求，并承担因此产生的全部责任。由中选方负责货物装卸、装卸过程中的人员安全责任以及标的物交付之前的货损风险。</w:t>
      </w:r>
    </w:p>
    <w:p w14:paraId="2F7A2D80">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4.结算依据及标准</w:t>
      </w:r>
    </w:p>
    <w:p w14:paraId="594B9C75">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lang w:val="en-US" w:eastAsia="zh-CN"/>
        </w:rPr>
        <w:t>标的物数量验收以比选人地磅计量为准。</w:t>
      </w:r>
    </w:p>
    <w:p w14:paraId="501CC690">
      <w:pPr>
        <w:pageBreakBefore w:val="0"/>
        <w:kinsoku/>
        <w:wordWrap/>
        <w:overflowPunct/>
        <w:topLinePunct w:val="0"/>
        <w:bidi w:val="0"/>
        <w:spacing w:line="500" w:lineRule="exact"/>
        <w:rPr>
          <w:rFonts w:hint="default"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②</w:t>
      </w:r>
      <w:r>
        <w:rPr>
          <w:rFonts w:hint="eastAsia" w:ascii="黑体" w:hAnsi="黑体" w:eastAsia="黑体" w:cs="黑体"/>
          <w:color w:val="auto"/>
          <w:kern w:val="0"/>
          <w:sz w:val="28"/>
          <w:szCs w:val="28"/>
          <w:lang w:val="en-US" w:eastAsia="zh-CN"/>
        </w:rPr>
        <w:t>标的物质量验收以比选人检验报告为准。</w:t>
      </w:r>
    </w:p>
    <w:p w14:paraId="3872E115">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5.付款方式及发票</w:t>
      </w:r>
    </w:p>
    <w:p w14:paraId="03265421">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lang w:val="en-US" w:eastAsia="zh-CN"/>
        </w:rPr>
        <w:t>付款方式：先货后款，</w:t>
      </w:r>
      <w:r>
        <w:rPr>
          <w:rFonts w:hint="eastAsia" w:ascii="黑体" w:hAnsi="黑体" w:eastAsia="黑体" w:cs="黑体"/>
          <w:color w:val="auto"/>
          <w:kern w:val="0"/>
          <w:sz w:val="28"/>
          <w:szCs w:val="28"/>
          <w:lang w:val="en-US" w:eastAsia="zh-CN"/>
        </w:rPr>
        <w:t>现汇支付。</w:t>
      </w:r>
    </w:p>
    <w:p w14:paraId="6899B5A2">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eastAsia="zh-CN"/>
        </w:rPr>
        <w:t>②</w:t>
      </w:r>
      <w:r>
        <w:rPr>
          <w:rFonts w:hint="eastAsia" w:ascii="黑体" w:hAnsi="黑体" w:eastAsia="黑体" w:cs="黑体"/>
          <w:color w:val="auto"/>
          <w:kern w:val="0"/>
          <w:sz w:val="28"/>
          <w:szCs w:val="28"/>
          <w:lang w:val="en-US" w:eastAsia="zh-CN"/>
        </w:rPr>
        <w:t>发票：中选方应开具</w:t>
      </w:r>
      <w:bookmarkStart w:id="0" w:name="_Hlk61427328"/>
      <w:r>
        <w:rPr>
          <w:rFonts w:hint="eastAsia" w:ascii="黑体" w:hAnsi="黑体" w:eastAsia="黑体" w:cs="黑体"/>
          <w:color w:val="auto"/>
          <w:kern w:val="0"/>
          <w:sz w:val="28"/>
          <w:szCs w:val="28"/>
          <w:lang w:val="en-US" w:eastAsia="zh-CN"/>
        </w:rPr>
        <w:t>合法有效的符合比选人要求</w:t>
      </w:r>
      <w:bookmarkEnd w:id="0"/>
      <w:r>
        <w:rPr>
          <w:rFonts w:hint="eastAsia" w:ascii="黑体" w:hAnsi="黑体" w:eastAsia="黑体" w:cs="黑体"/>
          <w:color w:val="auto"/>
          <w:kern w:val="0"/>
          <w:sz w:val="28"/>
          <w:szCs w:val="28"/>
          <w:lang w:val="en-US" w:eastAsia="zh-CN"/>
        </w:rPr>
        <w:t>的全额增值税专用</w:t>
      </w:r>
      <w:r>
        <w:rPr>
          <w:rFonts w:hint="eastAsia" w:ascii="黑体" w:hAnsi="黑体" w:eastAsia="黑体"/>
          <w:bCs/>
          <w:color w:val="auto"/>
          <w:sz w:val="28"/>
          <w:szCs w:val="28"/>
          <w:lang w:val="en-US" w:eastAsia="zh-CN"/>
        </w:rPr>
        <w:t>发票（税率9%）。</w:t>
      </w:r>
    </w:p>
    <w:p w14:paraId="5C0182FC">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val="en-US" w:eastAsia="zh-CN"/>
        </w:rPr>
        <w:t>6.交货时间</w:t>
      </w:r>
      <w:r>
        <w:rPr>
          <w:rFonts w:hint="eastAsia" w:ascii="黑体" w:hAnsi="黑体" w:eastAsia="黑体"/>
          <w:bCs/>
          <w:color w:val="auto"/>
          <w:sz w:val="28"/>
          <w:szCs w:val="28"/>
          <w:lang w:eastAsia="zh-CN"/>
        </w:rPr>
        <w:t>：自202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lang w:eastAsia="zh-CN"/>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lang w:eastAsia="zh-CN"/>
        </w:rPr>
        <w:t>月</w:t>
      </w:r>
      <w:r>
        <w:rPr>
          <w:rFonts w:hint="eastAsia" w:ascii="黑体" w:hAnsi="黑体" w:eastAsia="黑体"/>
          <w:bCs/>
          <w:color w:val="auto"/>
          <w:sz w:val="28"/>
          <w:szCs w:val="28"/>
          <w:lang w:val="en-US" w:eastAsia="zh-CN"/>
        </w:rPr>
        <w:t>29</w:t>
      </w:r>
      <w:r>
        <w:rPr>
          <w:rFonts w:hint="eastAsia" w:ascii="黑体" w:hAnsi="黑体" w:eastAsia="黑体"/>
          <w:bCs/>
          <w:color w:val="auto"/>
          <w:sz w:val="28"/>
          <w:szCs w:val="28"/>
          <w:lang w:eastAsia="zh-CN"/>
        </w:rPr>
        <w:t>日起至202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lang w:eastAsia="zh-CN"/>
        </w:rPr>
        <w:t>年</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lang w:eastAsia="zh-CN"/>
        </w:rPr>
        <w:t>月</w:t>
      </w:r>
      <w:r>
        <w:rPr>
          <w:rFonts w:hint="eastAsia" w:ascii="黑体" w:hAnsi="黑体" w:eastAsia="黑体"/>
          <w:bCs/>
          <w:color w:val="auto"/>
          <w:sz w:val="28"/>
          <w:szCs w:val="28"/>
          <w:lang w:val="en-US" w:eastAsia="zh-CN"/>
        </w:rPr>
        <w:t>15</w:t>
      </w:r>
      <w:r>
        <w:rPr>
          <w:rFonts w:hint="eastAsia" w:ascii="黑体" w:hAnsi="黑体" w:eastAsia="黑体"/>
          <w:bCs/>
          <w:color w:val="auto"/>
          <w:sz w:val="28"/>
          <w:szCs w:val="28"/>
          <w:lang w:eastAsia="zh-CN"/>
        </w:rPr>
        <w:t>日止。</w:t>
      </w:r>
    </w:p>
    <w:p w14:paraId="2FAE3FBC">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val="en-US" w:eastAsia="zh-CN"/>
        </w:rPr>
        <w:t>7.中选价格即为合同到厂单价，本价格在合同期内为不变价。</w:t>
      </w:r>
    </w:p>
    <w:p w14:paraId="790ED941">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val="en-US" w:eastAsia="zh-CN"/>
        </w:rPr>
        <w:t>8.合同签订前，中选方向比选方缴纳</w:t>
      </w:r>
      <w:r>
        <w:rPr>
          <w:rFonts w:hint="eastAsia" w:ascii="黑体" w:hAnsi="黑体" w:eastAsia="黑体"/>
          <w:bCs/>
          <w:color w:val="auto"/>
          <w:sz w:val="28"/>
          <w:szCs w:val="28"/>
          <w:lang w:eastAsia="zh-CN"/>
        </w:rPr>
        <w:t>履约保证金</w:t>
      </w:r>
      <w:r>
        <w:rPr>
          <w:rFonts w:hint="eastAsia" w:ascii="黑体" w:hAnsi="黑体" w:eastAsia="黑体"/>
          <w:bCs/>
          <w:color w:val="auto"/>
          <w:sz w:val="28"/>
          <w:szCs w:val="28"/>
          <w:lang w:val="en-US" w:eastAsia="zh-CN"/>
        </w:rPr>
        <w:t>为1</w:t>
      </w:r>
      <w:r>
        <w:rPr>
          <w:rFonts w:hint="eastAsia" w:ascii="黑体" w:hAnsi="黑体" w:eastAsia="黑体"/>
          <w:bCs/>
          <w:color w:val="auto"/>
          <w:sz w:val="28"/>
          <w:szCs w:val="28"/>
          <w:lang w:eastAsia="zh-CN"/>
        </w:rPr>
        <w:t>万元。</w:t>
      </w:r>
    </w:p>
    <w:p w14:paraId="69C37AA6">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①</w:t>
      </w:r>
      <w:r>
        <w:rPr>
          <w:rFonts w:hint="eastAsia" w:ascii="黑体" w:hAnsi="黑体" w:eastAsia="黑体"/>
          <w:bCs/>
          <w:color w:val="auto"/>
          <w:sz w:val="28"/>
          <w:szCs w:val="28"/>
          <w:lang w:val="en-US" w:eastAsia="zh-CN"/>
        </w:rPr>
        <w:t>非比选方原因，中选方于合同期内未及时供货，给比选方生产造成影响的，比选方不退还中选方</w:t>
      </w:r>
      <w:r>
        <w:rPr>
          <w:rFonts w:hint="eastAsia" w:ascii="黑体" w:hAnsi="黑体" w:eastAsia="黑体"/>
          <w:bCs/>
          <w:color w:val="auto"/>
          <w:sz w:val="28"/>
          <w:szCs w:val="28"/>
          <w:lang w:eastAsia="zh-CN"/>
        </w:rPr>
        <w:t>履约保证金，履约保证金不足以支付违约金的，以</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货款补齐；</w:t>
      </w:r>
    </w:p>
    <w:p w14:paraId="153444F6">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eastAsia="zh-CN"/>
        </w:rPr>
        <w:t>②若</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在签订合同后恶意不执行合同，</w:t>
      </w:r>
      <w:r>
        <w:rPr>
          <w:rFonts w:hint="eastAsia" w:ascii="黑体" w:hAnsi="黑体" w:eastAsia="黑体"/>
          <w:bCs/>
          <w:color w:val="auto"/>
          <w:sz w:val="28"/>
          <w:szCs w:val="28"/>
          <w:lang w:val="en-US" w:eastAsia="zh-CN"/>
        </w:rPr>
        <w:t>比选方</w:t>
      </w:r>
      <w:r>
        <w:rPr>
          <w:rFonts w:hint="eastAsia" w:ascii="黑体" w:hAnsi="黑体" w:eastAsia="黑体"/>
          <w:bCs/>
          <w:color w:val="auto"/>
          <w:sz w:val="28"/>
          <w:szCs w:val="28"/>
          <w:lang w:eastAsia="zh-CN"/>
        </w:rPr>
        <w:t>除不退还</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履约保证金外，并将</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列入</w:t>
      </w:r>
      <w:r>
        <w:rPr>
          <w:rFonts w:hint="eastAsia" w:ascii="黑体" w:hAnsi="黑体" w:eastAsia="黑体"/>
          <w:bCs/>
          <w:color w:val="auto"/>
          <w:sz w:val="28"/>
          <w:szCs w:val="28"/>
          <w:lang w:val="en-US" w:eastAsia="zh-CN"/>
        </w:rPr>
        <w:t>比选</w:t>
      </w:r>
      <w:r>
        <w:rPr>
          <w:rFonts w:hint="eastAsia" w:ascii="黑体" w:hAnsi="黑体" w:eastAsia="黑体"/>
          <w:bCs/>
          <w:color w:val="auto"/>
          <w:sz w:val="28"/>
          <w:szCs w:val="28"/>
          <w:lang w:eastAsia="zh-CN"/>
        </w:rPr>
        <w:t>方合作黑名单，永不合作</w:t>
      </w:r>
      <w:r>
        <w:rPr>
          <w:rFonts w:hint="eastAsia" w:ascii="黑体" w:hAnsi="黑体" w:eastAsia="黑体"/>
          <w:bCs/>
          <w:color w:val="auto"/>
          <w:sz w:val="28"/>
          <w:szCs w:val="28"/>
          <w:lang w:val="en-US" w:eastAsia="zh-CN"/>
        </w:rPr>
        <w:t>；</w:t>
      </w:r>
    </w:p>
    <w:p w14:paraId="2CE72857">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③本合同执行完毕，</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无违约行为，</w:t>
      </w:r>
      <w:r>
        <w:rPr>
          <w:rFonts w:hint="eastAsia" w:ascii="黑体" w:hAnsi="黑体" w:eastAsia="黑体"/>
          <w:bCs/>
          <w:color w:val="auto"/>
          <w:sz w:val="28"/>
          <w:szCs w:val="28"/>
          <w:lang w:val="en-US" w:eastAsia="zh-CN"/>
        </w:rPr>
        <w:t>比选方在十个工作日内全额</w:t>
      </w:r>
      <w:r>
        <w:rPr>
          <w:rFonts w:hint="eastAsia" w:ascii="黑体" w:hAnsi="黑体" w:eastAsia="黑体"/>
          <w:bCs/>
          <w:color w:val="auto"/>
          <w:sz w:val="28"/>
          <w:szCs w:val="28"/>
          <w:lang w:eastAsia="zh-CN"/>
        </w:rPr>
        <w:t>退还履约保证金。</w:t>
      </w:r>
    </w:p>
    <w:p w14:paraId="5D8DBC48">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val="en-US" w:eastAsia="zh-CN"/>
        </w:rPr>
        <w:t>9</w:t>
      </w:r>
      <w:r>
        <w:rPr>
          <w:rFonts w:hint="eastAsia" w:ascii="黑体" w:hAnsi="黑体" w:eastAsia="黑体"/>
          <w:bCs/>
          <w:color w:val="auto"/>
          <w:sz w:val="28"/>
          <w:szCs w:val="28"/>
          <w:lang w:eastAsia="zh-CN"/>
        </w:rPr>
        <w:t>.比选文件的获取：</w:t>
      </w:r>
    </w:p>
    <w:p w14:paraId="0AB5C309">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获取方式为：自202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26</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18</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00</w:t>
      </w:r>
      <w:r>
        <w:rPr>
          <w:rFonts w:hint="eastAsia" w:ascii="黑体" w:hAnsi="黑体" w:eastAsia="黑体" w:cs="黑体"/>
          <w:color w:val="auto"/>
          <w:kern w:val="0"/>
          <w:sz w:val="28"/>
          <w:szCs w:val="28"/>
        </w:rPr>
        <w:t>分至202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28</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15</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 xml:space="preserve">分通过四川宏达股份有限公司集采中心招投标平台(以下简称“ 宏达股份集采平台”）（http://jc.sichuanhongda.com/）进行注册并登录后下载比选文件，参与投标。 </w:t>
      </w:r>
    </w:p>
    <w:p w14:paraId="029241F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10</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响应性文件的递交：</w:t>
      </w:r>
    </w:p>
    <w:p w14:paraId="0321D89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递交截止时间：202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28</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15</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分。</w:t>
      </w:r>
    </w:p>
    <w:p w14:paraId="3A58839D">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比选申请人按本比选文件第三章响应性文件格式制作报价文件，注明标的物名称、规格型号、数量、单价（到厂含税价）、交货期、付款方式等（若</w:t>
      </w:r>
      <w:r>
        <w:rPr>
          <w:rFonts w:hint="eastAsia" w:ascii="黑体" w:hAnsi="黑体" w:eastAsia="黑体" w:cs="黑体"/>
          <w:color w:val="auto"/>
          <w:kern w:val="0"/>
          <w:sz w:val="28"/>
          <w:szCs w:val="28"/>
          <w:lang w:val="en-US" w:eastAsia="zh-CN"/>
        </w:rPr>
        <w:t>与</w:t>
      </w:r>
      <w:r>
        <w:rPr>
          <w:rFonts w:hint="eastAsia" w:ascii="黑体" w:hAnsi="黑体" w:eastAsia="黑体" w:cs="黑体"/>
          <w:color w:val="auto"/>
          <w:kern w:val="0"/>
          <w:sz w:val="28"/>
          <w:szCs w:val="28"/>
        </w:rPr>
        <w:t>约定的标的物交货期、付款方式等有异议，请在报价文件中另作说明）。所有上述资料组成响应性文件，比选申请人需将响应性文件打印盖章后，以电子文件方式（PDF、扫描文件等）上传至宏达股份集采平台。</w:t>
      </w:r>
    </w:p>
    <w:p w14:paraId="0293434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11.响应性文件的要求</w:t>
      </w:r>
    </w:p>
    <w:p w14:paraId="7B76856A">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①比选申请人需提供营业执照（三证合一）、危险化学品经营许可证。</w:t>
      </w:r>
    </w:p>
    <w:p w14:paraId="3486C7D7">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②比选申请人需提供开票资料。</w:t>
      </w:r>
    </w:p>
    <w:p w14:paraId="26A00E9C">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12</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比选时不保证最低价中选，但充分注意合理的最低报价。</w:t>
      </w:r>
      <w:r>
        <w:rPr>
          <w:rFonts w:hint="eastAsia" w:ascii="黑体" w:hAnsi="黑体" w:eastAsia="黑体" w:cs="黑体"/>
          <w:color w:val="auto"/>
          <w:kern w:val="0"/>
          <w:sz w:val="28"/>
          <w:szCs w:val="28"/>
          <w:lang w:val="en-US" w:eastAsia="zh-CN"/>
        </w:rPr>
        <w:t>原则上不进行二次议价！</w:t>
      </w:r>
    </w:p>
    <w:p w14:paraId="7995931D">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1</w:t>
      </w:r>
      <w:r>
        <w:rPr>
          <w:rFonts w:hint="eastAsia" w:ascii="黑体" w:hAnsi="黑体" w:eastAsia="黑体" w:cs="黑体"/>
          <w:color w:val="auto"/>
          <w:kern w:val="0"/>
          <w:sz w:val="28"/>
          <w:szCs w:val="28"/>
          <w:lang w:val="en-US" w:eastAsia="zh-CN"/>
        </w:rPr>
        <w:t>3</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交送报价文件前，供应商可自愿前来我公司进行实地考查、技术交流或咨询。</w:t>
      </w:r>
    </w:p>
    <w:p w14:paraId="33534D67">
      <w:pPr>
        <w:pageBreakBefore w:val="0"/>
        <w:kinsoku/>
        <w:wordWrap/>
        <w:overflowPunct/>
        <w:topLinePunct w:val="0"/>
        <w:bidi w:val="0"/>
        <w:spacing w:line="500" w:lineRule="exac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联系人：</w:t>
      </w:r>
      <w:r>
        <w:rPr>
          <w:rFonts w:hint="eastAsia" w:ascii="黑体" w:hAnsi="黑体" w:eastAsia="黑体" w:cs="黑体"/>
          <w:color w:val="auto"/>
          <w:kern w:val="0"/>
          <w:sz w:val="28"/>
          <w:szCs w:val="28"/>
          <w:lang w:val="en-US" w:eastAsia="zh-CN"/>
        </w:rPr>
        <w:t>张志伟</w:t>
      </w:r>
      <w:r>
        <w:rPr>
          <w:rFonts w:hint="eastAsia" w:ascii="黑体" w:hAnsi="黑体" w:eastAsia="黑体" w:cs="黑体"/>
          <w:color w:val="auto"/>
          <w:sz w:val="28"/>
          <w:szCs w:val="28"/>
          <w:lang w:val="en-US" w:eastAsia="zh-CN"/>
        </w:rPr>
        <w:t>13890269931</w:t>
      </w:r>
    </w:p>
    <w:p w14:paraId="1BE1B4C8">
      <w:pPr>
        <w:pageBreakBefore w:val="0"/>
        <w:kinsoku/>
        <w:wordWrap/>
        <w:overflowPunct/>
        <w:topLinePunct w:val="0"/>
        <w:bidi w:val="0"/>
        <w:adjustRightInd w:val="0"/>
        <w:spacing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地 址：四川省德阳市什邡市洛水镇          邮 编：618401           </w:t>
      </w:r>
    </w:p>
    <w:p w14:paraId="253395D7">
      <w:pPr>
        <w:pageBreakBefore w:val="0"/>
        <w:kinsoku/>
        <w:wordWrap/>
        <w:overflowPunct/>
        <w:topLinePunct w:val="0"/>
        <w:bidi w:val="0"/>
        <w:adjustRightInd w:val="0"/>
        <w:spacing w:line="500" w:lineRule="exact"/>
        <w:ind w:firstLine="5460" w:firstLineChars="1950"/>
        <w:jc w:val="left"/>
        <w:rPr>
          <w:rFonts w:hint="eastAsia" w:ascii="黑体" w:hAnsi="黑体" w:eastAsia="黑体" w:cs="黑体"/>
          <w:color w:val="auto"/>
          <w:kern w:val="0"/>
          <w:sz w:val="28"/>
          <w:szCs w:val="28"/>
        </w:rPr>
      </w:pPr>
    </w:p>
    <w:p w14:paraId="1F6C5919">
      <w:pPr>
        <w:pageBreakBefore w:val="0"/>
        <w:kinsoku/>
        <w:wordWrap/>
        <w:overflowPunct/>
        <w:topLinePunct w:val="0"/>
        <w:bidi w:val="0"/>
        <w:adjustRightInd w:val="0"/>
        <w:spacing w:line="500" w:lineRule="exact"/>
        <w:ind w:firstLine="4480" w:firstLineChars="16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w:t>
      </w:r>
    </w:p>
    <w:p w14:paraId="0EE0F5A4">
      <w:pPr>
        <w:pageBreakBefore w:val="0"/>
        <w:kinsoku/>
        <w:wordWrap/>
        <w:overflowPunct/>
        <w:topLinePunct w:val="0"/>
        <w:bidi w:val="0"/>
        <w:spacing w:line="500" w:lineRule="exact"/>
        <w:ind w:firstLine="5040" w:firstLineChars="18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26</w:t>
      </w:r>
      <w:r>
        <w:rPr>
          <w:rFonts w:hint="eastAsia" w:ascii="黑体" w:hAnsi="黑体" w:eastAsia="黑体" w:cs="黑体"/>
          <w:color w:val="auto"/>
          <w:kern w:val="0"/>
          <w:sz w:val="28"/>
          <w:szCs w:val="28"/>
        </w:rPr>
        <w:t>日</w:t>
      </w:r>
    </w:p>
    <w:p w14:paraId="775FDB78">
      <w:pPr>
        <w:spacing w:line="440" w:lineRule="exact"/>
        <w:jc w:val="center"/>
        <w:rPr>
          <w:rFonts w:hint="eastAsia" w:ascii="黑体" w:hAnsi="黑体" w:eastAsia="黑体"/>
          <w:b/>
          <w:color w:val="auto"/>
          <w:sz w:val="36"/>
          <w:szCs w:val="36"/>
        </w:rPr>
      </w:pPr>
      <w:bookmarkStart w:id="1" w:name="_Toc274236999"/>
      <w:bookmarkStart w:id="2" w:name="_Toc275019684"/>
      <w:bookmarkStart w:id="3" w:name="_Toc275019836"/>
      <w:bookmarkStart w:id="4" w:name="_Toc268793030"/>
      <w:bookmarkStart w:id="5" w:name="_Toc274596702"/>
      <w:bookmarkStart w:id="6" w:name="_Toc275014947"/>
      <w:bookmarkStart w:id="7" w:name="_Toc269113527"/>
      <w:bookmarkStart w:id="8" w:name="_Toc318986166"/>
      <w:bookmarkStart w:id="9" w:name="_Toc238797630"/>
      <w:bookmarkStart w:id="10" w:name="_Toc16684"/>
      <w:bookmarkStart w:id="11" w:name="_Toc238552273"/>
      <w:bookmarkStart w:id="12" w:name="_Toc303149804"/>
      <w:bookmarkStart w:id="13" w:name="_Toc275019290"/>
      <w:bookmarkStart w:id="14" w:name="_Hlk155791057"/>
    </w:p>
    <w:p w14:paraId="39E6C8B8">
      <w:pPr>
        <w:spacing w:line="440" w:lineRule="exact"/>
        <w:jc w:val="center"/>
        <w:rPr>
          <w:rFonts w:hint="eastAsia" w:ascii="黑体" w:hAnsi="黑体" w:eastAsia="黑体"/>
          <w:b/>
          <w:color w:val="auto"/>
          <w:sz w:val="36"/>
          <w:szCs w:val="36"/>
        </w:rPr>
      </w:pPr>
    </w:p>
    <w:p w14:paraId="0BF1D803">
      <w:pPr>
        <w:spacing w:line="440" w:lineRule="exact"/>
        <w:jc w:val="center"/>
        <w:rPr>
          <w:rFonts w:hint="eastAsia" w:ascii="黑体" w:hAnsi="黑体" w:eastAsia="黑体"/>
          <w:b/>
          <w:color w:val="auto"/>
          <w:sz w:val="36"/>
          <w:szCs w:val="36"/>
        </w:rPr>
      </w:pPr>
    </w:p>
    <w:p w14:paraId="13634576">
      <w:pPr>
        <w:spacing w:line="440" w:lineRule="exact"/>
        <w:jc w:val="center"/>
        <w:rPr>
          <w:rFonts w:hint="eastAsia" w:ascii="黑体" w:hAnsi="黑体" w:eastAsia="黑体"/>
          <w:b/>
          <w:color w:val="auto"/>
          <w:sz w:val="36"/>
          <w:szCs w:val="36"/>
        </w:rPr>
      </w:pPr>
    </w:p>
    <w:p w14:paraId="7F2E1E4D">
      <w:pPr>
        <w:spacing w:line="440" w:lineRule="exact"/>
        <w:jc w:val="center"/>
        <w:rPr>
          <w:rFonts w:hint="eastAsia" w:ascii="黑体" w:hAnsi="黑体" w:eastAsia="黑体"/>
          <w:b/>
          <w:color w:val="auto"/>
          <w:sz w:val="36"/>
          <w:szCs w:val="36"/>
        </w:rPr>
      </w:pPr>
    </w:p>
    <w:p w14:paraId="3A5C3E26">
      <w:pPr>
        <w:spacing w:line="440" w:lineRule="exact"/>
        <w:jc w:val="center"/>
        <w:rPr>
          <w:rFonts w:hint="eastAsia" w:ascii="黑体" w:hAnsi="黑体" w:eastAsia="黑体"/>
          <w:b/>
          <w:color w:val="auto"/>
          <w:sz w:val="36"/>
          <w:szCs w:val="36"/>
        </w:rPr>
      </w:pPr>
    </w:p>
    <w:p w14:paraId="537D421F">
      <w:pPr>
        <w:spacing w:line="440" w:lineRule="exact"/>
        <w:jc w:val="center"/>
        <w:rPr>
          <w:rFonts w:hint="eastAsia" w:ascii="黑体" w:hAnsi="黑体" w:eastAsia="黑体"/>
          <w:b/>
          <w:color w:val="auto"/>
          <w:sz w:val="36"/>
          <w:szCs w:val="36"/>
        </w:rPr>
      </w:pPr>
    </w:p>
    <w:p w14:paraId="460BCABE">
      <w:pPr>
        <w:spacing w:line="440" w:lineRule="exact"/>
        <w:jc w:val="center"/>
        <w:rPr>
          <w:rFonts w:hint="eastAsia" w:ascii="黑体" w:hAnsi="黑体" w:eastAsia="黑体"/>
          <w:b/>
          <w:color w:val="auto"/>
          <w:sz w:val="36"/>
          <w:szCs w:val="36"/>
        </w:rPr>
      </w:pPr>
    </w:p>
    <w:p w14:paraId="733736BF">
      <w:pPr>
        <w:spacing w:line="440" w:lineRule="exact"/>
        <w:jc w:val="center"/>
        <w:rPr>
          <w:rFonts w:hint="eastAsia" w:ascii="黑体" w:hAnsi="黑体" w:eastAsia="黑体"/>
          <w:b/>
          <w:color w:val="auto"/>
          <w:sz w:val="36"/>
          <w:szCs w:val="36"/>
        </w:rPr>
      </w:pPr>
    </w:p>
    <w:p w14:paraId="0DD2456F">
      <w:pPr>
        <w:spacing w:line="440" w:lineRule="exact"/>
        <w:jc w:val="center"/>
        <w:rPr>
          <w:rFonts w:hint="eastAsia" w:ascii="黑体" w:hAnsi="黑体" w:eastAsia="黑体"/>
          <w:b/>
          <w:color w:val="auto"/>
          <w:sz w:val="36"/>
          <w:szCs w:val="36"/>
        </w:rPr>
      </w:pPr>
    </w:p>
    <w:p w14:paraId="78FCD057">
      <w:pPr>
        <w:spacing w:line="440" w:lineRule="exact"/>
        <w:jc w:val="center"/>
        <w:rPr>
          <w:rFonts w:hint="eastAsia" w:ascii="黑体" w:hAnsi="黑体" w:eastAsia="黑体"/>
          <w:b/>
          <w:color w:val="auto"/>
          <w:sz w:val="36"/>
          <w:szCs w:val="36"/>
        </w:rPr>
      </w:pPr>
    </w:p>
    <w:p w14:paraId="09CB76A3">
      <w:pPr>
        <w:spacing w:line="440" w:lineRule="exact"/>
        <w:jc w:val="center"/>
        <w:rPr>
          <w:rFonts w:hint="eastAsia" w:ascii="黑体" w:hAnsi="黑体" w:eastAsia="黑体"/>
          <w:b/>
          <w:color w:val="auto"/>
          <w:sz w:val="36"/>
          <w:szCs w:val="36"/>
        </w:rPr>
      </w:pPr>
    </w:p>
    <w:p w14:paraId="5BFE2F5B">
      <w:pPr>
        <w:spacing w:line="440" w:lineRule="exact"/>
        <w:jc w:val="center"/>
        <w:rPr>
          <w:rFonts w:hint="eastAsia" w:ascii="黑体" w:hAnsi="黑体" w:eastAsia="黑体"/>
          <w:b/>
          <w:color w:val="auto"/>
          <w:sz w:val="36"/>
          <w:szCs w:val="36"/>
        </w:rPr>
      </w:pPr>
    </w:p>
    <w:p w14:paraId="4CB8AD6B">
      <w:pPr>
        <w:spacing w:line="440" w:lineRule="exact"/>
        <w:jc w:val="center"/>
        <w:rPr>
          <w:rFonts w:hint="eastAsia" w:ascii="黑体" w:hAnsi="黑体" w:eastAsia="黑体"/>
          <w:b/>
          <w:color w:val="auto"/>
          <w:sz w:val="36"/>
          <w:szCs w:val="36"/>
        </w:rPr>
      </w:pPr>
    </w:p>
    <w:p w14:paraId="3AA109EF">
      <w:pPr>
        <w:spacing w:line="440" w:lineRule="exact"/>
        <w:jc w:val="center"/>
        <w:rPr>
          <w:rFonts w:hint="eastAsia" w:ascii="黑体" w:hAnsi="黑体" w:eastAsia="黑体"/>
          <w:b/>
          <w:color w:val="auto"/>
          <w:sz w:val="36"/>
          <w:szCs w:val="36"/>
        </w:rPr>
      </w:pPr>
    </w:p>
    <w:p w14:paraId="51A2E77A">
      <w:pPr>
        <w:spacing w:line="440" w:lineRule="exact"/>
        <w:jc w:val="center"/>
        <w:rPr>
          <w:rFonts w:hint="eastAsia" w:ascii="黑体" w:hAnsi="黑体" w:eastAsia="黑体"/>
          <w:b/>
          <w:color w:val="auto"/>
          <w:sz w:val="36"/>
          <w:szCs w:val="36"/>
        </w:rPr>
      </w:pPr>
    </w:p>
    <w:p w14:paraId="67DEFEBC">
      <w:pPr>
        <w:spacing w:line="440" w:lineRule="exact"/>
        <w:jc w:val="center"/>
        <w:rPr>
          <w:rFonts w:hint="eastAsia" w:ascii="黑体" w:hAnsi="黑体" w:eastAsia="黑体"/>
          <w:b/>
          <w:color w:val="auto"/>
          <w:sz w:val="36"/>
          <w:szCs w:val="36"/>
        </w:rPr>
      </w:pPr>
    </w:p>
    <w:p w14:paraId="2DE85B16">
      <w:pPr>
        <w:spacing w:line="440" w:lineRule="exact"/>
        <w:jc w:val="center"/>
        <w:rPr>
          <w:rFonts w:hint="eastAsia" w:ascii="黑体" w:hAnsi="黑体" w:eastAsia="黑体"/>
          <w:b/>
          <w:color w:val="auto"/>
          <w:sz w:val="36"/>
          <w:szCs w:val="36"/>
        </w:rPr>
      </w:pPr>
    </w:p>
    <w:p w14:paraId="14D051C5">
      <w:pPr>
        <w:spacing w:line="440" w:lineRule="exact"/>
        <w:jc w:val="center"/>
        <w:rPr>
          <w:rFonts w:hint="eastAsia" w:ascii="黑体" w:hAnsi="黑体" w:eastAsia="黑体"/>
          <w:b/>
          <w:color w:val="auto"/>
          <w:sz w:val="36"/>
          <w:szCs w:val="36"/>
        </w:rPr>
      </w:pPr>
    </w:p>
    <w:p w14:paraId="10DCE4F8">
      <w:pPr>
        <w:spacing w:line="440" w:lineRule="exact"/>
        <w:jc w:val="center"/>
        <w:rPr>
          <w:rFonts w:hint="eastAsia" w:ascii="黑体" w:hAnsi="黑体" w:eastAsia="黑体"/>
          <w:b/>
          <w:color w:val="auto"/>
          <w:sz w:val="36"/>
          <w:szCs w:val="36"/>
        </w:rPr>
      </w:pPr>
      <w:r>
        <w:rPr>
          <w:rFonts w:hint="eastAsia" w:ascii="黑体" w:hAnsi="黑体" w:eastAsia="黑体"/>
          <w:b/>
          <w:color w:val="auto"/>
          <w:sz w:val="36"/>
          <w:szCs w:val="36"/>
        </w:rPr>
        <w:t xml:space="preserve">第二章 </w:t>
      </w:r>
    </w:p>
    <w:bookmarkEnd w:id="1"/>
    <w:bookmarkEnd w:id="2"/>
    <w:bookmarkEnd w:id="3"/>
    <w:bookmarkEnd w:id="4"/>
    <w:bookmarkEnd w:id="5"/>
    <w:bookmarkEnd w:id="6"/>
    <w:bookmarkEnd w:id="7"/>
    <w:bookmarkEnd w:id="8"/>
    <w:bookmarkEnd w:id="9"/>
    <w:bookmarkEnd w:id="10"/>
    <w:bookmarkEnd w:id="11"/>
    <w:bookmarkEnd w:id="12"/>
    <w:bookmarkEnd w:id="13"/>
    <w:bookmarkEnd w:id="14"/>
    <w:p w14:paraId="31E57D1C">
      <w:pPr>
        <w:spacing w:line="440" w:lineRule="exact"/>
        <w:jc w:val="center"/>
        <w:rPr>
          <w:rFonts w:hint="eastAsia" w:ascii="黑体" w:hAnsi="黑体" w:eastAsia="黑体"/>
          <w:b/>
          <w:color w:val="auto"/>
          <w:sz w:val="36"/>
          <w:szCs w:val="36"/>
        </w:rPr>
      </w:pPr>
    </w:p>
    <w:p w14:paraId="3F82193A">
      <w:pPr>
        <w:spacing w:line="44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3F1DB2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买方：四川宏达股份有限公司</w:t>
      </w:r>
    </w:p>
    <w:p w14:paraId="63FC19E2">
      <w:pPr>
        <w:keepNext w:val="0"/>
        <w:keepLines w:val="0"/>
        <w:pageBreakBefore w:val="0"/>
        <w:widowControl w:val="0"/>
        <w:kinsoku/>
        <w:wordWrap/>
        <w:overflowPunct/>
        <w:topLinePunct w:val="0"/>
        <w:autoSpaceDE/>
        <w:autoSpaceDN/>
        <w:bidi w:val="0"/>
        <w:adjustRightInd/>
        <w:snapToGrid/>
        <w:spacing w:line="400" w:lineRule="exact"/>
        <w:ind w:right="480"/>
        <w:textAlignment w:val="auto"/>
        <w:rPr>
          <w:rFonts w:ascii="黑体" w:hAnsi="黑体" w:eastAsia="黑体"/>
          <w:bCs/>
          <w:color w:val="auto"/>
          <w:sz w:val="24"/>
          <w:szCs w:val="24"/>
          <w:u w:val="single"/>
        </w:rPr>
      </w:pPr>
      <w:r>
        <w:rPr>
          <w:rFonts w:hint="eastAsia" w:ascii="黑体" w:hAnsi="黑体" w:eastAsia="黑体"/>
          <w:bCs/>
          <w:color w:val="auto"/>
          <w:sz w:val="24"/>
          <w:szCs w:val="24"/>
        </w:rPr>
        <w:t xml:space="preserve">卖方：           </w:t>
      </w:r>
    </w:p>
    <w:p w14:paraId="2AAE66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auto"/>
          <w:sz w:val="24"/>
          <w:szCs w:val="24"/>
        </w:rPr>
      </w:pPr>
      <w:r>
        <w:rPr>
          <w:rFonts w:hint="eastAsia" w:ascii="黑体" w:hAnsi="黑体" w:eastAsia="黑体"/>
          <w:bCs/>
          <w:color w:val="auto"/>
          <w:sz w:val="24"/>
          <w:szCs w:val="24"/>
        </w:rPr>
        <w:t>根据《中华人民共和国民法典》及有关法律法规的规定，本着平等互利、诚实守信的原则，经买卖双方协商一致，就买方向卖方购买</w:t>
      </w:r>
      <w:r>
        <w:rPr>
          <w:rFonts w:hint="eastAsia" w:ascii="黑体" w:hAnsi="黑体" w:eastAsia="黑体"/>
          <w:bCs/>
          <w:color w:val="auto"/>
          <w:sz w:val="24"/>
          <w:szCs w:val="24"/>
          <w:lang w:eastAsia="zh-CN"/>
        </w:rPr>
        <w:t>氨水</w:t>
      </w:r>
      <w:r>
        <w:rPr>
          <w:rFonts w:hint="eastAsia" w:ascii="黑体" w:hAnsi="黑体" w:eastAsia="黑体"/>
          <w:bCs/>
          <w:color w:val="auto"/>
          <w:sz w:val="24"/>
          <w:szCs w:val="24"/>
        </w:rPr>
        <w:t>事宜达成本合同，具体内容如下：</w:t>
      </w:r>
    </w:p>
    <w:p w14:paraId="1C1C5847">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lang w:val="en-US" w:eastAsia="zh-CN"/>
        </w:rPr>
        <w:t xml:space="preserve">第一条 </w:t>
      </w:r>
      <w:r>
        <w:rPr>
          <w:rFonts w:hint="eastAsia" w:ascii="黑体" w:hAnsi="黑体" w:eastAsia="黑体"/>
          <w:bCs/>
          <w:color w:val="auto"/>
          <w:sz w:val="24"/>
          <w:szCs w:val="24"/>
        </w:rPr>
        <w:t>标的物基本信息</w:t>
      </w:r>
    </w:p>
    <w:tbl>
      <w:tblPr>
        <w:tblStyle w:val="5"/>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1485"/>
        <w:gridCol w:w="1195"/>
        <w:gridCol w:w="1069"/>
        <w:gridCol w:w="649"/>
        <w:gridCol w:w="1161"/>
        <w:gridCol w:w="1266"/>
        <w:gridCol w:w="1429"/>
      </w:tblGrid>
      <w:tr w14:paraId="0641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E00A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名称</w:t>
            </w:r>
          </w:p>
        </w:tc>
        <w:tc>
          <w:tcPr>
            <w:tcW w:w="821" w:type="pct"/>
            <w:vAlign w:val="center"/>
          </w:tcPr>
          <w:p w14:paraId="46192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品种规格</w:t>
            </w:r>
          </w:p>
        </w:tc>
        <w:tc>
          <w:tcPr>
            <w:tcW w:w="661" w:type="pct"/>
            <w:tcBorders>
              <w:bottom w:val="single" w:color="auto" w:sz="4" w:space="0"/>
            </w:tcBorders>
            <w:vAlign w:val="center"/>
          </w:tcPr>
          <w:p w14:paraId="017AD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数量(吨)</w:t>
            </w:r>
          </w:p>
        </w:tc>
        <w:tc>
          <w:tcPr>
            <w:tcW w:w="591" w:type="pct"/>
            <w:vAlign w:val="center"/>
          </w:tcPr>
          <w:p w14:paraId="488B9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到厂单价</w:t>
            </w:r>
          </w:p>
          <w:p w14:paraId="454CF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（元/吨）</w:t>
            </w:r>
          </w:p>
        </w:tc>
        <w:tc>
          <w:tcPr>
            <w:tcW w:w="359" w:type="pct"/>
            <w:tcBorders>
              <w:right w:val="single" w:color="auto" w:sz="4" w:space="0"/>
            </w:tcBorders>
            <w:vAlign w:val="center"/>
          </w:tcPr>
          <w:p w14:paraId="092AD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税率</w:t>
            </w:r>
          </w:p>
        </w:tc>
        <w:tc>
          <w:tcPr>
            <w:tcW w:w="642" w:type="pct"/>
            <w:tcBorders>
              <w:bottom w:val="single" w:color="000000" w:sz="4" w:space="0"/>
              <w:right w:val="single" w:color="auto" w:sz="4" w:space="0"/>
            </w:tcBorders>
            <w:vAlign w:val="center"/>
          </w:tcPr>
          <w:p w14:paraId="0F62E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税额（元）</w:t>
            </w:r>
          </w:p>
        </w:tc>
        <w:tc>
          <w:tcPr>
            <w:tcW w:w="700" w:type="pct"/>
            <w:tcBorders>
              <w:right w:val="single" w:color="auto" w:sz="4" w:space="0"/>
            </w:tcBorders>
            <w:vAlign w:val="center"/>
          </w:tcPr>
          <w:p w14:paraId="7C6B7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不含税金额（元）</w:t>
            </w:r>
          </w:p>
        </w:tc>
        <w:tc>
          <w:tcPr>
            <w:tcW w:w="786" w:type="pct"/>
            <w:tcBorders>
              <w:right w:val="single" w:color="auto" w:sz="4" w:space="0"/>
            </w:tcBorders>
            <w:vAlign w:val="center"/>
          </w:tcPr>
          <w:p w14:paraId="08FD5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含税金额</w:t>
            </w:r>
          </w:p>
          <w:p w14:paraId="67B075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（元）</w:t>
            </w:r>
          </w:p>
        </w:tc>
      </w:tr>
      <w:tr w14:paraId="6BC4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4F56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eastAsia="zh-CN"/>
              </w:rPr>
            </w:pPr>
            <w:r>
              <w:rPr>
                <w:rFonts w:hint="eastAsia" w:ascii="黑体" w:hAnsi="黑体" w:eastAsia="黑体" w:cs="黑体"/>
                <w:bCs/>
                <w:color w:val="auto"/>
                <w:sz w:val="21"/>
                <w:szCs w:val="21"/>
                <w:lang w:eastAsia="zh-CN"/>
              </w:rPr>
              <w:t>氨水</w:t>
            </w:r>
          </w:p>
        </w:tc>
        <w:tc>
          <w:tcPr>
            <w:tcW w:w="821" w:type="pct"/>
            <w:vAlign w:val="center"/>
          </w:tcPr>
          <w:p w14:paraId="0BAFA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NH</w:t>
            </w:r>
            <w:r>
              <w:rPr>
                <w:rFonts w:hint="eastAsia" w:ascii="黑体" w:hAnsi="黑体" w:eastAsia="黑体" w:cs="黑体"/>
                <w:bCs/>
                <w:color w:val="auto"/>
                <w:sz w:val="21"/>
                <w:szCs w:val="21"/>
                <w:vertAlign w:val="subscript"/>
              </w:rPr>
              <w:t>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0</w:t>
            </w:r>
            <w:r>
              <w:rPr>
                <w:rFonts w:hint="eastAsia" w:ascii="黑体" w:hAnsi="黑体" w:eastAsia="黑体" w:cs="黑体"/>
                <w:bCs/>
                <w:color w:val="auto"/>
                <w:sz w:val="21"/>
                <w:szCs w:val="21"/>
              </w:rPr>
              <w:t>%</w:t>
            </w:r>
          </w:p>
        </w:tc>
        <w:tc>
          <w:tcPr>
            <w:tcW w:w="661" w:type="pct"/>
            <w:tcBorders>
              <w:bottom w:val="single" w:color="auto" w:sz="4" w:space="0"/>
            </w:tcBorders>
            <w:vAlign w:val="center"/>
          </w:tcPr>
          <w:p w14:paraId="0BA2B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150</w:t>
            </w:r>
          </w:p>
        </w:tc>
        <w:tc>
          <w:tcPr>
            <w:tcW w:w="591" w:type="pct"/>
            <w:vAlign w:val="center"/>
          </w:tcPr>
          <w:p w14:paraId="10231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p>
        </w:tc>
        <w:tc>
          <w:tcPr>
            <w:tcW w:w="359" w:type="pct"/>
            <w:tcBorders>
              <w:right w:val="single" w:color="auto" w:sz="4" w:space="0"/>
            </w:tcBorders>
            <w:vAlign w:val="center"/>
          </w:tcPr>
          <w:p w14:paraId="010CB9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lang w:val="en-US" w:eastAsia="zh-CN"/>
              </w:rPr>
              <w:t>9</w:t>
            </w:r>
            <w:r>
              <w:rPr>
                <w:rFonts w:hint="eastAsia" w:ascii="黑体" w:hAnsi="黑体" w:eastAsia="黑体" w:cs="黑体"/>
                <w:bCs/>
                <w:color w:val="auto"/>
                <w:sz w:val="21"/>
                <w:szCs w:val="21"/>
              </w:rPr>
              <w:t>%</w:t>
            </w:r>
          </w:p>
        </w:tc>
        <w:tc>
          <w:tcPr>
            <w:tcW w:w="642" w:type="pct"/>
            <w:tcBorders>
              <w:bottom w:val="single" w:color="000000" w:sz="4" w:space="0"/>
              <w:right w:val="single" w:color="auto" w:sz="4" w:space="0"/>
            </w:tcBorders>
            <w:vAlign w:val="center"/>
          </w:tcPr>
          <w:p w14:paraId="36385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p>
        </w:tc>
        <w:tc>
          <w:tcPr>
            <w:tcW w:w="700" w:type="pct"/>
            <w:tcBorders>
              <w:right w:val="single" w:color="auto" w:sz="4" w:space="0"/>
            </w:tcBorders>
            <w:vAlign w:val="center"/>
          </w:tcPr>
          <w:p w14:paraId="3B99D9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rPr>
            </w:pPr>
          </w:p>
        </w:tc>
        <w:tc>
          <w:tcPr>
            <w:tcW w:w="786" w:type="pct"/>
            <w:tcBorders>
              <w:right w:val="single" w:color="auto" w:sz="4" w:space="0"/>
            </w:tcBorders>
            <w:vAlign w:val="center"/>
          </w:tcPr>
          <w:p w14:paraId="0E4EC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p>
        </w:tc>
      </w:tr>
      <w:tr w14:paraId="27DA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5000" w:type="pct"/>
            <w:gridSpan w:val="8"/>
            <w:tcBorders>
              <w:right w:val="single" w:color="auto" w:sz="4" w:space="0"/>
            </w:tcBorders>
            <w:vAlign w:val="center"/>
          </w:tcPr>
          <w:p w14:paraId="60BAFE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含税总金额（大写）：万元整。该价款为一次性包干总价，系卖方履行本合同项下的所有内容而能获得的全部价款，包括但不限于货款、运费、保险费、装卸费、杂费、税金等，除此之外，不做任何调整，如有遗漏，均视为卖方的自愿让利行为。</w:t>
            </w:r>
          </w:p>
        </w:tc>
      </w:tr>
    </w:tbl>
    <w:p w14:paraId="0C19D9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第二条 质量标准及要求</w:t>
      </w:r>
    </w:p>
    <w:p w14:paraId="2489875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质量要求：</w:t>
      </w:r>
      <w:r>
        <w:rPr>
          <w:rFonts w:hint="eastAsia" w:ascii="黑体" w:hAnsi="黑体" w:eastAsia="黑体"/>
          <w:bCs/>
          <w:color w:val="auto"/>
          <w:szCs w:val="21"/>
        </w:rPr>
        <w:t>NH</w:t>
      </w:r>
      <w:r>
        <w:rPr>
          <w:rFonts w:hint="eastAsia" w:ascii="黑体" w:hAnsi="黑体" w:eastAsia="黑体"/>
          <w:bCs/>
          <w:color w:val="auto"/>
          <w:szCs w:val="21"/>
          <w:vertAlign w:val="subscript"/>
        </w:rPr>
        <w:t>3</w:t>
      </w:r>
      <w:r>
        <w:rPr>
          <w:rFonts w:hint="eastAsia" w:ascii="黑体" w:hAnsi="黑体" w:eastAsia="黑体"/>
          <w:bCs/>
          <w:color w:val="auto"/>
          <w:sz w:val="24"/>
          <w:szCs w:val="24"/>
        </w:rPr>
        <w:t>≥</w:t>
      </w:r>
      <w:r>
        <w:rPr>
          <w:rFonts w:hint="eastAsia" w:ascii="黑体" w:hAnsi="黑体" w:eastAsia="黑体"/>
          <w:bCs/>
          <w:color w:val="auto"/>
          <w:sz w:val="24"/>
          <w:szCs w:val="24"/>
          <w:lang w:val="en-US" w:eastAsia="zh-CN"/>
        </w:rPr>
        <w:t>13</w:t>
      </w:r>
      <w:r>
        <w:rPr>
          <w:rFonts w:ascii="黑体" w:hAnsi="黑体" w:eastAsia="黑体"/>
          <w:bCs/>
          <w:color w:val="auto"/>
          <w:sz w:val="24"/>
          <w:szCs w:val="24"/>
        </w:rPr>
        <w:t>.</w:t>
      </w:r>
      <w:r>
        <w:rPr>
          <w:rFonts w:hint="eastAsia" w:ascii="黑体" w:hAnsi="黑体" w:eastAsia="黑体"/>
          <w:bCs/>
          <w:color w:val="auto"/>
          <w:sz w:val="24"/>
          <w:szCs w:val="24"/>
        </w:rPr>
        <w:t>0</w:t>
      </w:r>
      <w:r>
        <w:rPr>
          <w:rFonts w:ascii="黑体" w:hAnsi="黑体" w:eastAsia="黑体"/>
          <w:bCs/>
          <w:color w:val="auto"/>
          <w:sz w:val="24"/>
          <w:szCs w:val="24"/>
        </w:rPr>
        <w:t>%</w:t>
      </w:r>
      <w:r>
        <w:rPr>
          <w:rFonts w:hint="eastAsia" w:ascii="黑体" w:hAnsi="黑体" w:eastAsia="黑体"/>
          <w:bCs/>
          <w:color w:val="auto"/>
          <w:sz w:val="24"/>
          <w:szCs w:val="24"/>
        </w:rPr>
        <w:t>。</w:t>
      </w:r>
    </w:p>
    <w:p w14:paraId="64C583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检测依据:按GB/T631-2007标准检测。</w:t>
      </w:r>
    </w:p>
    <w:p w14:paraId="7831C4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第三条 交货地点及方式</w:t>
      </w:r>
    </w:p>
    <w:p w14:paraId="1AD037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交货地点：买方</w:t>
      </w:r>
      <w:r>
        <w:rPr>
          <w:rFonts w:hint="eastAsia" w:ascii="黑体" w:hAnsi="黑体" w:eastAsia="黑体"/>
          <w:bCs/>
          <w:color w:val="auto"/>
          <w:sz w:val="24"/>
          <w:szCs w:val="24"/>
          <w:lang w:eastAsia="zh-CN"/>
        </w:rPr>
        <w:t>什邡磷化工分公司</w:t>
      </w:r>
      <w:r>
        <w:rPr>
          <w:rFonts w:hint="eastAsia" w:ascii="黑体" w:hAnsi="黑体" w:eastAsia="黑体"/>
          <w:bCs/>
          <w:color w:val="auto"/>
          <w:sz w:val="24"/>
          <w:szCs w:val="24"/>
          <w:lang w:val="en-US" w:eastAsia="zh-CN"/>
        </w:rPr>
        <w:t>硫酸厂</w:t>
      </w:r>
      <w:r>
        <w:rPr>
          <w:rFonts w:hint="eastAsia" w:ascii="黑体" w:hAnsi="黑体" w:eastAsia="黑体"/>
          <w:bCs/>
          <w:color w:val="auto"/>
          <w:sz w:val="24"/>
          <w:szCs w:val="24"/>
        </w:rPr>
        <w:t>（什邡市洛水镇）。</w:t>
      </w:r>
    </w:p>
    <w:p w14:paraId="073D1D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交货方式：卖方</w:t>
      </w:r>
      <w:r>
        <w:rPr>
          <w:rFonts w:hint="eastAsia" w:ascii="黑体" w:hAnsi="黑体" w:eastAsia="黑体"/>
          <w:bCs/>
          <w:color w:val="auto"/>
          <w:sz w:val="24"/>
          <w:szCs w:val="24"/>
          <w:lang w:val="en-US" w:eastAsia="zh-CN"/>
        </w:rPr>
        <w:t>于合同期内，按买方通知时间及时送至</w:t>
      </w:r>
      <w:r>
        <w:rPr>
          <w:rFonts w:hint="eastAsia" w:ascii="黑体" w:hAnsi="黑体" w:eastAsia="黑体"/>
          <w:bCs/>
          <w:color w:val="auto"/>
          <w:sz w:val="24"/>
          <w:szCs w:val="24"/>
        </w:rPr>
        <w:t>指定地点。</w:t>
      </w:r>
    </w:p>
    <w:p w14:paraId="027453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第四条 运输方式</w:t>
      </w:r>
    </w:p>
    <w:p w14:paraId="2477C2F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汽车运输，卖方应保证运输方式符合交通部规定的特种全封闭危险品罐装汽车运输规范及国家其他有关运输危险货物规定的要求，并承担因此产生的全部责任。由卖方负责货物装卸、装卸过程中的人员安全责任以及标的物交付之前的货损风险。</w:t>
      </w:r>
    </w:p>
    <w:p w14:paraId="600F85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第五条 标的物验收及异议处理</w:t>
      </w:r>
    </w:p>
    <w:p w14:paraId="1086CA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lang w:val="en-US" w:eastAsia="zh-CN"/>
        </w:rPr>
        <w:t>1.</w:t>
      </w:r>
      <w:r>
        <w:rPr>
          <w:rFonts w:hint="eastAsia" w:ascii="黑体" w:hAnsi="黑体" w:eastAsia="黑体"/>
          <w:bCs/>
          <w:color w:val="auto"/>
          <w:sz w:val="24"/>
          <w:szCs w:val="24"/>
        </w:rPr>
        <w:t>标的物数量验收以买方地磅计量为准。</w:t>
      </w:r>
    </w:p>
    <w:p w14:paraId="2F1286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标的物质量验收以买方检验报告为准。在收货时由买方负责取样，卖方负责监督，如有异议，买卖双方在现场提出；样品由买卖双方代表共同签字认可（如卖方未派人监督取样、制样，则视为卖方认可买方所取样品）。检验报告结果由买方口头、电话通知卖方或由卖方自行前往买方查阅检验报告。</w:t>
      </w:r>
    </w:p>
    <w:p w14:paraId="76C385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3</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卖方异议处置：如卖方对买方出具的检验报告有异议，卖方应于检验报告出具后2日内提出书面异议，异议处置的流程和要求按买方现行有效的《原燃料质量异议处置管理制度》执行，</w:t>
      </w:r>
      <w:bookmarkStart w:id="15" w:name="_Hlk63678961"/>
      <w:r>
        <w:rPr>
          <w:rFonts w:hint="eastAsia" w:ascii="黑体" w:hAnsi="黑体" w:eastAsia="黑体"/>
          <w:bCs/>
          <w:color w:val="auto"/>
          <w:sz w:val="24"/>
          <w:szCs w:val="24"/>
        </w:rPr>
        <w:t>在签署本合同前买方已将该制度告知卖方</w:t>
      </w:r>
      <w:bookmarkEnd w:id="15"/>
      <w:r>
        <w:rPr>
          <w:rFonts w:hint="eastAsia" w:ascii="黑体" w:hAnsi="黑体" w:eastAsia="黑体"/>
          <w:bCs/>
          <w:color w:val="auto"/>
          <w:sz w:val="24"/>
          <w:szCs w:val="24"/>
        </w:rPr>
        <w:t>，卖方已知晓</w:t>
      </w:r>
      <w:bookmarkStart w:id="16" w:name="_Hlk63678996"/>
      <w:r>
        <w:rPr>
          <w:rFonts w:hint="eastAsia" w:ascii="黑体" w:hAnsi="黑体" w:eastAsia="黑体"/>
          <w:bCs/>
          <w:color w:val="auto"/>
          <w:sz w:val="24"/>
          <w:szCs w:val="24"/>
        </w:rPr>
        <w:t>并承诺遵守</w:t>
      </w:r>
      <w:bookmarkEnd w:id="16"/>
      <w:r>
        <w:rPr>
          <w:rFonts w:hint="eastAsia" w:ascii="黑体" w:hAnsi="黑体" w:eastAsia="黑体"/>
          <w:bCs/>
          <w:color w:val="auto"/>
          <w:sz w:val="24"/>
          <w:szCs w:val="24"/>
        </w:rPr>
        <w:t>其全部内容。卖方逾期未提出异议的，视为卖方认同买方的检验结果。</w:t>
      </w:r>
    </w:p>
    <w:p w14:paraId="3E837E3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第六条 结算依据及标准</w:t>
      </w:r>
    </w:p>
    <w:p w14:paraId="660645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以买方的检验报告和实收数量为结算依据。</w:t>
      </w:r>
    </w:p>
    <w:p w14:paraId="7BD24A0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按</w:t>
      </w:r>
      <w:r>
        <w:rPr>
          <w:rFonts w:hint="eastAsia" w:ascii="黑体" w:hAnsi="黑体" w:eastAsia="黑体"/>
          <w:bCs/>
          <w:color w:val="auto"/>
          <w:sz w:val="24"/>
          <w:szCs w:val="24"/>
          <w:lang w:val="en-US" w:eastAsia="zh-CN"/>
        </w:rPr>
        <w:t>买方</w:t>
      </w:r>
      <w:r>
        <w:rPr>
          <w:rFonts w:hint="eastAsia" w:ascii="黑体" w:hAnsi="黑体" w:eastAsia="黑体"/>
          <w:bCs/>
          <w:color w:val="auto"/>
          <w:sz w:val="24"/>
          <w:szCs w:val="24"/>
        </w:rPr>
        <w:t>现行有效的《结算办法》</w:t>
      </w:r>
      <w:r>
        <w:rPr>
          <w:rFonts w:hint="eastAsia" w:ascii="黑体" w:hAnsi="黑体" w:eastAsia="黑体"/>
          <w:bCs/>
          <w:color w:val="auto"/>
          <w:sz w:val="24"/>
          <w:szCs w:val="24"/>
          <w:lang w:eastAsia="zh-CN"/>
        </w:rPr>
        <w:t>（</w:t>
      </w:r>
      <w:r>
        <w:rPr>
          <w:rFonts w:hint="eastAsia" w:ascii="黑体" w:hAnsi="黑体" w:eastAsia="黑体"/>
          <w:bCs/>
          <w:color w:val="auto"/>
          <w:sz w:val="24"/>
          <w:szCs w:val="24"/>
          <w:lang w:val="en-US" w:eastAsia="zh-CN"/>
        </w:rPr>
        <w:t>见附件</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进行结算。</w:t>
      </w:r>
      <w:bookmarkStart w:id="17" w:name="_Hlk63678974"/>
      <w:r>
        <w:rPr>
          <w:rFonts w:hint="eastAsia" w:ascii="黑体" w:hAnsi="黑体" w:eastAsia="黑体"/>
          <w:bCs/>
          <w:color w:val="auto"/>
          <w:sz w:val="24"/>
          <w:szCs w:val="24"/>
        </w:rPr>
        <w:t>《结算办法》</w:t>
      </w:r>
      <w:bookmarkEnd w:id="17"/>
      <w:r>
        <w:rPr>
          <w:rFonts w:hint="eastAsia" w:ascii="黑体" w:hAnsi="黑体" w:eastAsia="黑体"/>
          <w:bCs/>
          <w:color w:val="auto"/>
          <w:sz w:val="24"/>
          <w:szCs w:val="24"/>
        </w:rPr>
        <w:t>中质量指标在财务结算时数据保留三位小数，三位小数点后四舍五入。在签署本合同前买方已将《结算办法》告知卖方，卖方已知晓并承诺遵守《结算办法》的全部内容。</w:t>
      </w:r>
    </w:p>
    <w:p w14:paraId="117661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第七条 付款方式及发票</w:t>
      </w:r>
    </w:p>
    <w:p w14:paraId="369687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付款方式：先货后款，现汇支付。</w:t>
      </w:r>
    </w:p>
    <w:p w14:paraId="346B19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lang w:val="en-US" w:eastAsia="zh-CN"/>
        </w:rPr>
        <w:t>发</w:t>
      </w:r>
      <w:r>
        <w:rPr>
          <w:rFonts w:hint="eastAsia" w:ascii="黑体" w:hAnsi="黑体" w:eastAsia="黑体"/>
          <w:bCs/>
          <w:color w:val="auto"/>
          <w:sz w:val="24"/>
        </w:rPr>
        <w:t>票：</w:t>
      </w:r>
      <w:r>
        <w:rPr>
          <w:rFonts w:hint="eastAsia" w:ascii="黑体" w:hAnsi="黑体" w:eastAsia="黑体"/>
          <w:bCs/>
          <w:color w:val="auto"/>
          <w:sz w:val="24"/>
          <w:lang w:val="en-US" w:eastAsia="zh-CN"/>
        </w:rPr>
        <w:t>买方付款前，</w:t>
      </w:r>
      <w:r>
        <w:rPr>
          <w:rFonts w:hint="eastAsia" w:ascii="黑体" w:hAnsi="黑体" w:eastAsia="黑体"/>
          <w:bCs/>
          <w:color w:val="auto"/>
          <w:sz w:val="24"/>
        </w:rPr>
        <w:t>卖方应向买方出具合法有效的符合买方要求的全额增值税专用发票（税率</w:t>
      </w:r>
      <w:r>
        <w:rPr>
          <w:rFonts w:hint="eastAsia" w:ascii="黑体" w:hAnsi="黑体" w:eastAsia="黑体"/>
          <w:bCs/>
          <w:color w:val="auto"/>
          <w:sz w:val="24"/>
          <w:lang w:val="en-US" w:eastAsia="zh-CN"/>
        </w:rPr>
        <w:t>9</w:t>
      </w:r>
      <w:r>
        <w:rPr>
          <w:rFonts w:hint="eastAsia" w:ascii="黑体" w:hAnsi="黑体" w:eastAsia="黑体"/>
          <w:bCs/>
          <w:color w:val="auto"/>
          <w:sz w:val="24"/>
        </w:rPr>
        <w:t>%</w:t>
      </w:r>
      <w:r>
        <w:rPr>
          <w:rFonts w:hint="eastAsia" w:ascii="黑体" w:hAnsi="黑体" w:eastAsia="黑体"/>
          <w:bCs/>
          <w:color w:val="auto"/>
          <w:sz w:val="24"/>
          <w:lang w:eastAsia="zh-CN"/>
        </w:rPr>
        <w:t>，如遇国家税率政策变更，则不含税价款部分不变，含税价款按照新税率重新计算</w:t>
      </w:r>
      <w:r>
        <w:rPr>
          <w:rFonts w:hint="eastAsia" w:ascii="黑体" w:hAnsi="黑体" w:eastAsia="黑体"/>
          <w:bCs/>
          <w:color w:val="auto"/>
          <w:sz w:val="24"/>
        </w:rPr>
        <w:t>）。</w:t>
      </w:r>
      <w:r>
        <w:rPr>
          <w:rFonts w:hint="eastAsia" w:ascii="黑体" w:hAnsi="黑体" w:eastAsia="黑体"/>
          <w:bCs/>
          <w:color w:val="auto"/>
          <w:sz w:val="24"/>
          <w:lang w:val="en-US" w:eastAsia="zh-CN"/>
        </w:rPr>
        <w:t>卖</w:t>
      </w:r>
      <w:r>
        <w:rPr>
          <w:rFonts w:hint="eastAsia" w:ascii="黑体" w:hAnsi="黑体" w:eastAsia="黑体"/>
          <w:bCs/>
          <w:color w:val="auto"/>
          <w:sz w:val="24"/>
        </w:rPr>
        <w:t>方未按照</w:t>
      </w:r>
      <w:r>
        <w:rPr>
          <w:rFonts w:hint="eastAsia" w:ascii="黑体" w:hAnsi="黑体" w:eastAsia="黑体"/>
          <w:bCs/>
          <w:color w:val="auto"/>
          <w:sz w:val="24"/>
          <w:lang w:val="en-US" w:eastAsia="zh-CN"/>
        </w:rPr>
        <w:t>买</w:t>
      </w:r>
      <w:r>
        <w:rPr>
          <w:rFonts w:hint="eastAsia" w:ascii="黑体" w:hAnsi="黑体" w:eastAsia="黑体"/>
          <w:bCs/>
          <w:color w:val="auto"/>
          <w:sz w:val="24"/>
        </w:rPr>
        <w:t>方要求开具合法有效的等额发票的，</w:t>
      </w:r>
      <w:r>
        <w:rPr>
          <w:rFonts w:hint="eastAsia" w:ascii="黑体" w:hAnsi="黑体" w:eastAsia="黑体"/>
          <w:bCs/>
          <w:color w:val="auto"/>
          <w:sz w:val="24"/>
          <w:lang w:val="en-US" w:eastAsia="zh-CN"/>
        </w:rPr>
        <w:t>买</w:t>
      </w:r>
      <w:r>
        <w:rPr>
          <w:rFonts w:hint="eastAsia" w:ascii="黑体" w:hAnsi="黑体" w:eastAsia="黑体"/>
          <w:bCs/>
          <w:color w:val="auto"/>
          <w:sz w:val="24"/>
        </w:rPr>
        <w:t>方有权不向</w:t>
      </w:r>
      <w:r>
        <w:rPr>
          <w:rFonts w:hint="eastAsia" w:ascii="黑体" w:hAnsi="黑体" w:eastAsia="黑体"/>
          <w:bCs/>
          <w:color w:val="auto"/>
          <w:sz w:val="24"/>
          <w:lang w:val="en-US" w:eastAsia="zh-CN"/>
        </w:rPr>
        <w:t>卖</w:t>
      </w:r>
      <w:r>
        <w:rPr>
          <w:rFonts w:hint="eastAsia" w:ascii="黑体" w:hAnsi="黑体" w:eastAsia="黑体"/>
          <w:bCs/>
          <w:color w:val="auto"/>
          <w:sz w:val="24"/>
        </w:rPr>
        <w:t>方支付任何款项，且</w:t>
      </w:r>
      <w:r>
        <w:rPr>
          <w:rFonts w:hint="eastAsia" w:ascii="黑体" w:hAnsi="黑体" w:eastAsia="黑体"/>
          <w:bCs/>
          <w:color w:val="auto"/>
          <w:sz w:val="24"/>
          <w:lang w:val="en-US" w:eastAsia="zh-CN"/>
        </w:rPr>
        <w:t>买</w:t>
      </w:r>
      <w:r>
        <w:rPr>
          <w:rFonts w:hint="eastAsia" w:ascii="黑体" w:hAnsi="黑体" w:eastAsia="黑体"/>
          <w:bCs/>
          <w:color w:val="auto"/>
          <w:sz w:val="24"/>
        </w:rPr>
        <w:t>方不承担任何违约责任。</w:t>
      </w:r>
      <w:r>
        <w:rPr>
          <w:rFonts w:hint="eastAsia" w:ascii="黑体" w:hAnsi="黑体" w:eastAsia="黑体"/>
          <w:bCs/>
          <w:color w:val="auto"/>
          <w:sz w:val="24"/>
          <w:lang w:val="en-US" w:eastAsia="zh-CN"/>
        </w:rPr>
        <w:t>卖</w:t>
      </w:r>
      <w:r>
        <w:rPr>
          <w:rFonts w:hint="eastAsia" w:ascii="黑体" w:hAnsi="黑体" w:eastAsia="黑体"/>
          <w:bCs/>
          <w:color w:val="auto"/>
          <w:sz w:val="24"/>
        </w:rPr>
        <w:t>方不得因此拒绝履行有关合同义务。</w:t>
      </w:r>
    </w:p>
    <w:p w14:paraId="06948BB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第八条 违约责任</w:t>
      </w:r>
    </w:p>
    <w:p w14:paraId="4CC4B44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卖方应具备合法的经营资质，并向买方主动提供相应证件。如因弄虚作假造成的一切法律责任和经济纠纷由卖方承担。</w:t>
      </w:r>
    </w:p>
    <w:p w14:paraId="01B9DC0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2</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卖方必须保证所供货物整车均匀，质量一致，如卖方弄虚作假，买方按该车的最低品位进行结算。给买方造成损失的，卖方承担相应的经济责任与法律责任。</w:t>
      </w:r>
    </w:p>
    <w:p w14:paraId="325F9C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rPr>
      </w:pPr>
      <w:r>
        <w:rPr>
          <w:rFonts w:hint="eastAsia" w:ascii="黑体" w:hAnsi="黑体" w:eastAsia="黑体"/>
          <w:bCs/>
          <w:color w:val="auto"/>
          <w:sz w:val="24"/>
          <w:szCs w:val="24"/>
        </w:rPr>
        <w:t>3</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运输要求及安全规定：卖方委托的运输车辆必须符合国家有关运输危险货物规定的要求，具备有效齐全的证照及相关手续，应配备有效资质的押运人员。在运输及卸车过程中，所发生的安全、环保事故（包括人身伤害、财产损失和环保污染事故等），由卖方承担全部责任及损失。若因此给买方或第三方造成经济损失，由卖方全额赔偿。</w:t>
      </w:r>
    </w:p>
    <w:p w14:paraId="02127DE7">
      <w:pPr>
        <w:spacing w:line="400" w:lineRule="exact"/>
        <w:rPr>
          <w:rFonts w:hint="eastAsia" w:ascii="黑体" w:hAnsi="黑体" w:eastAsia="黑体"/>
          <w:bCs/>
          <w:color w:val="auto"/>
          <w:sz w:val="24"/>
          <w:lang w:val="en-US" w:eastAsia="zh-CN"/>
        </w:rPr>
      </w:pPr>
      <w:r>
        <w:rPr>
          <w:rFonts w:hint="eastAsia" w:ascii="黑体" w:hAnsi="黑体" w:eastAsia="黑体"/>
          <w:bCs/>
          <w:color w:val="auto"/>
          <w:sz w:val="24"/>
        </w:rPr>
        <w:t>4.</w:t>
      </w:r>
      <w:r>
        <w:rPr>
          <w:rFonts w:hint="eastAsia" w:ascii="黑体" w:hAnsi="黑体" w:eastAsia="黑体"/>
          <w:bCs/>
          <w:color w:val="auto"/>
          <w:sz w:val="24"/>
          <w:lang w:val="en-US" w:eastAsia="zh-CN"/>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73C079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lang w:val="en-US" w:eastAsia="zh-CN"/>
        </w:rPr>
      </w:pPr>
      <w:r>
        <w:rPr>
          <w:rFonts w:hint="eastAsia" w:ascii="黑体" w:hAnsi="黑体" w:eastAsia="黑体"/>
          <w:bCs/>
          <w:color w:val="auto"/>
          <w:sz w:val="24"/>
          <w:lang w:val="en-US" w:eastAsia="zh-CN"/>
        </w:rPr>
        <w:t>5.卖方必须按双方协商的日期，提前或按时交付产品。否则，每逾期一天，卖方以合同总金额为基础按</w:t>
      </w:r>
      <w:r>
        <w:rPr>
          <w:rFonts w:hint="eastAsia" w:ascii="黑体" w:hAnsi="黑体" w:eastAsia="黑体"/>
          <w:bCs/>
          <w:color w:val="auto"/>
          <w:sz w:val="24"/>
        </w:rPr>
        <w:t>发生时中国人民银行授权全国银行间同业拆借中心公布的一年期贷款市场报价利率（LPR）为标准</w:t>
      </w:r>
      <w:r>
        <w:rPr>
          <w:rFonts w:hint="eastAsia" w:ascii="黑体" w:hAnsi="黑体" w:eastAsia="黑体"/>
          <w:bCs/>
          <w:color w:val="auto"/>
          <w:sz w:val="24"/>
          <w:lang w:val="en-US" w:eastAsia="zh-CN"/>
        </w:rPr>
        <w:t>向买方支付违约金。若逾期时间超过15个自然日，买方有权单方解除合同，并按合同总金额的20%向买方支付违约金，给买方造成损失的</w:t>
      </w:r>
      <w:r>
        <w:rPr>
          <w:rFonts w:hint="eastAsia" w:ascii="黑体" w:hAnsi="黑体" w:eastAsia="黑体"/>
          <w:bCs/>
          <w:color w:val="auto"/>
          <w:sz w:val="24"/>
        </w:rPr>
        <w:t>（包括但不限于停窝工损失、合同预期利益损失、因维权产生的律师费、鉴定费、公证费、诉讼费、保全费、保全保险费、执行费等）</w:t>
      </w:r>
      <w:r>
        <w:rPr>
          <w:rFonts w:hint="eastAsia" w:ascii="黑体" w:hAnsi="黑体" w:eastAsia="黑体"/>
          <w:bCs/>
          <w:color w:val="auto"/>
          <w:sz w:val="24"/>
          <w:lang w:val="en-US" w:eastAsia="zh-CN"/>
        </w:rPr>
        <w:t>，还应赔偿。</w:t>
      </w:r>
    </w:p>
    <w:p w14:paraId="194647E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第九条 争议解决方式</w:t>
      </w:r>
    </w:p>
    <w:p w14:paraId="205BDB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因履行本合同而产生争议或纠纷，买卖双方应尽量协商解决，协商不成的，应向买方住所地有管辖权的人民法院提起诉讼。</w:t>
      </w:r>
    </w:p>
    <w:p w14:paraId="3E3F8C9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w:t>
      </w:r>
      <w:r>
        <w:rPr>
          <w:rFonts w:hint="eastAsia" w:ascii="黑体" w:hAnsi="黑体" w:eastAsia="黑体"/>
          <w:b/>
          <w:bCs w:val="0"/>
          <w:color w:val="auto"/>
          <w:sz w:val="24"/>
          <w:szCs w:val="24"/>
          <w:lang w:val="en-US" w:eastAsia="zh-CN"/>
        </w:rPr>
        <w:t>十</w:t>
      </w:r>
      <w:r>
        <w:rPr>
          <w:rFonts w:hint="eastAsia" w:ascii="黑体" w:hAnsi="黑体" w:eastAsia="黑体"/>
          <w:b/>
          <w:bCs w:val="0"/>
          <w:color w:val="auto"/>
          <w:sz w:val="24"/>
          <w:szCs w:val="24"/>
        </w:rPr>
        <w:t>条 通知与送达</w:t>
      </w:r>
    </w:p>
    <w:p w14:paraId="75A5A0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双方以本合同载明的通讯联络方式作为通知的依据，双方员工通过未载明的</w:t>
      </w:r>
      <w:r>
        <w:rPr>
          <w:rFonts w:hint="eastAsia" w:ascii="黑体" w:hAnsi="黑体" w:eastAsia="黑体"/>
          <w:bCs/>
          <w:color w:val="auto"/>
          <w:sz w:val="24"/>
          <w:szCs w:val="24"/>
          <w:lang w:val="en-US" w:eastAsia="zh-CN"/>
        </w:rPr>
        <w:t>联系方式</w:t>
      </w:r>
      <w:r>
        <w:rPr>
          <w:rFonts w:hint="eastAsia" w:ascii="黑体" w:hAnsi="黑体" w:eastAsia="黑体"/>
          <w:bCs/>
          <w:color w:val="auto"/>
          <w:sz w:val="24"/>
          <w:szCs w:val="24"/>
        </w:rPr>
        <w:t>发送通知的，应出具证明劳动关系的相应材料。双方通讯方式变更的，应提前三天书面通知对方，否则按原通讯方式送达仍视为有效送达。</w:t>
      </w:r>
    </w:p>
    <w:p w14:paraId="663CD6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第十一条 合同有效期限</w:t>
      </w:r>
    </w:p>
    <w:p w14:paraId="3FE534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本合同有效期自202</w:t>
      </w:r>
      <w:r>
        <w:rPr>
          <w:rFonts w:hint="eastAsia" w:ascii="黑体" w:hAnsi="黑体" w:eastAsia="黑体"/>
          <w:bCs/>
          <w:color w:val="auto"/>
          <w:sz w:val="24"/>
          <w:szCs w:val="24"/>
          <w:lang w:val="en-US" w:eastAsia="zh-CN"/>
        </w:rPr>
        <w:t>6</w:t>
      </w:r>
      <w:r>
        <w:rPr>
          <w:rFonts w:hint="eastAsia" w:ascii="黑体" w:hAnsi="黑体" w:eastAsia="黑体"/>
          <w:bCs/>
          <w:color w:val="auto"/>
          <w:sz w:val="24"/>
          <w:szCs w:val="24"/>
        </w:rPr>
        <w:t>年</w:t>
      </w:r>
      <w:r>
        <w:rPr>
          <w:rFonts w:hint="eastAsia" w:ascii="黑体" w:hAnsi="黑体" w:eastAsia="黑体"/>
          <w:bCs/>
          <w:color w:val="auto"/>
          <w:sz w:val="24"/>
          <w:szCs w:val="24"/>
          <w:lang w:val="en-US" w:eastAsia="zh-CN"/>
        </w:rPr>
        <w:t>5</w:t>
      </w:r>
      <w:r>
        <w:rPr>
          <w:rFonts w:hint="eastAsia" w:ascii="黑体" w:hAnsi="黑体" w:eastAsia="黑体"/>
          <w:bCs/>
          <w:color w:val="auto"/>
          <w:sz w:val="24"/>
          <w:szCs w:val="24"/>
        </w:rPr>
        <w:t>月</w:t>
      </w:r>
      <w:r>
        <w:rPr>
          <w:rFonts w:hint="eastAsia" w:ascii="黑体" w:hAnsi="黑体" w:eastAsia="黑体"/>
          <w:bCs/>
          <w:color w:val="auto"/>
          <w:sz w:val="24"/>
          <w:szCs w:val="24"/>
          <w:lang w:val="en-US" w:eastAsia="zh-CN"/>
        </w:rPr>
        <w:t>29</w:t>
      </w:r>
      <w:r>
        <w:rPr>
          <w:rFonts w:hint="eastAsia" w:ascii="黑体" w:hAnsi="黑体" w:eastAsia="黑体"/>
          <w:bCs/>
          <w:color w:val="auto"/>
          <w:sz w:val="24"/>
          <w:szCs w:val="24"/>
        </w:rPr>
        <w:t>日起至202</w:t>
      </w:r>
      <w:r>
        <w:rPr>
          <w:rFonts w:hint="eastAsia" w:ascii="黑体" w:hAnsi="黑体" w:eastAsia="黑体"/>
          <w:bCs/>
          <w:color w:val="auto"/>
          <w:sz w:val="24"/>
          <w:szCs w:val="24"/>
          <w:lang w:val="en-US" w:eastAsia="zh-CN"/>
        </w:rPr>
        <w:t>6</w:t>
      </w:r>
      <w:r>
        <w:rPr>
          <w:rFonts w:hint="eastAsia" w:ascii="黑体" w:hAnsi="黑体" w:eastAsia="黑体"/>
          <w:bCs/>
          <w:color w:val="auto"/>
          <w:sz w:val="24"/>
          <w:szCs w:val="24"/>
        </w:rPr>
        <w:t>年</w:t>
      </w:r>
      <w:r>
        <w:rPr>
          <w:rFonts w:hint="eastAsia" w:ascii="黑体" w:hAnsi="黑体" w:eastAsia="黑体"/>
          <w:bCs/>
          <w:color w:val="auto"/>
          <w:sz w:val="24"/>
          <w:szCs w:val="24"/>
          <w:lang w:val="en-US" w:eastAsia="zh-CN"/>
        </w:rPr>
        <w:t>6</w:t>
      </w:r>
      <w:r>
        <w:rPr>
          <w:rFonts w:hint="eastAsia" w:ascii="黑体" w:hAnsi="黑体" w:eastAsia="黑体"/>
          <w:bCs/>
          <w:color w:val="auto"/>
          <w:sz w:val="24"/>
          <w:szCs w:val="24"/>
        </w:rPr>
        <w:t>月</w:t>
      </w:r>
      <w:r>
        <w:rPr>
          <w:rFonts w:hint="eastAsia" w:ascii="黑体" w:hAnsi="黑体" w:eastAsia="黑体"/>
          <w:bCs/>
          <w:color w:val="auto"/>
          <w:sz w:val="24"/>
          <w:szCs w:val="24"/>
          <w:lang w:val="en-US" w:eastAsia="zh-CN"/>
        </w:rPr>
        <w:t>15</w:t>
      </w:r>
      <w:r>
        <w:rPr>
          <w:rFonts w:hint="eastAsia" w:ascii="黑体" w:hAnsi="黑体" w:eastAsia="黑体"/>
          <w:bCs/>
          <w:color w:val="auto"/>
          <w:sz w:val="24"/>
          <w:szCs w:val="24"/>
        </w:rPr>
        <w:t>日止。</w:t>
      </w:r>
      <w:r>
        <w:rPr>
          <w:rFonts w:hint="eastAsia" w:ascii="黑体" w:hAnsi="黑体" w:eastAsia="黑体"/>
          <w:bCs/>
          <w:color w:val="auto"/>
          <w:sz w:val="24"/>
          <w:szCs w:val="24"/>
        </w:rPr>
        <w:t>合同有效期限届满或合同约定供货数量完成本合同自动终止，若双方有意向继续合作的，由双方协商一致另行签订书面合同。</w:t>
      </w:r>
    </w:p>
    <w:p w14:paraId="7E1ABD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auto"/>
          <w:sz w:val="24"/>
          <w:szCs w:val="24"/>
        </w:rPr>
      </w:pPr>
      <w:r>
        <w:rPr>
          <w:rFonts w:hint="eastAsia" w:ascii="黑体" w:hAnsi="黑体" w:eastAsia="黑体"/>
          <w:b/>
          <w:bCs w:val="0"/>
          <w:color w:val="auto"/>
          <w:sz w:val="24"/>
          <w:szCs w:val="24"/>
        </w:rPr>
        <w:t>第十二条 合同生效及份数</w:t>
      </w:r>
    </w:p>
    <w:p w14:paraId="50E281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cs="黑体"/>
          <w:bCs/>
          <w:color w:val="auto"/>
          <w:kern w:val="2"/>
          <w:sz w:val="24"/>
          <w:szCs w:val="24"/>
          <w:lang w:val="en-US" w:eastAsia="zh-CN" w:bidi="ar-SA"/>
        </w:rPr>
        <w:t>本合同自买卖双方加盖公章/合同专用章</w:t>
      </w:r>
      <w:r>
        <w:rPr>
          <w:rFonts w:hint="eastAsia" w:ascii="黑体" w:hAnsi="黑体" w:eastAsia="黑体" w:cs="黑体"/>
          <w:bCs/>
          <w:color w:val="auto"/>
          <w:sz w:val="24"/>
        </w:rPr>
        <w:t>（多页合同双方应同时加盖骑缝章）</w:t>
      </w:r>
      <w:r>
        <w:rPr>
          <w:rFonts w:hint="eastAsia" w:ascii="黑体" w:hAnsi="黑体" w:eastAsia="黑体" w:cs="黑体"/>
          <w:bCs/>
          <w:color w:val="auto"/>
          <w:kern w:val="2"/>
          <w:sz w:val="24"/>
          <w:szCs w:val="24"/>
          <w:lang w:val="en-US" w:eastAsia="zh-CN" w:bidi="ar-SA"/>
        </w:rPr>
        <w:t>后生效。本合同一式肆份，买卖双方各执贰份，具有同等法律效力。</w:t>
      </w:r>
    </w:p>
    <w:p w14:paraId="3D1CA03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第十三条  其它约定事项</w:t>
      </w:r>
    </w:p>
    <w:p w14:paraId="30E198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lang w:val="en-US" w:eastAsia="zh-CN"/>
        </w:rPr>
      </w:pPr>
      <w:r>
        <w:rPr>
          <w:rFonts w:hint="eastAsia" w:ascii="黑体" w:hAnsi="黑体" w:eastAsia="黑体"/>
          <w:bCs/>
          <w:color w:val="auto"/>
          <w:sz w:val="24"/>
          <w:szCs w:val="24"/>
        </w:rPr>
        <w:t>1</w:t>
      </w:r>
      <w:r>
        <w:rPr>
          <w:rFonts w:hint="eastAsia" w:ascii="黑体" w:hAnsi="黑体" w:eastAsia="黑体"/>
          <w:bCs/>
          <w:color w:val="auto"/>
          <w:sz w:val="24"/>
          <w:szCs w:val="24"/>
          <w:lang w:eastAsia="zh-CN"/>
        </w:rPr>
        <w:t>.</w:t>
      </w:r>
      <w:r>
        <w:rPr>
          <w:rFonts w:hint="eastAsia" w:ascii="黑体" w:hAnsi="黑体" w:eastAsia="黑体"/>
          <w:bCs/>
          <w:color w:val="auto"/>
          <w:sz w:val="24"/>
          <w:szCs w:val="24"/>
          <w:lang w:val="en-US" w:eastAsia="zh-CN"/>
        </w:rPr>
        <w:t>本合同约定价格在合同期内为不变价。</w:t>
      </w:r>
    </w:p>
    <w:p w14:paraId="5F1E40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rPr>
      </w:pPr>
      <w:r>
        <w:rPr>
          <w:rFonts w:hint="eastAsia" w:ascii="黑体" w:hAnsi="黑体" w:eastAsia="黑体"/>
          <w:bCs/>
          <w:color w:val="auto"/>
          <w:sz w:val="24"/>
          <w:szCs w:val="24"/>
          <w:lang w:val="en-US" w:eastAsia="zh-CN"/>
        </w:rPr>
        <w:t>2.</w:t>
      </w:r>
      <w:r>
        <w:rPr>
          <w:rFonts w:hint="eastAsia" w:ascii="黑体" w:hAnsi="黑体" w:eastAsia="黑体"/>
          <w:bCs/>
          <w:color w:val="auto"/>
          <w:sz w:val="24"/>
          <w:szCs w:val="24"/>
        </w:rPr>
        <w:t>买方收取卖方履约保证金</w:t>
      </w:r>
      <w:r>
        <w:rPr>
          <w:rFonts w:hint="eastAsia" w:ascii="黑体" w:hAnsi="黑体" w:eastAsia="黑体"/>
          <w:bCs/>
          <w:color w:val="auto"/>
          <w:sz w:val="24"/>
          <w:szCs w:val="24"/>
          <w:lang w:val="en-US" w:eastAsia="zh-CN"/>
        </w:rPr>
        <w:t>1</w:t>
      </w:r>
      <w:r>
        <w:rPr>
          <w:rFonts w:hint="eastAsia" w:ascii="黑体" w:hAnsi="黑体" w:eastAsia="黑体"/>
          <w:bCs/>
          <w:color w:val="auto"/>
          <w:sz w:val="24"/>
          <w:szCs w:val="24"/>
        </w:rPr>
        <w:t>万元。</w:t>
      </w:r>
    </w:p>
    <w:p w14:paraId="4F6137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lang w:val="en-US" w:eastAsia="zh-CN"/>
        </w:rPr>
      </w:pPr>
      <w:r>
        <w:rPr>
          <w:rFonts w:hint="eastAsia" w:ascii="黑体" w:hAnsi="黑体" w:eastAsia="黑体"/>
          <w:bCs/>
          <w:color w:val="auto"/>
          <w:sz w:val="24"/>
          <w:szCs w:val="24"/>
          <w:lang w:val="en-US" w:eastAsia="zh-CN"/>
        </w:rPr>
        <w:t>①非买方原因，卖方于合同期内未及时供货，给买方生产造成影响的，买方不退还卖方履约保证金，履约保证金不足以支付违约金的，以卖方货款补齐；</w:t>
      </w:r>
    </w:p>
    <w:p w14:paraId="7D0687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szCs w:val="24"/>
          <w:lang w:val="en-US" w:eastAsia="zh-CN"/>
        </w:rPr>
      </w:pPr>
      <w:r>
        <w:rPr>
          <w:rFonts w:hint="eastAsia" w:ascii="黑体" w:hAnsi="黑体" w:eastAsia="黑体"/>
          <w:bCs/>
          <w:color w:val="auto"/>
          <w:sz w:val="24"/>
          <w:szCs w:val="24"/>
        </w:rPr>
        <w:t>②若卖方在签订合同后恶意不执行合同，买方除不退还卖方履约保证金外，并将卖方列入买方合作黑名单，永不合作</w:t>
      </w:r>
      <w:r>
        <w:rPr>
          <w:rFonts w:hint="eastAsia" w:ascii="黑体" w:hAnsi="黑体" w:eastAsia="黑体"/>
          <w:bCs/>
          <w:color w:val="auto"/>
          <w:sz w:val="24"/>
          <w:szCs w:val="24"/>
          <w:lang w:val="en-US" w:eastAsia="zh-CN"/>
        </w:rPr>
        <w:t>；</w:t>
      </w:r>
    </w:p>
    <w:p w14:paraId="455E5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auto"/>
          <w:sz w:val="24"/>
          <w:lang w:val="en-US" w:eastAsia="zh-CN"/>
        </w:rPr>
      </w:pPr>
      <w:r>
        <w:rPr>
          <w:rFonts w:hint="eastAsia" w:ascii="黑体" w:hAnsi="黑体" w:eastAsia="黑体"/>
          <w:bCs/>
          <w:color w:val="auto"/>
          <w:sz w:val="24"/>
        </w:rPr>
        <w:t>③</w:t>
      </w:r>
      <w:r>
        <w:rPr>
          <w:rFonts w:hint="eastAsia" w:ascii="黑体" w:hAnsi="黑体" w:eastAsia="黑体"/>
          <w:bCs/>
          <w:color w:val="auto"/>
          <w:sz w:val="24"/>
          <w:lang w:val="en-US" w:eastAsia="zh-CN"/>
        </w:rPr>
        <w:t>买方有权从履约保证金中扣除卖方应当支付的违约金、赔偿金。</w:t>
      </w:r>
      <w:r>
        <w:rPr>
          <w:rFonts w:hint="eastAsia" w:ascii="黑体" w:hAnsi="黑体" w:eastAsia="黑体"/>
          <w:bCs/>
          <w:color w:val="auto"/>
          <w:sz w:val="24"/>
        </w:rPr>
        <w:t>本合同执行完毕，卖方无违约行为，买方在十个工作日内全额退还履约保证金。</w:t>
      </w:r>
      <w:r>
        <w:rPr>
          <w:rFonts w:hint="eastAsia" w:ascii="黑体" w:hAnsi="黑体" w:eastAsia="黑体"/>
          <w:bCs/>
          <w:color w:val="auto"/>
          <w:sz w:val="24"/>
          <w:lang w:val="en-US" w:eastAsia="zh-CN"/>
        </w:rPr>
        <w:t>履约保证金不计息。</w:t>
      </w:r>
    </w:p>
    <w:p w14:paraId="320FC9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lang w:val="en-US" w:eastAsia="zh-CN"/>
        </w:rPr>
        <w:t>3.</w:t>
      </w:r>
      <w:r>
        <w:rPr>
          <w:rFonts w:hint="eastAsia" w:ascii="黑体" w:hAnsi="黑体" w:eastAsia="黑体"/>
          <w:bCs/>
          <w:color w:val="auto"/>
          <w:sz w:val="24"/>
          <w:szCs w:val="24"/>
        </w:rPr>
        <w:t>买方的真实意思表示以买方用印公章/合同专用章后的合同为准。本合同项下加盖的其他买方印章及买方员工签字无效，对买方不具有约束力。若由此给卖方造成损失的，买方不承担任何责任</w:t>
      </w:r>
      <w:r>
        <w:rPr>
          <w:rFonts w:hint="eastAsia" w:ascii="黑体" w:hAnsi="黑体" w:eastAsia="黑体"/>
          <w:bCs/>
          <w:color w:val="auto"/>
          <w:sz w:val="24"/>
          <w:szCs w:val="24"/>
          <w:lang w:eastAsia="zh-CN"/>
        </w:rPr>
        <w:t>。</w:t>
      </w:r>
    </w:p>
    <w:p w14:paraId="3025D8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lang w:val="en-US" w:eastAsia="zh-CN"/>
        </w:rPr>
        <w:t>4</w:t>
      </w:r>
      <w:r>
        <w:rPr>
          <w:rFonts w:hint="eastAsia" w:ascii="黑体" w:hAnsi="黑体" w:eastAsia="黑体"/>
          <w:bCs/>
          <w:color w:val="auto"/>
          <w:sz w:val="24"/>
          <w:szCs w:val="24"/>
          <w:lang w:eastAsia="zh-CN"/>
        </w:rPr>
        <w:t>.</w:t>
      </w:r>
      <w:r>
        <w:rPr>
          <w:rFonts w:hint="eastAsia" w:ascii="黑体" w:hAnsi="黑体" w:eastAsia="黑体"/>
          <w:bCs/>
          <w:color w:val="auto"/>
          <w:sz w:val="24"/>
          <w:szCs w:val="24"/>
        </w:rPr>
        <w:t>卖方车辆进出买方厂区时应遵守买方《公司（厂）内部交通安全管理规定》和《公司（厂）内部环境和职业健康安全告知书》，在签署本合同前已知晓其全部内容。</w:t>
      </w:r>
    </w:p>
    <w:p w14:paraId="7D00C1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auto"/>
          <w:sz w:val="24"/>
          <w:szCs w:val="24"/>
        </w:rPr>
      </w:pPr>
      <w:r>
        <w:rPr>
          <w:rFonts w:hint="eastAsia" w:ascii="黑体" w:hAnsi="黑体" w:eastAsia="黑体"/>
          <w:bCs/>
          <w:color w:val="auto"/>
          <w:sz w:val="24"/>
          <w:szCs w:val="24"/>
        </w:rPr>
        <w:t>（以下无正文）</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7"/>
        <w:gridCol w:w="4242"/>
      </w:tblGrid>
      <w:tr w14:paraId="74D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693DF68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买方（盖章）：四川宏达股份有限公司</w:t>
            </w:r>
          </w:p>
        </w:tc>
        <w:tc>
          <w:tcPr>
            <w:tcW w:w="2489" w:type="pct"/>
            <w:tcBorders>
              <w:top w:val="single" w:color="auto" w:sz="4" w:space="0"/>
              <w:left w:val="single" w:color="auto" w:sz="4" w:space="0"/>
              <w:bottom w:val="single" w:color="auto" w:sz="4" w:space="0"/>
              <w:right w:val="single" w:color="auto" w:sz="4" w:space="0"/>
            </w:tcBorders>
          </w:tcPr>
          <w:p w14:paraId="1727D93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卖方（盖章）：</w:t>
            </w:r>
          </w:p>
        </w:tc>
      </w:tr>
      <w:tr w14:paraId="2979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3F3074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联系人：罗兵</w:t>
            </w:r>
          </w:p>
        </w:tc>
        <w:tc>
          <w:tcPr>
            <w:tcW w:w="2489" w:type="pct"/>
            <w:tcBorders>
              <w:top w:val="single" w:color="auto" w:sz="4" w:space="0"/>
              <w:left w:val="single" w:color="auto" w:sz="4" w:space="0"/>
              <w:bottom w:val="single" w:color="auto" w:sz="4" w:space="0"/>
              <w:right w:val="single" w:color="auto" w:sz="4" w:space="0"/>
            </w:tcBorders>
          </w:tcPr>
          <w:p w14:paraId="0F9A5F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联系人：</w:t>
            </w:r>
          </w:p>
        </w:tc>
      </w:tr>
      <w:tr w14:paraId="7F4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787D742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联系电话：</w:t>
            </w:r>
          </w:p>
        </w:tc>
        <w:tc>
          <w:tcPr>
            <w:tcW w:w="2489" w:type="pct"/>
            <w:tcBorders>
              <w:top w:val="single" w:color="auto" w:sz="4" w:space="0"/>
              <w:left w:val="single" w:color="auto" w:sz="4" w:space="0"/>
              <w:bottom w:val="single" w:color="auto" w:sz="4" w:space="0"/>
              <w:right w:val="single" w:color="auto" w:sz="4" w:space="0"/>
            </w:tcBorders>
          </w:tcPr>
          <w:p w14:paraId="7DD9B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auto"/>
                <w:sz w:val="24"/>
                <w:szCs w:val="24"/>
                <w:lang w:val="en-US" w:eastAsia="zh-CN"/>
              </w:rPr>
            </w:pPr>
            <w:r>
              <w:rPr>
                <w:rFonts w:hint="eastAsia" w:ascii="黑体" w:hAnsi="黑体" w:eastAsia="黑体"/>
                <w:bCs/>
                <w:color w:val="auto"/>
                <w:sz w:val="24"/>
                <w:szCs w:val="24"/>
              </w:rPr>
              <w:t>联系电话：</w:t>
            </w:r>
          </w:p>
        </w:tc>
      </w:tr>
      <w:tr w14:paraId="316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2AEA2F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通讯地址：四川省什邡市师古镇慈山村</w:t>
            </w:r>
          </w:p>
        </w:tc>
        <w:tc>
          <w:tcPr>
            <w:tcW w:w="2489" w:type="pct"/>
            <w:tcBorders>
              <w:top w:val="single" w:color="auto" w:sz="4" w:space="0"/>
              <w:left w:val="single" w:color="auto" w:sz="4" w:space="0"/>
              <w:bottom w:val="single" w:color="auto" w:sz="4" w:space="0"/>
              <w:right w:val="single" w:color="auto" w:sz="4" w:space="0"/>
            </w:tcBorders>
          </w:tcPr>
          <w:p w14:paraId="57B895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通讯地址：</w:t>
            </w:r>
          </w:p>
        </w:tc>
      </w:tr>
      <w:tr w14:paraId="507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57671F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开户行：中国银行什邡支行</w:t>
            </w:r>
          </w:p>
        </w:tc>
        <w:tc>
          <w:tcPr>
            <w:tcW w:w="2489" w:type="pct"/>
            <w:tcBorders>
              <w:top w:val="single" w:color="auto" w:sz="4" w:space="0"/>
              <w:left w:val="single" w:color="auto" w:sz="4" w:space="0"/>
              <w:bottom w:val="single" w:color="auto" w:sz="4" w:space="0"/>
              <w:right w:val="single" w:color="auto" w:sz="4" w:space="0"/>
            </w:tcBorders>
          </w:tcPr>
          <w:p w14:paraId="18C1F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auto"/>
                <w:sz w:val="24"/>
                <w:szCs w:val="24"/>
                <w:lang w:val="en-US" w:eastAsia="zh-CN"/>
              </w:rPr>
            </w:pPr>
            <w:r>
              <w:rPr>
                <w:rFonts w:hint="eastAsia" w:ascii="黑体" w:hAnsi="黑体" w:eastAsia="黑体"/>
                <w:bCs/>
                <w:color w:val="auto"/>
                <w:sz w:val="24"/>
                <w:szCs w:val="24"/>
              </w:rPr>
              <w:t>开户行：</w:t>
            </w:r>
          </w:p>
        </w:tc>
      </w:tr>
      <w:tr w14:paraId="532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14AE45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帐号：121203636202</w:t>
            </w:r>
          </w:p>
        </w:tc>
        <w:tc>
          <w:tcPr>
            <w:tcW w:w="2489" w:type="pct"/>
            <w:tcBorders>
              <w:top w:val="single" w:color="auto" w:sz="4" w:space="0"/>
              <w:left w:val="single" w:color="auto" w:sz="4" w:space="0"/>
              <w:bottom w:val="single" w:color="auto" w:sz="4" w:space="0"/>
              <w:right w:val="single" w:color="auto" w:sz="4" w:space="0"/>
            </w:tcBorders>
          </w:tcPr>
          <w:p w14:paraId="1FB122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auto"/>
                <w:sz w:val="24"/>
                <w:szCs w:val="24"/>
                <w:lang w:val="en-US" w:eastAsia="zh-CN"/>
              </w:rPr>
            </w:pPr>
            <w:r>
              <w:rPr>
                <w:rFonts w:hint="eastAsia" w:ascii="黑体" w:hAnsi="黑体" w:eastAsia="黑体"/>
                <w:bCs/>
                <w:color w:val="auto"/>
                <w:sz w:val="24"/>
                <w:szCs w:val="24"/>
              </w:rPr>
              <w:t>帐号：</w:t>
            </w:r>
          </w:p>
        </w:tc>
      </w:tr>
      <w:tr w14:paraId="27F7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752950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税号：91510600205363163Y</w:t>
            </w:r>
          </w:p>
        </w:tc>
        <w:tc>
          <w:tcPr>
            <w:tcW w:w="2489" w:type="pct"/>
            <w:tcBorders>
              <w:top w:val="single" w:color="auto" w:sz="4" w:space="0"/>
              <w:left w:val="single" w:color="auto" w:sz="4" w:space="0"/>
              <w:bottom w:val="single" w:color="auto" w:sz="4" w:space="0"/>
              <w:right w:val="single" w:color="auto" w:sz="4" w:space="0"/>
            </w:tcBorders>
          </w:tcPr>
          <w:p w14:paraId="47060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auto"/>
                <w:sz w:val="24"/>
                <w:szCs w:val="24"/>
                <w:lang w:val="en-US" w:eastAsia="zh-CN"/>
              </w:rPr>
            </w:pPr>
            <w:r>
              <w:rPr>
                <w:rFonts w:hint="eastAsia" w:ascii="黑体" w:hAnsi="黑体" w:eastAsia="黑体"/>
                <w:bCs/>
                <w:color w:val="auto"/>
                <w:sz w:val="24"/>
                <w:szCs w:val="24"/>
              </w:rPr>
              <w:t>税号:</w:t>
            </w:r>
          </w:p>
        </w:tc>
      </w:tr>
      <w:tr w14:paraId="1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449B20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签订地点：什邡市洛水镇</w:t>
            </w:r>
          </w:p>
        </w:tc>
        <w:tc>
          <w:tcPr>
            <w:tcW w:w="2489" w:type="pct"/>
            <w:tcBorders>
              <w:top w:val="single" w:color="auto" w:sz="4" w:space="0"/>
              <w:left w:val="single" w:color="auto" w:sz="4" w:space="0"/>
              <w:bottom w:val="single" w:color="auto" w:sz="4" w:space="0"/>
              <w:right w:val="single" w:color="auto" w:sz="4" w:space="0"/>
            </w:tcBorders>
          </w:tcPr>
          <w:p w14:paraId="589218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auto"/>
                <w:sz w:val="24"/>
                <w:szCs w:val="24"/>
              </w:rPr>
            </w:pPr>
            <w:r>
              <w:rPr>
                <w:rFonts w:hint="eastAsia" w:ascii="黑体" w:hAnsi="黑体" w:eastAsia="黑体"/>
                <w:bCs/>
                <w:color w:val="auto"/>
                <w:sz w:val="24"/>
                <w:szCs w:val="24"/>
              </w:rPr>
              <w:t>签订日期：</w:t>
            </w:r>
            <w:r>
              <w:rPr>
                <w:rFonts w:ascii="黑体" w:hAnsi="黑体" w:eastAsia="黑体"/>
                <w:bCs/>
                <w:color w:val="auto"/>
                <w:sz w:val="24"/>
                <w:szCs w:val="24"/>
              </w:rPr>
              <w:t>202</w:t>
            </w:r>
            <w:r>
              <w:rPr>
                <w:rFonts w:hint="eastAsia" w:ascii="黑体" w:hAnsi="黑体" w:eastAsia="黑体"/>
                <w:bCs/>
                <w:color w:val="auto"/>
                <w:sz w:val="24"/>
                <w:szCs w:val="24"/>
                <w:lang w:val="en-US" w:eastAsia="zh-CN"/>
              </w:rPr>
              <w:t>6</w:t>
            </w:r>
            <w:r>
              <w:rPr>
                <w:rFonts w:ascii="黑体" w:hAnsi="黑体" w:eastAsia="黑体"/>
                <w:bCs/>
                <w:color w:val="auto"/>
                <w:sz w:val="24"/>
                <w:szCs w:val="24"/>
              </w:rPr>
              <w:t>年</w:t>
            </w:r>
            <w:r>
              <w:rPr>
                <w:rFonts w:hint="eastAsia" w:ascii="黑体" w:hAnsi="黑体" w:eastAsia="黑体"/>
                <w:bCs/>
                <w:color w:val="auto"/>
                <w:sz w:val="24"/>
                <w:szCs w:val="24"/>
                <w:lang w:val="en-US" w:eastAsia="zh-CN"/>
              </w:rPr>
              <w:t>5</w:t>
            </w:r>
            <w:r>
              <w:rPr>
                <w:rFonts w:ascii="黑体" w:hAnsi="黑体" w:eastAsia="黑体"/>
                <w:bCs/>
                <w:color w:val="auto"/>
                <w:sz w:val="24"/>
                <w:szCs w:val="24"/>
              </w:rPr>
              <w:t>月</w:t>
            </w:r>
            <w:r>
              <w:rPr>
                <w:rFonts w:hint="eastAsia" w:ascii="黑体" w:hAnsi="黑体" w:eastAsia="黑体"/>
                <w:bCs/>
                <w:color w:val="auto"/>
                <w:sz w:val="24"/>
                <w:szCs w:val="24"/>
                <w:lang w:val="en-US" w:eastAsia="zh-CN"/>
              </w:rPr>
              <w:t>28</w:t>
            </w:r>
            <w:r>
              <w:rPr>
                <w:rFonts w:ascii="黑体" w:hAnsi="黑体" w:eastAsia="黑体"/>
                <w:bCs/>
                <w:color w:val="auto"/>
                <w:sz w:val="24"/>
                <w:szCs w:val="24"/>
              </w:rPr>
              <w:t>日</w:t>
            </w:r>
          </w:p>
        </w:tc>
      </w:tr>
    </w:tbl>
    <w:p w14:paraId="0FB66D39">
      <w:pPr>
        <w:spacing w:line="300" w:lineRule="exact"/>
        <w:rPr>
          <w:rFonts w:hint="eastAsia" w:ascii="黑体" w:hAnsi="黑体" w:eastAsia="黑体"/>
          <w:bCs/>
          <w:color w:val="auto"/>
          <w:sz w:val="24"/>
          <w:szCs w:val="24"/>
          <w:lang w:val="en-US" w:eastAsia="zh-CN"/>
        </w:rPr>
      </w:pPr>
    </w:p>
    <w:p w14:paraId="45D2D4BE">
      <w:pPr>
        <w:spacing w:line="300" w:lineRule="exact"/>
        <w:rPr>
          <w:rFonts w:hint="eastAsia" w:ascii="黑体" w:hAnsi="黑体" w:eastAsia="黑体"/>
          <w:bCs/>
          <w:color w:val="auto"/>
          <w:sz w:val="24"/>
          <w:szCs w:val="24"/>
          <w:lang w:val="en-US" w:eastAsia="zh-CN"/>
        </w:rPr>
      </w:pPr>
    </w:p>
    <w:p w14:paraId="2ABE928D">
      <w:pPr>
        <w:spacing w:line="300" w:lineRule="exact"/>
        <w:rPr>
          <w:rFonts w:hint="eastAsia" w:ascii="黑体" w:hAnsi="黑体" w:eastAsia="黑体"/>
          <w:bCs/>
          <w:color w:val="auto"/>
          <w:sz w:val="24"/>
          <w:szCs w:val="24"/>
          <w:lang w:val="en-US" w:eastAsia="zh-CN"/>
        </w:rPr>
      </w:pPr>
    </w:p>
    <w:p w14:paraId="3E7E072E">
      <w:pPr>
        <w:spacing w:line="300" w:lineRule="exact"/>
        <w:rPr>
          <w:rFonts w:hint="eastAsia" w:ascii="黑体" w:hAnsi="黑体" w:eastAsia="黑体"/>
          <w:bCs/>
          <w:color w:val="auto"/>
          <w:sz w:val="24"/>
          <w:szCs w:val="24"/>
          <w:lang w:val="en-US" w:eastAsia="zh-CN"/>
        </w:rPr>
      </w:pPr>
    </w:p>
    <w:p w14:paraId="4B26C3A8">
      <w:pPr>
        <w:spacing w:line="300" w:lineRule="exact"/>
        <w:rPr>
          <w:rFonts w:hint="eastAsia" w:ascii="黑体" w:hAnsi="黑体" w:eastAsia="黑体"/>
          <w:bCs/>
          <w:color w:val="auto"/>
          <w:sz w:val="24"/>
          <w:szCs w:val="24"/>
          <w:lang w:val="en-US" w:eastAsia="zh-CN"/>
        </w:rPr>
      </w:pPr>
    </w:p>
    <w:p w14:paraId="19225B7E">
      <w:pPr>
        <w:spacing w:line="300" w:lineRule="exact"/>
        <w:rPr>
          <w:rFonts w:hint="eastAsia" w:ascii="黑体" w:hAnsi="黑体" w:eastAsia="黑体"/>
          <w:bCs/>
          <w:color w:val="auto"/>
          <w:sz w:val="24"/>
          <w:szCs w:val="24"/>
          <w:lang w:val="en-US" w:eastAsia="zh-CN"/>
        </w:rPr>
      </w:pPr>
    </w:p>
    <w:p w14:paraId="302B787B">
      <w:pPr>
        <w:spacing w:line="300" w:lineRule="exact"/>
        <w:rPr>
          <w:rFonts w:hint="eastAsia" w:ascii="黑体" w:hAnsi="黑体" w:eastAsia="黑体"/>
          <w:bCs/>
          <w:color w:val="auto"/>
          <w:sz w:val="24"/>
          <w:szCs w:val="24"/>
          <w:lang w:val="en-US" w:eastAsia="zh-CN"/>
        </w:rPr>
      </w:pPr>
    </w:p>
    <w:p w14:paraId="7EBE9A11">
      <w:pPr>
        <w:spacing w:line="300" w:lineRule="exact"/>
        <w:rPr>
          <w:rFonts w:hint="eastAsia" w:ascii="黑体" w:hAnsi="黑体" w:eastAsia="黑体"/>
          <w:bCs/>
          <w:color w:val="auto"/>
          <w:sz w:val="24"/>
          <w:szCs w:val="24"/>
          <w:lang w:val="en-US" w:eastAsia="zh-CN"/>
        </w:rPr>
      </w:pPr>
    </w:p>
    <w:p w14:paraId="4BC1E29F">
      <w:pPr>
        <w:spacing w:line="300" w:lineRule="exact"/>
        <w:rPr>
          <w:rFonts w:hint="eastAsia" w:ascii="黑体" w:hAnsi="黑体" w:eastAsia="黑体"/>
          <w:bCs/>
          <w:color w:val="auto"/>
          <w:sz w:val="24"/>
          <w:szCs w:val="24"/>
          <w:lang w:val="en-US" w:eastAsia="zh-CN"/>
        </w:rPr>
      </w:pPr>
    </w:p>
    <w:p w14:paraId="0DACCF31">
      <w:pPr>
        <w:spacing w:line="300" w:lineRule="exact"/>
        <w:rPr>
          <w:rFonts w:hint="eastAsia" w:ascii="黑体" w:hAnsi="黑体" w:eastAsia="黑体"/>
          <w:bCs/>
          <w:color w:val="auto"/>
          <w:sz w:val="24"/>
          <w:szCs w:val="24"/>
          <w:lang w:val="en-US" w:eastAsia="zh-CN"/>
        </w:rPr>
      </w:pPr>
    </w:p>
    <w:p w14:paraId="61643EF4">
      <w:pPr>
        <w:spacing w:line="300" w:lineRule="exact"/>
        <w:rPr>
          <w:rFonts w:hint="eastAsia" w:ascii="黑体" w:hAnsi="黑体" w:eastAsia="黑体"/>
          <w:bCs/>
          <w:color w:val="auto"/>
          <w:sz w:val="24"/>
          <w:szCs w:val="24"/>
          <w:lang w:val="en-US" w:eastAsia="zh-CN"/>
        </w:rPr>
      </w:pPr>
    </w:p>
    <w:p w14:paraId="377825FD">
      <w:pPr>
        <w:spacing w:line="300" w:lineRule="exact"/>
        <w:rPr>
          <w:rFonts w:hint="eastAsia" w:ascii="黑体" w:hAnsi="黑体" w:eastAsia="黑体"/>
          <w:bCs/>
          <w:color w:val="auto"/>
          <w:sz w:val="24"/>
          <w:szCs w:val="24"/>
          <w:lang w:val="en-US" w:eastAsia="zh-CN"/>
        </w:rPr>
      </w:pPr>
    </w:p>
    <w:p w14:paraId="3D0BFD8A">
      <w:pPr>
        <w:spacing w:line="300" w:lineRule="exact"/>
        <w:rPr>
          <w:rFonts w:hint="eastAsia" w:ascii="黑体" w:hAnsi="黑体" w:eastAsia="黑体"/>
          <w:bCs/>
          <w:color w:val="auto"/>
          <w:sz w:val="24"/>
          <w:szCs w:val="24"/>
          <w:lang w:val="en-US" w:eastAsia="zh-CN"/>
        </w:rPr>
      </w:pPr>
    </w:p>
    <w:p w14:paraId="6FA32C2C">
      <w:pPr>
        <w:spacing w:line="300" w:lineRule="exact"/>
        <w:rPr>
          <w:rFonts w:hint="eastAsia" w:ascii="黑体" w:hAnsi="黑体" w:eastAsia="黑体"/>
          <w:bCs/>
          <w:color w:val="auto"/>
          <w:sz w:val="24"/>
          <w:szCs w:val="24"/>
          <w:lang w:val="en-US" w:eastAsia="zh-CN"/>
        </w:rPr>
      </w:pPr>
    </w:p>
    <w:p w14:paraId="5F6FE20C">
      <w:pPr>
        <w:spacing w:line="300" w:lineRule="exact"/>
        <w:rPr>
          <w:rFonts w:hint="eastAsia" w:ascii="黑体" w:hAnsi="黑体" w:eastAsia="黑体"/>
          <w:bCs/>
          <w:color w:val="auto"/>
          <w:sz w:val="24"/>
          <w:szCs w:val="24"/>
          <w:lang w:val="en-US" w:eastAsia="zh-CN"/>
        </w:rPr>
      </w:pPr>
    </w:p>
    <w:p w14:paraId="438E6FAE">
      <w:pPr>
        <w:spacing w:line="300" w:lineRule="exact"/>
        <w:rPr>
          <w:rFonts w:hint="eastAsia" w:ascii="黑体" w:hAnsi="黑体" w:eastAsia="黑体"/>
          <w:bCs/>
          <w:color w:val="auto"/>
          <w:sz w:val="24"/>
          <w:szCs w:val="24"/>
          <w:lang w:val="en-US" w:eastAsia="zh-CN"/>
        </w:rPr>
      </w:pPr>
    </w:p>
    <w:p w14:paraId="75E0FA91">
      <w:pPr>
        <w:spacing w:line="300" w:lineRule="exact"/>
        <w:rPr>
          <w:rFonts w:hint="eastAsia" w:ascii="黑体" w:hAnsi="黑体" w:eastAsia="黑体"/>
          <w:bCs/>
          <w:color w:val="auto"/>
          <w:sz w:val="24"/>
          <w:szCs w:val="24"/>
          <w:lang w:val="en-US" w:eastAsia="zh-CN"/>
        </w:rPr>
      </w:pPr>
    </w:p>
    <w:p w14:paraId="202BE205">
      <w:pPr>
        <w:spacing w:line="300" w:lineRule="exact"/>
        <w:rPr>
          <w:rFonts w:hint="eastAsia" w:ascii="黑体" w:hAnsi="黑体" w:eastAsia="黑体"/>
          <w:bCs/>
          <w:color w:val="auto"/>
          <w:sz w:val="24"/>
          <w:szCs w:val="24"/>
          <w:lang w:val="en-US" w:eastAsia="zh-CN"/>
        </w:rPr>
      </w:pPr>
    </w:p>
    <w:p w14:paraId="42D134C3">
      <w:pPr>
        <w:spacing w:line="300" w:lineRule="exact"/>
        <w:rPr>
          <w:rFonts w:hint="eastAsia" w:ascii="黑体" w:hAnsi="黑体" w:eastAsia="黑体"/>
          <w:bCs/>
          <w:color w:val="auto"/>
          <w:sz w:val="24"/>
          <w:szCs w:val="24"/>
          <w:lang w:val="en-US" w:eastAsia="zh-CN"/>
        </w:rPr>
      </w:pPr>
    </w:p>
    <w:p w14:paraId="7D1FD4B4">
      <w:pPr>
        <w:spacing w:line="300" w:lineRule="exact"/>
        <w:rPr>
          <w:rFonts w:hint="eastAsia" w:ascii="黑体" w:hAnsi="黑体" w:eastAsia="黑体"/>
          <w:bCs/>
          <w:color w:val="auto"/>
          <w:sz w:val="24"/>
          <w:szCs w:val="24"/>
          <w:lang w:val="en-US" w:eastAsia="zh-CN"/>
        </w:rPr>
      </w:pPr>
    </w:p>
    <w:p w14:paraId="509B2DD0">
      <w:pPr>
        <w:spacing w:line="300" w:lineRule="exact"/>
        <w:rPr>
          <w:rFonts w:hint="eastAsia" w:ascii="黑体" w:hAnsi="黑体" w:eastAsia="黑体"/>
          <w:bCs/>
          <w:color w:val="auto"/>
          <w:sz w:val="24"/>
          <w:szCs w:val="24"/>
          <w:lang w:val="en-US" w:eastAsia="zh-CN"/>
        </w:rPr>
      </w:pPr>
    </w:p>
    <w:p w14:paraId="2BF2433E">
      <w:pPr>
        <w:spacing w:line="300" w:lineRule="exact"/>
        <w:rPr>
          <w:rFonts w:hint="eastAsia" w:ascii="黑体" w:hAnsi="黑体" w:eastAsia="黑体"/>
          <w:bCs/>
          <w:color w:val="auto"/>
          <w:sz w:val="24"/>
          <w:szCs w:val="24"/>
          <w:lang w:val="en-US" w:eastAsia="zh-CN"/>
        </w:rPr>
      </w:pPr>
    </w:p>
    <w:p w14:paraId="4D113DA3">
      <w:pPr>
        <w:spacing w:line="300" w:lineRule="exact"/>
        <w:rPr>
          <w:rFonts w:hint="eastAsia" w:ascii="黑体" w:hAnsi="黑体" w:eastAsia="黑体"/>
          <w:bCs/>
          <w:color w:val="auto"/>
          <w:sz w:val="24"/>
          <w:szCs w:val="24"/>
          <w:lang w:val="en-US" w:eastAsia="zh-CN"/>
        </w:rPr>
      </w:pPr>
    </w:p>
    <w:p w14:paraId="489442E7">
      <w:pPr>
        <w:spacing w:line="300" w:lineRule="exact"/>
        <w:rPr>
          <w:rFonts w:hint="eastAsia" w:ascii="黑体" w:hAnsi="黑体" w:eastAsia="黑体"/>
          <w:bCs/>
          <w:color w:val="auto"/>
          <w:sz w:val="24"/>
          <w:szCs w:val="24"/>
          <w:lang w:val="en-US" w:eastAsia="zh-CN"/>
        </w:rPr>
      </w:pPr>
    </w:p>
    <w:p w14:paraId="0165F9F0">
      <w:pPr>
        <w:spacing w:line="300" w:lineRule="exact"/>
        <w:rPr>
          <w:rFonts w:hint="eastAsia" w:ascii="黑体" w:hAnsi="黑体" w:eastAsia="黑体"/>
          <w:bCs/>
          <w:color w:val="auto"/>
          <w:sz w:val="24"/>
          <w:szCs w:val="24"/>
          <w:lang w:val="en-US" w:eastAsia="zh-CN"/>
        </w:rPr>
      </w:pPr>
    </w:p>
    <w:p w14:paraId="166DACBF">
      <w:pPr>
        <w:spacing w:line="300" w:lineRule="exact"/>
        <w:rPr>
          <w:rFonts w:hint="eastAsia" w:ascii="黑体" w:hAnsi="黑体" w:eastAsia="黑体"/>
          <w:bCs/>
          <w:color w:val="auto"/>
          <w:sz w:val="24"/>
          <w:szCs w:val="24"/>
          <w:lang w:val="en-US" w:eastAsia="zh-CN"/>
        </w:rPr>
      </w:pPr>
    </w:p>
    <w:p w14:paraId="402B4C47">
      <w:pPr>
        <w:spacing w:line="300" w:lineRule="exact"/>
        <w:rPr>
          <w:rFonts w:hint="eastAsia" w:ascii="黑体" w:hAnsi="黑体" w:eastAsia="黑体"/>
          <w:bCs/>
          <w:color w:val="auto"/>
          <w:sz w:val="24"/>
          <w:szCs w:val="24"/>
          <w:lang w:val="en-US" w:eastAsia="zh-CN"/>
        </w:rPr>
      </w:pPr>
    </w:p>
    <w:p w14:paraId="60865FF9">
      <w:pPr>
        <w:spacing w:line="300" w:lineRule="exact"/>
        <w:rPr>
          <w:rFonts w:hint="eastAsia" w:ascii="黑体" w:hAnsi="黑体" w:eastAsia="黑体"/>
          <w:bCs/>
          <w:color w:val="auto"/>
          <w:sz w:val="24"/>
          <w:szCs w:val="24"/>
          <w:lang w:val="en-US" w:eastAsia="zh-CN"/>
        </w:rPr>
      </w:pPr>
    </w:p>
    <w:p w14:paraId="64AC8484">
      <w:pPr>
        <w:spacing w:line="300" w:lineRule="exact"/>
        <w:rPr>
          <w:rFonts w:hint="eastAsia" w:ascii="黑体" w:hAnsi="黑体" w:eastAsia="黑体"/>
          <w:bCs/>
          <w:color w:val="auto"/>
          <w:sz w:val="24"/>
          <w:szCs w:val="24"/>
          <w:lang w:val="en-US" w:eastAsia="zh-CN"/>
        </w:rPr>
      </w:pPr>
    </w:p>
    <w:p w14:paraId="1E19D4C9">
      <w:pPr>
        <w:spacing w:line="300" w:lineRule="exact"/>
        <w:rPr>
          <w:rFonts w:hint="eastAsia" w:ascii="黑体" w:hAnsi="黑体" w:eastAsia="黑体"/>
          <w:bCs/>
          <w:color w:val="auto"/>
          <w:sz w:val="24"/>
          <w:szCs w:val="24"/>
          <w:lang w:val="en-US" w:eastAsia="zh-CN"/>
        </w:rPr>
      </w:pPr>
    </w:p>
    <w:p w14:paraId="62C6C8C9">
      <w:pPr>
        <w:spacing w:line="300" w:lineRule="exact"/>
        <w:rPr>
          <w:rFonts w:hint="eastAsia" w:ascii="黑体" w:hAnsi="黑体" w:eastAsia="黑体"/>
          <w:bCs/>
          <w:color w:val="auto"/>
          <w:sz w:val="24"/>
          <w:szCs w:val="24"/>
          <w:lang w:val="en-US" w:eastAsia="zh-CN"/>
        </w:rPr>
      </w:pPr>
    </w:p>
    <w:p w14:paraId="1AB975CF">
      <w:pPr>
        <w:spacing w:line="300" w:lineRule="exact"/>
        <w:rPr>
          <w:rFonts w:hint="eastAsia" w:ascii="黑体" w:hAnsi="黑体" w:eastAsia="黑体"/>
          <w:bCs/>
          <w:color w:val="auto"/>
          <w:sz w:val="24"/>
          <w:szCs w:val="24"/>
          <w:lang w:val="en-US" w:eastAsia="zh-CN"/>
        </w:rPr>
      </w:pPr>
    </w:p>
    <w:p w14:paraId="6CE4C0DE">
      <w:pPr>
        <w:spacing w:line="300" w:lineRule="exact"/>
        <w:rPr>
          <w:rFonts w:hint="eastAsia" w:ascii="黑体" w:hAnsi="黑体" w:eastAsia="黑体"/>
          <w:bCs/>
          <w:color w:val="auto"/>
          <w:sz w:val="24"/>
          <w:szCs w:val="24"/>
          <w:lang w:val="en-US" w:eastAsia="zh-CN"/>
        </w:rPr>
      </w:pPr>
    </w:p>
    <w:p w14:paraId="3E5521F2">
      <w:pPr>
        <w:spacing w:line="300" w:lineRule="exact"/>
        <w:rPr>
          <w:rFonts w:hint="eastAsia" w:ascii="黑体" w:hAnsi="黑体" w:eastAsia="黑体"/>
          <w:bCs/>
          <w:color w:val="auto"/>
          <w:sz w:val="24"/>
          <w:szCs w:val="24"/>
          <w:lang w:val="en-US" w:eastAsia="zh-CN"/>
        </w:rPr>
      </w:pPr>
    </w:p>
    <w:p w14:paraId="04C70814">
      <w:pPr>
        <w:spacing w:line="300" w:lineRule="exact"/>
        <w:rPr>
          <w:rFonts w:hint="eastAsia" w:ascii="黑体" w:hAnsi="黑体" w:eastAsia="黑体"/>
          <w:bCs/>
          <w:color w:val="auto"/>
          <w:sz w:val="24"/>
          <w:szCs w:val="24"/>
          <w:lang w:val="en-US" w:eastAsia="zh-CN"/>
        </w:rPr>
      </w:pPr>
    </w:p>
    <w:p w14:paraId="7D7FBDC3">
      <w:pPr>
        <w:spacing w:line="300" w:lineRule="exact"/>
        <w:rPr>
          <w:rFonts w:hint="eastAsia" w:ascii="黑体" w:hAnsi="黑体" w:eastAsia="黑体"/>
          <w:bCs/>
          <w:color w:val="auto"/>
          <w:sz w:val="24"/>
          <w:szCs w:val="24"/>
          <w:lang w:val="en-US" w:eastAsia="zh-CN"/>
        </w:rPr>
      </w:pPr>
    </w:p>
    <w:p w14:paraId="1F7B63B1">
      <w:pPr>
        <w:spacing w:line="300" w:lineRule="exact"/>
        <w:rPr>
          <w:rFonts w:hint="default" w:ascii="黑体" w:hAnsi="黑体" w:eastAsia="黑体"/>
          <w:bCs/>
          <w:color w:val="auto"/>
          <w:sz w:val="24"/>
          <w:szCs w:val="24"/>
          <w:lang w:val="en-US" w:eastAsia="zh-CN"/>
        </w:rPr>
      </w:pPr>
      <w:r>
        <w:rPr>
          <w:rFonts w:hint="eastAsia" w:ascii="黑体" w:hAnsi="黑体" w:eastAsia="黑体"/>
          <w:bCs/>
          <w:color w:val="auto"/>
          <w:sz w:val="24"/>
          <w:szCs w:val="24"/>
          <w:lang w:val="en-US" w:eastAsia="zh-CN"/>
        </w:rPr>
        <w:t>附件：</w:t>
      </w:r>
    </w:p>
    <w:p w14:paraId="24BCC919">
      <w:pPr>
        <w:spacing w:line="480" w:lineRule="exact"/>
        <w:ind w:left="-141" w:leftChars="-67" w:firstLine="140" w:firstLineChars="50"/>
        <w:jc w:val="center"/>
        <w:rPr>
          <w:rFonts w:hint="eastAsia" w:ascii="微软雅黑" w:hAnsi="微软雅黑" w:eastAsia="微软雅黑" w:cs="微软雅黑"/>
          <w:b/>
          <w:color w:val="auto"/>
          <w:sz w:val="28"/>
        </w:rPr>
      </w:pPr>
      <w:r>
        <w:rPr>
          <w:rFonts w:hint="eastAsia" w:ascii="微软雅黑" w:hAnsi="微软雅黑" w:eastAsia="微软雅黑" w:cs="微软雅黑"/>
          <w:b/>
          <w:color w:val="auto"/>
          <w:sz w:val="28"/>
        </w:rPr>
        <w:t>主要原燃料内控质量标准及结算办法</w:t>
      </w:r>
    </w:p>
    <w:tbl>
      <w:tblPr>
        <w:tblStyle w:val="5"/>
        <w:tblW w:w="9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418"/>
        <w:gridCol w:w="5244"/>
        <w:gridCol w:w="1701"/>
      </w:tblGrid>
      <w:tr w14:paraId="10AD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850" w:type="dxa"/>
            <w:tcBorders>
              <w:left w:val="single" w:color="auto" w:sz="4" w:space="0"/>
            </w:tcBorders>
          </w:tcPr>
          <w:p w14:paraId="0C574A01">
            <w:pPr>
              <w:spacing w:line="4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原料</w:t>
            </w:r>
          </w:p>
          <w:p w14:paraId="0E4C0645">
            <w:pPr>
              <w:spacing w:line="4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1418" w:type="dxa"/>
            <w:vAlign w:val="center"/>
          </w:tcPr>
          <w:p w14:paraId="22E70E89">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质量指标</w:t>
            </w:r>
          </w:p>
        </w:tc>
        <w:tc>
          <w:tcPr>
            <w:tcW w:w="5244" w:type="dxa"/>
            <w:tcBorders>
              <w:bottom w:val="single" w:color="auto" w:sz="4" w:space="0"/>
            </w:tcBorders>
            <w:vAlign w:val="center"/>
          </w:tcPr>
          <w:p w14:paraId="26EF2433">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结算办法</w:t>
            </w:r>
          </w:p>
        </w:tc>
        <w:tc>
          <w:tcPr>
            <w:tcW w:w="1701" w:type="dxa"/>
            <w:tcBorders>
              <w:bottom w:val="single" w:color="auto" w:sz="4" w:space="0"/>
            </w:tcBorders>
            <w:vAlign w:val="center"/>
          </w:tcPr>
          <w:p w14:paraId="21A376E3">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检测依据</w:t>
            </w:r>
          </w:p>
        </w:tc>
      </w:tr>
      <w:tr w14:paraId="7E771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850" w:type="dxa"/>
            <w:vMerge w:val="restart"/>
            <w:tcBorders>
              <w:left w:val="single" w:color="auto" w:sz="4" w:space="0"/>
            </w:tcBorders>
            <w:vAlign w:val="center"/>
          </w:tcPr>
          <w:p w14:paraId="08FD6790">
            <w:pPr>
              <w:spacing w:line="35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rPr>
              <w:t>氨水</w:t>
            </w:r>
          </w:p>
        </w:tc>
        <w:tc>
          <w:tcPr>
            <w:tcW w:w="1418" w:type="dxa"/>
            <w:vMerge w:val="restart"/>
            <w:vAlign w:val="center"/>
          </w:tcPr>
          <w:p w14:paraId="5BCB0ECE">
            <w:pPr>
              <w:spacing w:line="35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szCs w:val="21"/>
              </w:rPr>
              <w:t>≥13.00%</w:t>
            </w:r>
          </w:p>
        </w:tc>
        <w:tc>
          <w:tcPr>
            <w:tcW w:w="5244" w:type="dxa"/>
            <w:tcBorders>
              <w:bottom w:val="single" w:color="auto" w:sz="4" w:space="0"/>
            </w:tcBorders>
            <w:vAlign w:val="center"/>
          </w:tcPr>
          <w:p w14:paraId="2B8416A0">
            <w:pPr>
              <w:spacing w:line="35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szCs w:val="21"/>
              </w:rPr>
              <w:t>≥10.00%</w:t>
            </w:r>
            <w:r>
              <w:rPr>
                <w:rFonts w:hint="eastAsia" w:ascii="微软雅黑" w:hAnsi="微软雅黑" w:eastAsia="微软雅黑" w:cs="微软雅黑"/>
                <w:color w:val="auto"/>
              </w:rPr>
              <w:t>时，以13.00%为基准折算实际计价吨位；</w:t>
            </w:r>
          </w:p>
        </w:tc>
        <w:tc>
          <w:tcPr>
            <w:tcW w:w="1701" w:type="dxa"/>
            <w:vMerge w:val="restart"/>
            <w:shd w:val="clear" w:color="auto" w:fill="auto"/>
            <w:vAlign w:val="center"/>
          </w:tcPr>
          <w:p w14:paraId="33AD8F7F">
            <w:pPr>
              <w:spacing w:line="480" w:lineRule="exact"/>
              <w:ind w:left="420" w:leftChars="0" w:hanging="420" w:hangingChars="200"/>
              <w:jc w:val="center"/>
              <w:rPr>
                <w:rFonts w:hint="eastAsia" w:ascii="微软雅黑" w:hAnsi="微软雅黑" w:eastAsia="微软雅黑" w:cs="微软雅黑"/>
                <w:color w:val="auto"/>
                <w:kern w:val="2"/>
                <w:sz w:val="21"/>
                <w:lang w:val="en-US" w:eastAsia="zh-CN" w:bidi="ar-SA"/>
              </w:rPr>
            </w:pPr>
            <w:r>
              <w:rPr>
                <w:rFonts w:hint="eastAsia" w:ascii="微软雅黑" w:hAnsi="微软雅黑" w:eastAsia="微软雅黑" w:cs="微软雅黑"/>
                <w:color w:val="auto"/>
              </w:rPr>
              <w:t>GB/T631-2007</w:t>
            </w:r>
          </w:p>
        </w:tc>
      </w:tr>
      <w:tr w14:paraId="1C4E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850" w:type="dxa"/>
            <w:vMerge w:val="continue"/>
            <w:tcBorders>
              <w:left w:val="single" w:color="auto" w:sz="4" w:space="0"/>
            </w:tcBorders>
            <w:vAlign w:val="center"/>
          </w:tcPr>
          <w:p w14:paraId="7A2996D3">
            <w:pPr>
              <w:spacing w:line="350" w:lineRule="exact"/>
              <w:jc w:val="center"/>
              <w:rPr>
                <w:rFonts w:hint="eastAsia" w:ascii="微软雅黑" w:hAnsi="微软雅黑" w:eastAsia="微软雅黑" w:cs="微软雅黑"/>
                <w:color w:val="auto"/>
                <w:sz w:val="24"/>
              </w:rPr>
            </w:pPr>
          </w:p>
        </w:tc>
        <w:tc>
          <w:tcPr>
            <w:tcW w:w="1418" w:type="dxa"/>
            <w:vMerge w:val="continue"/>
            <w:vAlign w:val="center"/>
          </w:tcPr>
          <w:p w14:paraId="5368E226">
            <w:pPr>
              <w:spacing w:line="480" w:lineRule="exact"/>
              <w:rPr>
                <w:rFonts w:hint="eastAsia" w:ascii="微软雅黑" w:hAnsi="微软雅黑" w:eastAsia="微软雅黑" w:cs="微软雅黑"/>
                <w:color w:val="auto"/>
                <w:sz w:val="24"/>
              </w:rPr>
            </w:pPr>
          </w:p>
        </w:tc>
        <w:tc>
          <w:tcPr>
            <w:tcW w:w="5244" w:type="dxa"/>
            <w:tcBorders>
              <w:bottom w:val="single" w:color="auto" w:sz="4" w:space="0"/>
            </w:tcBorders>
            <w:vAlign w:val="center"/>
          </w:tcPr>
          <w:p w14:paraId="337C5A15">
            <w:pPr>
              <w:spacing w:line="48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rPr>
              <w:t>5.00%≤</w:t>
            </w: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rPr>
              <w:t>＜</w:t>
            </w:r>
            <w:r>
              <w:rPr>
                <w:rFonts w:hint="eastAsia" w:ascii="微软雅黑" w:hAnsi="微软雅黑" w:eastAsia="微软雅黑" w:cs="微软雅黑"/>
                <w:color w:val="auto"/>
                <w:szCs w:val="21"/>
              </w:rPr>
              <w:t>10.00%</w:t>
            </w:r>
            <w:r>
              <w:rPr>
                <w:rFonts w:hint="eastAsia" w:ascii="微软雅黑" w:hAnsi="微软雅黑" w:eastAsia="微软雅黑" w:cs="微软雅黑"/>
                <w:color w:val="auto"/>
              </w:rPr>
              <w:t>，</w:t>
            </w:r>
            <w:r>
              <w:rPr>
                <w:rFonts w:hint="eastAsia" w:ascii="微软雅黑" w:hAnsi="微软雅黑" w:eastAsia="微软雅黑" w:cs="微软雅黑"/>
                <w:color w:val="auto"/>
                <w:szCs w:val="21"/>
              </w:rPr>
              <w:t>按50.00元/吨结算</w:t>
            </w:r>
            <w:r>
              <w:rPr>
                <w:rFonts w:hint="eastAsia" w:ascii="微软雅黑" w:hAnsi="微软雅黑" w:eastAsia="微软雅黑" w:cs="微软雅黑"/>
                <w:color w:val="auto"/>
              </w:rPr>
              <w:t>。</w:t>
            </w:r>
          </w:p>
        </w:tc>
        <w:tc>
          <w:tcPr>
            <w:tcW w:w="1701" w:type="dxa"/>
            <w:vMerge w:val="continue"/>
            <w:vAlign w:val="center"/>
          </w:tcPr>
          <w:p w14:paraId="28969858">
            <w:pPr>
              <w:spacing w:line="520" w:lineRule="exact"/>
              <w:jc w:val="center"/>
              <w:rPr>
                <w:rFonts w:hint="eastAsia" w:ascii="微软雅黑" w:hAnsi="微软雅黑" w:eastAsia="微软雅黑" w:cs="微软雅黑"/>
                <w:color w:val="auto"/>
                <w:sz w:val="24"/>
              </w:rPr>
            </w:pPr>
          </w:p>
        </w:tc>
      </w:tr>
      <w:tr w14:paraId="1034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 w:type="dxa"/>
            <w:vMerge w:val="continue"/>
            <w:tcBorders>
              <w:left w:val="single" w:color="auto" w:sz="4" w:space="0"/>
            </w:tcBorders>
            <w:vAlign w:val="center"/>
          </w:tcPr>
          <w:p w14:paraId="3283B807">
            <w:pPr>
              <w:spacing w:line="350" w:lineRule="exact"/>
              <w:jc w:val="center"/>
              <w:rPr>
                <w:rFonts w:hint="eastAsia" w:ascii="微软雅黑" w:hAnsi="微软雅黑" w:eastAsia="微软雅黑" w:cs="微软雅黑"/>
                <w:color w:val="auto"/>
                <w:sz w:val="24"/>
              </w:rPr>
            </w:pPr>
          </w:p>
        </w:tc>
        <w:tc>
          <w:tcPr>
            <w:tcW w:w="1418" w:type="dxa"/>
            <w:vMerge w:val="continue"/>
            <w:vAlign w:val="center"/>
          </w:tcPr>
          <w:p w14:paraId="6783917C">
            <w:pPr>
              <w:spacing w:line="480" w:lineRule="exact"/>
              <w:rPr>
                <w:rFonts w:hint="eastAsia" w:ascii="微软雅黑" w:hAnsi="微软雅黑" w:eastAsia="微软雅黑" w:cs="微软雅黑"/>
                <w:color w:val="auto"/>
                <w:sz w:val="24"/>
              </w:rPr>
            </w:pPr>
          </w:p>
        </w:tc>
        <w:tc>
          <w:tcPr>
            <w:tcW w:w="5244" w:type="dxa"/>
            <w:tcBorders>
              <w:bottom w:val="single" w:color="auto" w:sz="4" w:space="0"/>
            </w:tcBorders>
            <w:vAlign w:val="center"/>
          </w:tcPr>
          <w:p w14:paraId="44E11BAD">
            <w:pPr>
              <w:spacing w:line="48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rPr>
              <w:t>NH</w:t>
            </w:r>
            <w:r>
              <w:rPr>
                <w:rFonts w:hint="eastAsia" w:ascii="微软雅黑" w:hAnsi="微软雅黑" w:eastAsia="微软雅黑" w:cs="微软雅黑"/>
                <w:color w:val="auto"/>
                <w:vertAlign w:val="subscript"/>
              </w:rPr>
              <w:t>3</w:t>
            </w:r>
            <w:r>
              <w:rPr>
                <w:rFonts w:hint="eastAsia" w:ascii="微软雅黑" w:hAnsi="微软雅黑" w:eastAsia="微软雅黑" w:cs="微软雅黑"/>
                <w:color w:val="auto"/>
                <w:szCs w:val="21"/>
              </w:rPr>
              <w:t>＜5.00%，不结算，不退货。</w:t>
            </w:r>
          </w:p>
        </w:tc>
        <w:tc>
          <w:tcPr>
            <w:tcW w:w="1701" w:type="dxa"/>
            <w:vMerge w:val="continue"/>
            <w:tcBorders>
              <w:bottom w:val="single" w:color="auto" w:sz="4" w:space="0"/>
            </w:tcBorders>
            <w:vAlign w:val="center"/>
          </w:tcPr>
          <w:p w14:paraId="004670B3">
            <w:pPr>
              <w:spacing w:line="520" w:lineRule="exact"/>
              <w:jc w:val="center"/>
              <w:rPr>
                <w:rFonts w:hint="eastAsia" w:ascii="微软雅黑" w:hAnsi="微软雅黑" w:eastAsia="微软雅黑" w:cs="微软雅黑"/>
                <w:color w:val="auto"/>
                <w:sz w:val="24"/>
              </w:rPr>
            </w:pPr>
          </w:p>
        </w:tc>
      </w:tr>
    </w:tbl>
    <w:p w14:paraId="6CF1622A">
      <w:pPr>
        <w:keepNext w:val="0"/>
        <w:keepLines w:val="0"/>
        <w:pageBreakBefore w:val="0"/>
        <w:kinsoku/>
        <w:wordWrap/>
        <w:overflowPunct/>
        <w:topLinePunct w:val="0"/>
        <w:bidi w:val="0"/>
        <w:adjustRightInd/>
        <w:snapToGrid/>
        <w:spacing w:line="640" w:lineRule="exact"/>
        <w:jc w:val="center"/>
        <w:rPr>
          <w:rFonts w:hint="eastAsia" w:ascii="微软雅黑" w:hAnsi="微软雅黑" w:eastAsia="微软雅黑" w:cs="微软雅黑"/>
          <w:b/>
          <w:bCs/>
          <w:color w:val="auto"/>
          <w:sz w:val="36"/>
          <w:szCs w:val="36"/>
        </w:rPr>
      </w:pPr>
    </w:p>
    <w:p w14:paraId="0858DE1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046D0721">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004C8259">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37786E8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5A185E39">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3734EC5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5CB5746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3A40ED1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0B9CD4ED">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682BA427">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1AE6B3D8">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57C49B47">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6909994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2A39452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p>
    <w:p w14:paraId="1426958C">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 xml:space="preserve">第三章 </w:t>
      </w:r>
    </w:p>
    <w:p w14:paraId="7135951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报价文件格式</w:t>
      </w:r>
    </w:p>
    <w:p w14:paraId="4F6B17EC">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textAlignment w:val="bottom"/>
        <w:rPr>
          <w:rFonts w:hint="eastAsia" w:ascii="黑体" w:hAnsi="黑体" w:eastAsia="黑体" w:cs="黑体"/>
          <w:color w:val="auto"/>
          <w:sz w:val="36"/>
          <w:szCs w:val="36"/>
        </w:rPr>
      </w:pPr>
    </w:p>
    <w:p w14:paraId="3B652883">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color w:val="auto"/>
          <w:sz w:val="36"/>
          <w:szCs w:val="36"/>
          <w:lang w:val="en-US" w:eastAsia="zh-CN"/>
        </w:rPr>
      </w:pPr>
    </w:p>
    <w:p w14:paraId="73059AA2">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氨水</w:t>
      </w:r>
      <w:r>
        <w:rPr>
          <w:rFonts w:hint="eastAsia" w:ascii="黑体" w:hAnsi="黑体" w:eastAsia="黑体" w:cs="黑体"/>
          <w:color w:val="auto"/>
          <w:sz w:val="36"/>
          <w:szCs w:val="36"/>
        </w:rPr>
        <w:t>采购</w:t>
      </w:r>
    </w:p>
    <w:p w14:paraId="55C952BB">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05BD47EF">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700C743F">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响应性文件</w:t>
      </w:r>
    </w:p>
    <w:p w14:paraId="63EDA8D1">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1F02520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F9EDCB5">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7DC0962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2FC2F64">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4D4A3928">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5F781D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供应商名称：</w:t>
      </w:r>
      <w:r>
        <w:rPr>
          <w:rFonts w:hint="eastAsia" w:ascii="黑体" w:hAnsi="黑体" w:eastAsia="黑体" w:cs="黑体"/>
          <w:color w:val="auto"/>
          <w:sz w:val="36"/>
          <w:szCs w:val="36"/>
          <w:u w:val="single"/>
        </w:rPr>
        <w:t xml:space="preserve">                    </w:t>
      </w:r>
      <w:r>
        <w:rPr>
          <w:rFonts w:hint="eastAsia" w:ascii="黑体" w:hAnsi="黑体" w:eastAsia="黑体" w:cs="黑体"/>
          <w:color w:val="auto"/>
          <w:sz w:val="36"/>
          <w:szCs w:val="36"/>
        </w:rPr>
        <w:t>（盖单位章）</w:t>
      </w:r>
    </w:p>
    <w:p w14:paraId="1D977549">
      <w:pPr>
        <w:keepNext w:val="0"/>
        <w:keepLines w:val="0"/>
        <w:pageBreakBefore w:val="0"/>
        <w:kinsoku/>
        <w:wordWrap/>
        <w:overflowPunct/>
        <w:topLinePunct w:val="0"/>
        <w:bidi w:val="0"/>
        <w:adjustRightInd/>
        <w:snapToGrid/>
        <w:spacing w:line="640" w:lineRule="exact"/>
        <w:ind w:firstLine="1446" w:firstLineChars="400"/>
        <w:rPr>
          <w:rFonts w:hint="eastAsia" w:ascii="黑体" w:hAnsi="黑体" w:eastAsia="黑体" w:cs="黑体"/>
          <w:b/>
          <w:color w:val="auto"/>
          <w:sz w:val="36"/>
          <w:szCs w:val="36"/>
          <w:u w:val="single"/>
        </w:rPr>
      </w:pPr>
    </w:p>
    <w:p w14:paraId="751A539D">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4CFF7A10">
      <w:pPr>
        <w:keepNext w:val="0"/>
        <w:keepLines w:val="0"/>
        <w:pageBreakBefore w:val="0"/>
        <w:kinsoku/>
        <w:wordWrap/>
        <w:overflowPunct/>
        <w:topLinePunct w:val="0"/>
        <w:bidi w:val="0"/>
        <w:adjustRightInd/>
        <w:snapToGrid/>
        <w:spacing w:line="640" w:lineRule="exact"/>
        <w:ind w:firstLine="1285" w:firstLineChars="400"/>
        <w:rPr>
          <w:rFonts w:hint="eastAsia" w:ascii="黑体" w:hAnsi="黑体" w:eastAsia="黑体" w:cs="黑体"/>
          <w:b/>
          <w:color w:val="auto"/>
          <w:kern w:val="0"/>
          <w:sz w:val="32"/>
          <w:szCs w:val="32"/>
        </w:rPr>
      </w:pPr>
      <w:r>
        <w:rPr>
          <w:rFonts w:hint="eastAsia" w:ascii="黑体" w:hAnsi="黑体" w:eastAsia="黑体" w:cs="黑体"/>
          <w:b/>
          <w:bCs/>
          <w:color w:val="auto"/>
          <w:sz w:val="32"/>
          <w:szCs w:val="32"/>
        </w:rPr>
        <w:br w:type="page"/>
      </w:r>
    </w:p>
    <w:p w14:paraId="2BC049C1">
      <w:pPr>
        <w:keepNext/>
        <w:keepLines/>
        <w:pageBreakBefore w:val="0"/>
        <w:tabs>
          <w:tab w:val="left" w:pos="215"/>
          <w:tab w:val="center" w:pos="4535"/>
        </w:tabs>
        <w:kinsoku/>
        <w:wordWrap/>
        <w:overflowPunct/>
        <w:topLinePunct w:val="0"/>
        <w:autoSpaceDE w:val="0"/>
        <w:autoSpaceDN w:val="0"/>
        <w:bidi w:val="0"/>
        <w:adjustRightInd w:val="0"/>
        <w:spacing w:before="340" w:after="330" w:line="500" w:lineRule="exact"/>
        <w:jc w:val="center"/>
        <w:rPr>
          <w:rFonts w:hint="eastAsia" w:ascii="黑体" w:hAnsi="黑体" w:eastAsia="黑体" w:cs="黑体"/>
          <w:b/>
          <w:bCs/>
          <w:color w:val="auto"/>
          <w:kern w:val="44"/>
          <w:sz w:val="36"/>
          <w:szCs w:val="36"/>
          <w:lang w:val="en-US" w:eastAsia="zh-CN"/>
        </w:rPr>
      </w:pPr>
      <w:bookmarkStart w:id="18" w:name="_Toc30198"/>
      <w:bookmarkStart w:id="19" w:name="_Toc9978"/>
      <w:bookmarkStart w:id="20" w:name="_Toc4384"/>
      <w:r>
        <w:rPr>
          <w:rFonts w:hint="eastAsia" w:ascii="黑体" w:hAnsi="黑体" w:eastAsia="黑体" w:cs="黑体"/>
          <w:b/>
          <w:bCs/>
          <w:color w:val="auto"/>
          <w:kern w:val="44"/>
          <w:sz w:val="36"/>
          <w:szCs w:val="36"/>
        </w:rPr>
        <w:t xml:space="preserve">一、报 价 </w:t>
      </w:r>
      <w:bookmarkEnd w:id="18"/>
      <w:bookmarkEnd w:id="19"/>
      <w:bookmarkEnd w:id="20"/>
      <w:r>
        <w:rPr>
          <w:rFonts w:hint="eastAsia" w:ascii="黑体" w:hAnsi="黑体" w:eastAsia="黑体" w:cs="黑体"/>
          <w:b/>
          <w:bCs/>
          <w:color w:val="auto"/>
          <w:kern w:val="44"/>
          <w:sz w:val="36"/>
          <w:szCs w:val="36"/>
          <w:lang w:val="en-US" w:eastAsia="zh-CN"/>
        </w:rPr>
        <w:t>单</w:t>
      </w:r>
    </w:p>
    <w:p w14:paraId="47B82AE4">
      <w:pPr>
        <w:pageBreakBefore w:val="0"/>
        <w:widowControl/>
        <w:kinsoku/>
        <w:wordWrap/>
        <w:overflowPunct/>
        <w:topLinePunct w:val="0"/>
        <w:bidi w:val="0"/>
        <w:adjustRightInd w:val="0"/>
        <w:snapToGrid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w:t>
      </w:r>
    </w:p>
    <w:p w14:paraId="2D369D05">
      <w:pPr>
        <w:pageBreakBefore w:val="0"/>
        <w:widowControl/>
        <w:kinsoku/>
        <w:wordWrap/>
        <w:overflowPunct/>
        <w:topLinePunct w:val="0"/>
        <w:bidi w:val="0"/>
        <w:adjustRightInd w:val="0"/>
        <w:snapToGrid w:val="0"/>
        <w:spacing w:line="500" w:lineRule="exact"/>
        <w:ind w:left="105" w:leftChars="50" w:firstLine="420" w:firstLineChars="15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我方已仔细研究了贵公司</w:t>
      </w:r>
      <w:r>
        <w:rPr>
          <w:rFonts w:hint="eastAsia" w:ascii="黑体" w:hAnsi="黑体" w:eastAsia="黑体" w:cs="黑体"/>
          <w:color w:val="auto"/>
          <w:kern w:val="0"/>
          <w:sz w:val="28"/>
          <w:szCs w:val="28"/>
          <w:u w:val="none"/>
          <w:lang w:val="en-US" w:eastAsia="zh-CN"/>
        </w:rPr>
        <w:t>氨水</w:t>
      </w:r>
      <w:r>
        <w:rPr>
          <w:rFonts w:hint="eastAsia" w:ascii="黑体" w:hAnsi="黑体" w:eastAsia="黑体" w:cs="黑体"/>
          <w:color w:val="auto"/>
          <w:kern w:val="0"/>
          <w:sz w:val="28"/>
          <w:szCs w:val="28"/>
        </w:rPr>
        <w:t>采购比选文件</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包括附件的全部内容)，并根据我方实际情况作如下报价：</w:t>
      </w:r>
    </w:p>
    <w:tbl>
      <w:tblPr>
        <w:tblStyle w:val="5"/>
        <w:tblW w:w="8076" w:type="dxa"/>
        <w:tblInd w:w="259" w:type="dxa"/>
        <w:tblLayout w:type="fixed"/>
        <w:tblCellMar>
          <w:top w:w="0" w:type="dxa"/>
          <w:left w:w="108" w:type="dxa"/>
          <w:bottom w:w="0" w:type="dxa"/>
          <w:right w:w="108" w:type="dxa"/>
        </w:tblCellMar>
      </w:tblPr>
      <w:tblGrid>
        <w:gridCol w:w="996"/>
        <w:gridCol w:w="2172"/>
        <w:gridCol w:w="2028"/>
        <w:gridCol w:w="2880"/>
      </w:tblGrid>
      <w:tr w14:paraId="5AD230E6">
        <w:tblPrEx>
          <w:tblCellMar>
            <w:top w:w="0" w:type="dxa"/>
            <w:left w:w="108" w:type="dxa"/>
            <w:bottom w:w="0" w:type="dxa"/>
            <w:right w:w="108" w:type="dxa"/>
          </w:tblCellMar>
        </w:tblPrEx>
        <w:trPr>
          <w:cantSplit/>
          <w:trHeight w:val="594" w:hRule="atLeast"/>
        </w:trPr>
        <w:tc>
          <w:tcPr>
            <w:tcW w:w="996" w:type="dxa"/>
            <w:tcBorders>
              <w:top w:val="single" w:color="auto" w:sz="4" w:space="0"/>
              <w:left w:val="single" w:color="auto" w:sz="4" w:space="0"/>
              <w:right w:val="single" w:color="auto" w:sz="4" w:space="0"/>
            </w:tcBorders>
            <w:noWrap w:val="0"/>
            <w:vAlign w:val="center"/>
          </w:tcPr>
          <w:p w14:paraId="75FD44CA">
            <w:pPr>
              <w:spacing w:line="440" w:lineRule="exact"/>
              <w:jc w:val="center"/>
              <w:rPr>
                <w:rFonts w:ascii="黑体" w:hAnsi="黑体" w:eastAsia="黑体"/>
                <w:color w:val="auto"/>
                <w:sz w:val="28"/>
                <w:szCs w:val="28"/>
              </w:rPr>
            </w:pPr>
            <w:r>
              <w:rPr>
                <w:rFonts w:hint="eastAsia" w:ascii="黑体" w:hAnsi="黑体" w:eastAsia="黑体"/>
                <w:color w:val="auto"/>
                <w:sz w:val="28"/>
                <w:szCs w:val="28"/>
              </w:rPr>
              <w:t>名称</w:t>
            </w:r>
          </w:p>
        </w:tc>
        <w:tc>
          <w:tcPr>
            <w:tcW w:w="2172" w:type="dxa"/>
            <w:tcBorders>
              <w:top w:val="single" w:color="auto" w:sz="4" w:space="0"/>
              <w:left w:val="nil"/>
              <w:right w:val="single" w:color="auto" w:sz="4" w:space="0"/>
            </w:tcBorders>
            <w:noWrap w:val="0"/>
            <w:vAlign w:val="center"/>
          </w:tcPr>
          <w:p w14:paraId="31AEEE54">
            <w:pPr>
              <w:spacing w:line="440" w:lineRule="exact"/>
              <w:jc w:val="center"/>
              <w:rPr>
                <w:rFonts w:ascii="黑体" w:hAnsi="黑体" w:eastAsia="黑体"/>
                <w:color w:val="auto"/>
                <w:sz w:val="28"/>
                <w:szCs w:val="28"/>
              </w:rPr>
            </w:pPr>
            <w:r>
              <w:rPr>
                <w:rFonts w:hint="eastAsia" w:ascii="黑体" w:hAnsi="黑体" w:eastAsia="黑体"/>
                <w:color w:val="auto"/>
                <w:sz w:val="28"/>
                <w:szCs w:val="28"/>
              </w:rPr>
              <w:t>质量要求</w:t>
            </w:r>
          </w:p>
        </w:tc>
        <w:tc>
          <w:tcPr>
            <w:tcW w:w="2028" w:type="dxa"/>
            <w:tcBorders>
              <w:top w:val="single" w:color="auto" w:sz="4" w:space="0"/>
              <w:left w:val="single" w:color="auto" w:sz="4" w:space="0"/>
              <w:right w:val="single" w:color="auto" w:sz="4" w:space="0"/>
            </w:tcBorders>
            <w:shd w:val="clear" w:color="auto" w:fill="auto"/>
            <w:noWrap w:val="0"/>
            <w:vAlign w:val="center"/>
          </w:tcPr>
          <w:p w14:paraId="56ADB2A5">
            <w:pPr>
              <w:spacing w:line="440" w:lineRule="exact"/>
              <w:jc w:val="center"/>
              <w:rPr>
                <w:rFonts w:hint="eastAsia" w:ascii="黑体" w:hAnsi="黑体" w:eastAsia="黑体" w:cstheme="minorBidi"/>
                <w:color w:val="auto"/>
                <w:kern w:val="2"/>
                <w:sz w:val="28"/>
                <w:szCs w:val="28"/>
                <w:lang w:val="en-US" w:eastAsia="zh-CN" w:bidi="ar-SA"/>
              </w:rPr>
            </w:pPr>
            <w:r>
              <w:rPr>
                <w:rFonts w:hint="eastAsia" w:ascii="黑体" w:hAnsi="黑体" w:eastAsia="黑体"/>
                <w:color w:val="auto"/>
                <w:sz w:val="28"/>
                <w:szCs w:val="28"/>
              </w:rPr>
              <w:t>数量（吨）</w:t>
            </w:r>
          </w:p>
        </w:tc>
        <w:tc>
          <w:tcPr>
            <w:tcW w:w="2880" w:type="dxa"/>
            <w:tcBorders>
              <w:top w:val="single" w:color="auto" w:sz="4" w:space="0"/>
              <w:left w:val="single" w:color="auto" w:sz="4" w:space="0"/>
              <w:right w:val="single" w:color="auto" w:sz="4" w:space="0"/>
            </w:tcBorders>
            <w:noWrap w:val="0"/>
            <w:vAlign w:val="center"/>
          </w:tcPr>
          <w:p w14:paraId="0DB287D9">
            <w:pPr>
              <w:spacing w:line="440" w:lineRule="exact"/>
              <w:jc w:val="center"/>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到厂单价</w:t>
            </w:r>
            <w:r>
              <w:rPr>
                <w:rFonts w:hint="eastAsia" w:ascii="黑体" w:hAnsi="黑体" w:eastAsia="黑体"/>
                <w:color w:val="auto"/>
                <w:sz w:val="28"/>
                <w:szCs w:val="28"/>
                <w:lang w:eastAsia="zh-CN"/>
              </w:rPr>
              <w:t>（元/吨）</w:t>
            </w:r>
            <w:r>
              <w:rPr>
                <w:rFonts w:hint="eastAsia" w:ascii="黑体" w:hAnsi="黑体" w:eastAsia="黑体"/>
                <w:color w:val="auto"/>
                <w:sz w:val="28"/>
                <w:szCs w:val="28"/>
                <w:lang w:val="en-US" w:eastAsia="zh-CN"/>
              </w:rPr>
              <w:t>）</w:t>
            </w:r>
          </w:p>
        </w:tc>
      </w:tr>
      <w:tr w14:paraId="0DDF8FE5">
        <w:tblPrEx>
          <w:tblCellMar>
            <w:top w:w="0" w:type="dxa"/>
            <w:left w:w="108" w:type="dxa"/>
            <w:bottom w:w="0" w:type="dxa"/>
            <w:right w:w="108" w:type="dxa"/>
          </w:tblCellMar>
        </w:tblPrEx>
        <w:trPr>
          <w:cantSplit/>
          <w:trHeight w:val="47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829C695">
            <w:pPr>
              <w:spacing w:line="440" w:lineRule="exact"/>
              <w:jc w:val="center"/>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氨水</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51560EA">
            <w:pPr>
              <w:spacing w:line="440" w:lineRule="exact"/>
              <w:jc w:val="center"/>
              <w:rPr>
                <w:rFonts w:ascii="黑体" w:hAnsi="黑体" w:eastAsia="黑体"/>
                <w:color w:val="auto"/>
                <w:sz w:val="28"/>
                <w:szCs w:val="28"/>
                <w:lang w:eastAsia="zh-CN"/>
              </w:rPr>
            </w:pPr>
            <w:r>
              <w:rPr>
                <w:rFonts w:hint="eastAsia" w:ascii="黑体" w:hAnsi="黑体" w:eastAsia="黑体" w:cs="黑体"/>
                <w:bCs/>
                <w:color w:val="auto"/>
                <w:sz w:val="28"/>
                <w:szCs w:val="28"/>
              </w:rPr>
              <w:t>NH</w:t>
            </w:r>
            <w:r>
              <w:rPr>
                <w:rFonts w:hint="eastAsia" w:ascii="黑体" w:hAnsi="黑体" w:eastAsia="黑体" w:cs="黑体"/>
                <w:bCs/>
                <w:color w:val="auto"/>
                <w:sz w:val="28"/>
                <w:szCs w:val="28"/>
                <w:vertAlign w:val="subscript"/>
              </w:rPr>
              <w:t>3</w:t>
            </w:r>
            <w:r>
              <w:rPr>
                <w:rFonts w:hint="eastAsia" w:ascii="黑体" w:hAnsi="黑体" w:eastAsia="黑体" w:cs="黑体"/>
                <w:bCs/>
                <w:color w:val="auto"/>
                <w:sz w:val="28"/>
                <w:szCs w:val="28"/>
              </w:rPr>
              <w:t>≥</w:t>
            </w:r>
            <w:r>
              <w:rPr>
                <w:rFonts w:hint="eastAsia" w:ascii="黑体" w:hAnsi="黑体" w:eastAsia="黑体" w:cs="黑体"/>
                <w:bCs/>
                <w:color w:val="auto"/>
                <w:sz w:val="28"/>
                <w:szCs w:val="28"/>
                <w:lang w:val="en-US" w:eastAsia="zh-CN"/>
              </w:rPr>
              <w:t>13</w:t>
            </w:r>
            <w:r>
              <w:rPr>
                <w:rFonts w:hint="eastAsia" w:ascii="黑体" w:hAnsi="黑体" w:eastAsia="黑体" w:cs="黑体"/>
                <w:bCs/>
                <w:color w:val="auto"/>
                <w:sz w:val="28"/>
                <w:szCs w:val="28"/>
              </w:rPr>
              <w:t>.</w:t>
            </w:r>
            <w:r>
              <w:rPr>
                <w:rFonts w:hint="eastAsia" w:ascii="黑体" w:hAnsi="黑体" w:eastAsia="黑体" w:cs="黑体"/>
                <w:bCs/>
                <w:color w:val="auto"/>
                <w:sz w:val="28"/>
                <w:szCs w:val="28"/>
                <w:lang w:val="en-US" w:eastAsia="zh-CN"/>
              </w:rPr>
              <w:t>0</w:t>
            </w:r>
            <w:r>
              <w:rPr>
                <w:rFonts w:hint="eastAsia" w:ascii="黑体" w:hAnsi="黑体" w:eastAsia="黑体" w:cs="黑体"/>
                <w:bCs/>
                <w:color w:val="auto"/>
                <w:sz w:val="28"/>
                <w:szCs w:val="28"/>
              </w:rPr>
              <w:t>%</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54B3">
            <w:pPr>
              <w:spacing w:line="440" w:lineRule="exact"/>
              <w:jc w:val="center"/>
              <w:rPr>
                <w:rFonts w:hint="default" w:ascii="黑体" w:hAnsi="黑体" w:eastAsia="黑体" w:cstheme="minorBidi"/>
                <w:color w:val="auto"/>
                <w:kern w:val="2"/>
                <w:sz w:val="28"/>
                <w:szCs w:val="28"/>
                <w:lang w:val="en-US" w:eastAsia="zh-CN" w:bidi="ar-SA"/>
              </w:rPr>
            </w:pPr>
            <w:r>
              <w:rPr>
                <w:rFonts w:hint="eastAsia" w:ascii="黑体" w:hAnsi="黑体" w:eastAsia="黑体" w:cstheme="minorBidi"/>
                <w:color w:val="auto"/>
                <w:kern w:val="2"/>
                <w:sz w:val="28"/>
                <w:szCs w:val="28"/>
                <w:lang w:val="en-US" w:eastAsia="zh-CN" w:bidi="ar-SA"/>
              </w:rPr>
              <w:t>150</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698F65E">
            <w:pPr>
              <w:spacing w:line="440" w:lineRule="exact"/>
              <w:jc w:val="center"/>
              <w:rPr>
                <w:rFonts w:ascii="黑体" w:hAnsi="黑体" w:eastAsia="黑体"/>
                <w:color w:val="auto"/>
                <w:sz w:val="28"/>
                <w:szCs w:val="28"/>
                <w:lang w:eastAsia="zh-CN"/>
              </w:rPr>
            </w:pPr>
          </w:p>
        </w:tc>
      </w:tr>
    </w:tbl>
    <w:p w14:paraId="5FBA43CD">
      <w:pPr>
        <w:pStyle w:val="11"/>
        <w:kinsoku/>
        <w:autoSpaceDE/>
        <w:autoSpaceDN/>
        <w:adjustRightInd/>
        <w:spacing w:before="120" w:line="500" w:lineRule="exact"/>
        <w:textAlignment w:val="auto"/>
        <w:rPr>
          <w:rFonts w:ascii="黑体" w:hAnsi="黑体" w:eastAsia="黑体" w:cs="Segoe UI"/>
          <w:color w:val="auto"/>
          <w:sz w:val="28"/>
          <w:szCs w:val="28"/>
          <w:lang w:eastAsia="zh-CN"/>
        </w:rPr>
      </w:pPr>
      <w:r>
        <w:rPr>
          <w:rFonts w:hint="eastAsia" w:ascii="黑体" w:hAnsi="黑体" w:eastAsia="黑体" w:cs="Segoe UI"/>
          <w:color w:val="auto"/>
          <w:sz w:val="28"/>
          <w:szCs w:val="28"/>
          <w:lang w:eastAsia="zh-CN"/>
        </w:rPr>
        <w:t>备注：</w:t>
      </w:r>
    </w:p>
    <w:p w14:paraId="772CC6CC">
      <w:pPr>
        <w:pStyle w:val="4"/>
        <w:spacing w:before="0" w:beforeAutospacing="0" w:after="0" w:afterAutospacing="0"/>
        <w:ind w:firstLine="560" w:firstLineChars="200"/>
        <w:rPr>
          <w:rFonts w:hint="default" w:ascii="黑体" w:hAnsi="黑体" w:eastAsia="黑体" w:cs="黑体"/>
          <w:bCs/>
          <w:color w:val="auto"/>
          <w:sz w:val="28"/>
          <w:szCs w:val="28"/>
          <w:lang w:val="en-US" w:eastAsia="zh-CN"/>
        </w:rPr>
      </w:pPr>
      <w:r>
        <w:rPr>
          <w:rFonts w:hint="eastAsia" w:ascii="黑体" w:hAnsi="黑体" w:eastAsia="黑体" w:cs="黑体"/>
          <w:bCs/>
          <w:color w:val="auto"/>
          <w:sz w:val="28"/>
          <w:szCs w:val="28"/>
        </w:rPr>
        <w:t>1.</w:t>
      </w:r>
      <w:r>
        <w:rPr>
          <w:rFonts w:hint="eastAsia" w:ascii="黑体" w:hAnsi="黑体" w:eastAsia="黑体" w:cs="黑体"/>
          <w:bCs/>
          <w:color w:val="auto"/>
          <w:sz w:val="28"/>
          <w:szCs w:val="28"/>
          <w:lang w:val="en-US" w:eastAsia="zh-CN"/>
        </w:rPr>
        <w:t>本报价单中到厂单价在交货期内为不变价。</w:t>
      </w:r>
    </w:p>
    <w:p w14:paraId="4A003423">
      <w:pPr>
        <w:pStyle w:val="4"/>
        <w:spacing w:before="0" w:beforeAutospacing="0" w:after="0" w:afterAutospacing="0"/>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2.交</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货</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期：</w:t>
      </w:r>
      <w:r>
        <w:rPr>
          <w:rFonts w:hint="eastAsia" w:ascii="黑体" w:hAnsi="黑体" w:eastAsia="黑体"/>
          <w:bCs/>
          <w:color w:val="auto"/>
          <w:sz w:val="28"/>
          <w:szCs w:val="28"/>
        </w:rPr>
        <w:t>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rPr>
        <w:t>月</w:t>
      </w:r>
      <w:r>
        <w:rPr>
          <w:rFonts w:hint="eastAsia" w:ascii="黑体" w:hAnsi="黑体" w:eastAsia="黑体"/>
          <w:bCs/>
          <w:color w:val="auto"/>
          <w:sz w:val="28"/>
          <w:szCs w:val="28"/>
          <w:lang w:val="en-US" w:eastAsia="zh-CN"/>
        </w:rPr>
        <w:t>29</w:t>
      </w:r>
      <w:r>
        <w:rPr>
          <w:rFonts w:hint="eastAsia" w:ascii="黑体" w:hAnsi="黑体" w:eastAsia="黑体"/>
          <w:bCs/>
          <w:color w:val="auto"/>
          <w:sz w:val="28"/>
          <w:szCs w:val="28"/>
        </w:rPr>
        <w:t>日起至202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rPr>
        <w:t>年</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rPr>
        <w:t>月</w:t>
      </w:r>
      <w:r>
        <w:rPr>
          <w:rFonts w:hint="eastAsia" w:ascii="黑体" w:hAnsi="黑体" w:eastAsia="黑体"/>
          <w:bCs/>
          <w:color w:val="auto"/>
          <w:sz w:val="28"/>
          <w:szCs w:val="28"/>
          <w:lang w:val="en-US" w:eastAsia="zh-CN"/>
        </w:rPr>
        <w:t>15</w:t>
      </w:r>
      <w:r>
        <w:rPr>
          <w:rFonts w:hint="eastAsia" w:ascii="黑体" w:hAnsi="黑体" w:eastAsia="黑体"/>
          <w:bCs/>
          <w:color w:val="auto"/>
          <w:sz w:val="28"/>
          <w:szCs w:val="28"/>
        </w:rPr>
        <w:t>日</w:t>
      </w:r>
      <w:r>
        <w:rPr>
          <w:rFonts w:hint="eastAsia" w:ascii="黑体" w:hAnsi="黑体" w:eastAsia="黑体" w:cs="黑体"/>
          <w:color w:val="auto"/>
          <w:sz w:val="28"/>
          <w:szCs w:val="28"/>
        </w:rPr>
        <w:t>。</w:t>
      </w:r>
    </w:p>
    <w:p w14:paraId="663CA9DD">
      <w:pPr>
        <w:pStyle w:val="4"/>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3.交货地点：宏达股份</w:t>
      </w:r>
      <w:r>
        <w:rPr>
          <w:rFonts w:hint="eastAsia" w:ascii="黑体" w:hAnsi="黑体" w:eastAsia="黑体" w:cs="黑体"/>
          <w:color w:val="auto"/>
          <w:sz w:val="28"/>
          <w:szCs w:val="28"/>
          <w:lang w:eastAsia="zh-CN"/>
        </w:rPr>
        <w:t>什邡磷化工分公司</w:t>
      </w:r>
      <w:r>
        <w:rPr>
          <w:rFonts w:hint="eastAsia" w:ascii="黑体" w:hAnsi="黑体" w:eastAsia="黑体" w:cs="黑体"/>
          <w:color w:val="auto"/>
          <w:sz w:val="28"/>
          <w:szCs w:val="28"/>
          <w:lang w:val="en-US" w:eastAsia="zh-CN"/>
        </w:rPr>
        <w:t>磷铵</w:t>
      </w:r>
      <w:r>
        <w:rPr>
          <w:rFonts w:hint="eastAsia" w:ascii="黑体" w:hAnsi="黑体" w:eastAsia="黑体" w:cs="黑体"/>
          <w:color w:val="auto"/>
          <w:sz w:val="28"/>
          <w:szCs w:val="28"/>
        </w:rPr>
        <w:t>厂氨站（什邡市洛水镇）。</w:t>
      </w:r>
    </w:p>
    <w:p w14:paraId="25158CB5">
      <w:pPr>
        <w:pStyle w:val="4"/>
        <w:spacing w:before="0" w:beforeAutospacing="0" w:after="0" w:afterAutospacing="0"/>
        <w:ind w:firstLine="560" w:firstLineChars="200"/>
        <w:rPr>
          <w:rFonts w:hint="eastAsia" w:ascii="黑体" w:hAnsi="黑体" w:eastAsia="黑体" w:cs="黑体"/>
          <w:color w:val="auto"/>
          <w:sz w:val="28"/>
          <w:szCs w:val="28"/>
          <w:shd w:val="clear" w:color="auto" w:fill="FAFAFA"/>
        </w:rPr>
      </w:pPr>
      <w:r>
        <w:rPr>
          <w:rFonts w:hint="eastAsia" w:ascii="黑体" w:hAnsi="黑体" w:eastAsia="黑体" w:cs="黑体"/>
          <w:color w:val="auto"/>
          <w:sz w:val="28"/>
          <w:szCs w:val="28"/>
        </w:rPr>
        <w:t>4.</w:t>
      </w:r>
      <w:r>
        <w:rPr>
          <w:rFonts w:hint="eastAsia" w:ascii="黑体" w:hAnsi="黑体" w:eastAsia="黑体" w:cs="黑体"/>
          <w:color w:val="auto"/>
          <w:sz w:val="28"/>
          <w:szCs w:val="28"/>
          <w:shd w:val="clear" w:color="auto" w:fill="FAFAFA"/>
        </w:rPr>
        <w:t>交货方式：卖方按买方需求通知及时送货到交货地点。</w:t>
      </w:r>
    </w:p>
    <w:p w14:paraId="0E4FA726">
      <w:pPr>
        <w:pStyle w:val="4"/>
        <w:spacing w:before="0" w:beforeAutospacing="0" w:after="0" w:afterAutospacing="0"/>
        <w:ind w:firstLine="560" w:firstLineChars="200"/>
        <w:rPr>
          <w:rFonts w:hint="eastAsia" w:ascii="黑体" w:hAnsi="黑体" w:eastAsia="黑体" w:cs="黑体"/>
          <w:color w:val="auto"/>
          <w:sz w:val="28"/>
          <w:szCs w:val="28"/>
          <w:shd w:val="clear" w:color="auto" w:fill="FAFAFA"/>
        </w:rPr>
      </w:pPr>
      <w:r>
        <w:rPr>
          <w:rFonts w:hint="eastAsia" w:ascii="黑体" w:hAnsi="黑体" w:eastAsia="黑体" w:cs="黑体"/>
          <w:color w:val="auto"/>
          <w:sz w:val="28"/>
          <w:szCs w:val="28"/>
          <w:shd w:val="clear" w:color="auto" w:fill="FAFAFA"/>
        </w:rPr>
        <w:t>5.</w:t>
      </w:r>
      <w:r>
        <w:rPr>
          <w:rFonts w:hint="eastAsia" w:ascii="黑体" w:hAnsi="黑体" w:eastAsia="黑体" w:cs="黑体"/>
          <w:bCs/>
          <w:color w:val="auto"/>
          <w:sz w:val="28"/>
          <w:szCs w:val="28"/>
        </w:rPr>
        <w:t>付款方式：先货后款</w:t>
      </w:r>
      <w:r>
        <w:rPr>
          <w:rFonts w:hint="eastAsia" w:ascii="黑体" w:hAnsi="黑体" w:eastAsia="黑体" w:cs="黑体"/>
          <w:bCs/>
          <w:color w:val="auto"/>
          <w:sz w:val="28"/>
          <w:szCs w:val="28"/>
          <w:lang w:eastAsia="zh-CN"/>
        </w:rPr>
        <w:t>，</w:t>
      </w:r>
      <w:r>
        <w:rPr>
          <w:rFonts w:hint="eastAsia" w:ascii="黑体" w:hAnsi="黑体" w:eastAsia="黑体" w:cs="黑体"/>
          <w:bCs/>
          <w:color w:val="auto"/>
          <w:sz w:val="28"/>
          <w:szCs w:val="28"/>
          <w:lang w:val="en-US" w:eastAsia="zh-CN"/>
        </w:rPr>
        <w:t>现汇支付</w:t>
      </w:r>
      <w:r>
        <w:rPr>
          <w:rFonts w:hint="eastAsia" w:ascii="黑体" w:hAnsi="黑体" w:eastAsia="黑体" w:cs="黑体"/>
          <w:bCs/>
          <w:color w:val="auto"/>
          <w:sz w:val="28"/>
          <w:szCs w:val="28"/>
        </w:rPr>
        <w:t>。</w:t>
      </w:r>
    </w:p>
    <w:p w14:paraId="30820D7B">
      <w:pPr>
        <w:pStyle w:val="4"/>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bCs/>
          <w:color w:val="auto"/>
          <w:sz w:val="28"/>
          <w:szCs w:val="28"/>
        </w:rPr>
        <w:t>6.</w:t>
      </w:r>
      <w:r>
        <w:rPr>
          <w:rFonts w:hint="eastAsia" w:ascii="黑体" w:hAnsi="黑体" w:eastAsia="黑体" w:cs="黑体"/>
          <w:color w:val="auto"/>
          <w:sz w:val="28"/>
          <w:szCs w:val="28"/>
        </w:rPr>
        <w:t>卖方开具全额增值税专用发票（税率</w:t>
      </w:r>
      <w:r>
        <w:rPr>
          <w:rFonts w:hint="eastAsia" w:ascii="黑体" w:hAnsi="黑体" w:eastAsia="黑体" w:cs="黑体"/>
          <w:color w:val="auto"/>
          <w:sz w:val="28"/>
          <w:szCs w:val="28"/>
          <w:lang w:val="en-US" w:eastAsia="zh-CN"/>
        </w:rPr>
        <w:t>9</w:t>
      </w:r>
      <w:r>
        <w:rPr>
          <w:rFonts w:hint="eastAsia" w:ascii="黑体" w:hAnsi="黑体" w:eastAsia="黑体" w:cs="黑体"/>
          <w:color w:val="auto"/>
          <w:sz w:val="28"/>
          <w:szCs w:val="28"/>
        </w:rPr>
        <w:t>%）。</w:t>
      </w:r>
    </w:p>
    <w:p w14:paraId="5AD57609">
      <w:pPr>
        <w:pStyle w:val="4"/>
        <w:spacing w:before="0" w:beforeAutospacing="0" w:after="0" w:afterAutospacing="0"/>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val="en-US" w:eastAsia="zh-CN"/>
        </w:rPr>
        <w:t>7.</w:t>
      </w:r>
      <w:r>
        <w:rPr>
          <w:rFonts w:hint="eastAsia" w:ascii="黑体" w:hAnsi="黑体" w:eastAsia="黑体" w:cs="黑体"/>
          <w:bCs/>
          <w:color w:val="auto"/>
          <w:sz w:val="28"/>
          <w:szCs w:val="28"/>
        </w:rPr>
        <w:t>联系人及电话：</w:t>
      </w:r>
    </w:p>
    <w:p w14:paraId="1A7A3C1E">
      <w:pPr>
        <w:pStyle w:val="4"/>
        <w:kinsoku/>
        <w:adjustRightInd/>
        <w:spacing w:before="0" w:beforeAutospacing="0" w:after="0" w:afterAutospacing="0" w:line="500" w:lineRule="exact"/>
        <w:textAlignment w:val="auto"/>
        <w:rPr>
          <w:rFonts w:ascii="黑体" w:hAnsi="黑体" w:eastAsia="黑体" w:cs="Segoe UI"/>
          <w:color w:val="auto"/>
          <w:sz w:val="28"/>
          <w:szCs w:val="28"/>
        </w:rPr>
      </w:pPr>
      <w:r>
        <w:rPr>
          <w:rFonts w:hint="eastAsia" w:ascii="黑体" w:hAnsi="黑体" w:eastAsia="黑体" w:cs="Segoe UI"/>
          <w:color w:val="auto"/>
          <w:sz w:val="28"/>
          <w:szCs w:val="28"/>
        </w:rPr>
        <w:t xml:space="preserve">      </w:t>
      </w:r>
    </w:p>
    <w:p w14:paraId="21C6B032">
      <w:pPr>
        <w:pStyle w:val="4"/>
        <w:kinsoku/>
        <w:adjustRightInd/>
        <w:spacing w:before="0" w:beforeAutospacing="0" w:after="0" w:afterAutospacing="0" w:line="500" w:lineRule="exact"/>
        <w:ind w:firstLine="4760" w:firstLineChars="1700"/>
        <w:textAlignment w:val="auto"/>
        <w:rPr>
          <w:rFonts w:ascii="黑体" w:hAnsi="黑体" w:eastAsia="黑体" w:cs="Segoe UI"/>
          <w:color w:val="auto"/>
          <w:sz w:val="28"/>
          <w:szCs w:val="28"/>
        </w:rPr>
      </w:pPr>
    </w:p>
    <w:p w14:paraId="75C51E5D">
      <w:pPr>
        <w:pStyle w:val="4"/>
        <w:kinsoku/>
        <w:adjustRightInd/>
        <w:spacing w:before="0" w:beforeAutospacing="0" w:after="0" w:afterAutospacing="0" w:line="500" w:lineRule="exact"/>
        <w:ind w:firstLine="4779" w:firstLineChars="1700"/>
        <w:textAlignment w:val="auto"/>
        <w:rPr>
          <w:rFonts w:ascii="黑体" w:hAnsi="黑体" w:eastAsia="黑体" w:cs="Segoe UI"/>
          <w:b/>
          <w:color w:val="auto"/>
          <w:sz w:val="28"/>
          <w:szCs w:val="28"/>
        </w:rPr>
      </w:pPr>
      <w:r>
        <w:rPr>
          <w:rFonts w:hint="eastAsia" w:ascii="黑体" w:hAnsi="黑体" w:eastAsia="黑体" w:cs="Segoe UI"/>
          <w:b/>
          <w:color w:val="auto"/>
          <w:sz w:val="28"/>
          <w:szCs w:val="28"/>
        </w:rPr>
        <w:t>投标人名称（盖章）：</w:t>
      </w:r>
    </w:p>
    <w:p w14:paraId="4B8D9CBF">
      <w:pPr>
        <w:pStyle w:val="4"/>
        <w:kinsoku/>
        <w:adjustRightInd/>
        <w:spacing w:before="0" w:beforeAutospacing="0" w:after="0" w:afterAutospacing="0" w:line="500" w:lineRule="exact"/>
        <w:ind w:firstLine="4480" w:firstLineChars="1600"/>
        <w:textAlignment w:val="auto"/>
        <w:rPr>
          <w:rFonts w:hint="eastAsia" w:ascii="黑体" w:hAnsi="黑体" w:eastAsia="黑体" w:cs="Segoe UI"/>
          <w:color w:val="auto"/>
          <w:sz w:val="28"/>
          <w:szCs w:val="28"/>
        </w:rPr>
      </w:pPr>
    </w:p>
    <w:p w14:paraId="1B4D754F">
      <w:pPr>
        <w:pStyle w:val="4"/>
        <w:kinsoku/>
        <w:adjustRightInd/>
        <w:spacing w:before="0" w:beforeAutospacing="0" w:after="0" w:afterAutospacing="0" w:line="500" w:lineRule="exact"/>
        <w:ind w:firstLine="4779" w:firstLineChars="1700"/>
        <w:textAlignment w:val="auto"/>
        <w:rPr>
          <w:rFonts w:ascii="黑体" w:hAnsi="黑体" w:eastAsia="黑体" w:cs="Segoe UI"/>
          <w:b/>
          <w:color w:val="auto"/>
          <w:sz w:val="28"/>
          <w:szCs w:val="28"/>
        </w:rPr>
      </w:pPr>
      <w:r>
        <w:rPr>
          <w:rFonts w:hint="eastAsia" w:ascii="黑体" w:hAnsi="黑体" w:eastAsia="黑体" w:cs="Segoe UI"/>
          <w:b/>
          <w:color w:val="auto"/>
          <w:sz w:val="28"/>
          <w:szCs w:val="28"/>
        </w:rPr>
        <w:t>日期：    年   月   日</w:t>
      </w:r>
    </w:p>
    <w:p w14:paraId="571E6CF5">
      <w:pPr>
        <w:kinsoku/>
        <w:spacing w:line="360" w:lineRule="auto"/>
        <w:ind w:firstLine="562" w:firstLineChars="200"/>
        <w:jc w:val="center"/>
        <w:rPr>
          <w:rFonts w:ascii="黑体" w:hAnsi="黑体" w:eastAsia="黑体" w:cs="宋体"/>
          <w:b/>
          <w:bCs/>
          <w:color w:val="auto"/>
          <w:sz w:val="28"/>
          <w:szCs w:val="28"/>
          <w:lang w:eastAsia="zh-CN"/>
        </w:rPr>
      </w:pPr>
    </w:p>
    <w:p w14:paraId="4592266F">
      <w:pPr>
        <w:kinsoku/>
        <w:spacing w:line="360" w:lineRule="auto"/>
        <w:ind w:firstLine="562" w:firstLineChars="200"/>
        <w:jc w:val="center"/>
        <w:rPr>
          <w:rFonts w:ascii="黑体" w:hAnsi="黑体" w:eastAsia="黑体" w:cs="宋体"/>
          <w:b/>
          <w:bCs/>
          <w:color w:val="auto"/>
          <w:sz w:val="28"/>
          <w:szCs w:val="28"/>
          <w:lang w:eastAsia="zh-CN"/>
        </w:rPr>
      </w:pPr>
    </w:p>
    <w:p w14:paraId="3791A7FE">
      <w:pPr>
        <w:pageBreakBefore w:val="0"/>
        <w:widowControl/>
        <w:kinsoku/>
        <w:wordWrap/>
        <w:overflowPunct/>
        <w:topLinePunct w:val="0"/>
        <w:bidi w:val="0"/>
        <w:adjustRightInd w:val="0"/>
        <w:snapToGrid w:val="0"/>
        <w:spacing w:line="500" w:lineRule="exact"/>
        <w:ind w:firstLine="560" w:firstLineChars="200"/>
        <w:rPr>
          <w:rFonts w:hint="eastAsia" w:ascii="黑体" w:hAnsi="黑体" w:eastAsia="黑体" w:cs="黑体"/>
          <w:color w:val="auto"/>
          <w:kern w:val="0"/>
          <w:sz w:val="28"/>
          <w:szCs w:val="28"/>
        </w:rPr>
      </w:pPr>
    </w:p>
    <w:p w14:paraId="127301C2">
      <w:pPr>
        <w:pStyle w:val="4"/>
        <w:spacing w:before="0" w:beforeAutospacing="0" w:after="0" w:afterAutospacing="0"/>
        <w:jc w:val="center"/>
        <w:rPr>
          <w:rFonts w:hint="eastAsia" w:ascii="黑体" w:hAnsi="黑体" w:eastAsia="黑体" w:cs="黑体"/>
          <w:color w:val="auto"/>
          <w:sz w:val="44"/>
          <w:szCs w:val="44"/>
          <w:lang w:eastAsia="zh-CN"/>
        </w:rPr>
      </w:pPr>
    </w:p>
    <w:p w14:paraId="76471A09">
      <w:pPr>
        <w:pStyle w:val="4"/>
        <w:spacing w:before="0" w:beforeAutospacing="0" w:after="0" w:afterAutospacing="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二、承 诺</w:t>
      </w:r>
    </w:p>
    <w:p w14:paraId="6E41EABE">
      <w:pPr>
        <w:pStyle w:val="4"/>
        <w:spacing w:before="0" w:beforeAutospacing="0" w:after="0" w:afterAutospacing="0"/>
        <w:ind w:firstLine="560" w:firstLineChars="200"/>
        <w:rPr>
          <w:rFonts w:hint="eastAsia" w:ascii="黑体" w:hAnsi="黑体" w:eastAsia="黑体" w:cs="黑体"/>
          <w:color w:val="auto"/>
          <w:sz w:val="28"/>
          <w:szCs w:val="28"/>
          <w:lang w:eastAsia="zh-CN"/>
        </w:rPr>
      </w:pPr>
    </w:p>
    <w:p w14:paraId="1A43048D">
      <w:pPr>
        <w:pStyle w:val="4"/>
        <w:spacing w:before="0" w:beforeAutospacing="0" w:after="0" w:afterAutospacing="0"/>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四川宏达股份有限公司：</w:t>
      </w:r>
    </w:p>
    <w:p w14:paraId="1FCFA5F2">
      <w:pPr>
        <w:pStyle w:val="4"/>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我公司自愿参与四川宏达股份有限公司</w:t>
      </w:r>
      <w:r>
        <w:rPr>
          <w:rFonts w:hint="eastAsia" w:ascii="黑体" w:hAnsi="黑体" w:eastAsia="黑体" w:cs="黑体"/>
          <w:color w:val="auto"/>
          <w:sz w:val="28"/>
          <w:szCs w:val="28"/>
          <w:lang w:val="en-US" w:eastAsia="zh-CN"/>
        </w:rPr>
        <w:t>磷铵厂氨水采购</w:t>
      </w:r>
      <w:r>
        <w:rPr>
          <w:rFonts w:hint="eastAsia" w:ascii="黑体" w:hAnsi="黑体" w:eastAsia="黑体" w:cs="黑体"/>
          <w:color w:val="auto"/>
          <w:sz w:val="28"/>
          <w:szCs w:val="28"/>
        </w:rPr>
        <w:t>的投标，现郑重作出以下承诺：</w:t>
      </w:r>
    </w:p>
    <w:p w14:paraId="1D30D27F">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①我公司具有良好的信誉、企业处于正常经营状态；</w:t>
      </w:r>
    </w:p>
    <w:p w14:paraId="73BD8DF3">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②我公司完全按报价文件严格执行。</w:t>
      </w:r>
    </w:p>
    <w:p w14:paraId="5E33AE9D">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③我公司将严格遵守投标的各项法律法规和程序，若有违规行为，愿意承担相应法律责任。</w:t>
      </w:r>
    </w:p>
    <w:p w14:paraId="7098D179">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④若中</w:t>
      </w:r>
      <w:r>
        <w:rPr>
          <w:rFonts w:hint="eastAsia" w:ascii="黑体" w:hAnsi="黑体" w:eastAsia="黑体" w:cs="黑体"/>
          <w:color w:val="auto"/>
          <w:sz w:val="28"/>
          <w:szCs w:val="28"/>
          <w:lang w:val="en-US" w:eastAsia="zh-CN"/>
        </w:rPr>
        <w:t>选</w:t>
      </w:r>
      <w:r>
        <w:rPr>
          <w:rFonts w:hint="eastAsia" w:ascii="黑体" w:hAnsi="黑体" w:eastAsia="黑体" w:cs="黑体"/>
          <w:color w:val="auto"/>
          <w:sz w:val="28"/>
          <w:szCs w:val="28"/>
          <w:lang w:eastAsia="zh-CN"/>
        </w:rPr>
        <w:t>，我公司将按照合同约定的时间、地点和方式交付物资，确保项目顺利推进。</w:t>
      </w:r>
    </w:p>
    <w:p w14:paraId="51C2CFE0">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⑤我公司保证所提供的所有资料真实、准确、有效，如有虚假，愿意接受相应处罚。 一旦我方中标，愿意按照招标文件和招标人的规定和要求签订购销合同，并信守合同、保证质量、如期交货。</w:t>
      </w:r>
    </w:p>
    <w:p w14:paraId="559BFFDF">
      <w:pPr>
        <w:pStyle w:val="4"/>
        <w:spacing w:before="0" w:beforeAutospacing="0" w:after="0" w:afterAutospacing="0"/>
        <w:ind w:firstLine="560" w:firstLineChars="200"/>
        <w:rPr>
          <w:rFonts w:hint="eastAsia" w:ascii="黑体" w:hAnsi="黑体" w:eastAsia="黑体" w:cs="黑体"/>
          <w:color w:val="auto"/>
          <w:sz w:val="28"/>
          <w:szCs w:val="28"/>
          <w:lang w:eastAsia="zh-CN"/>
        </w:rPr>
      </w:pPr>
    </w:p>
    <w:p w14:paraId="7A3AD422">
      <w:pPr>
        <w:pStyle w:val="4"/>
        <w:spacing w:before="0" w:beforeAutospacing="0" w:after="0" w:afterAutospacing="0"/>
        <w:ind w:firstLine="560" w:firstLineChars="200"/>
        <w:rPr>
          <w:rFonts w:hint="eastAsia" w:ascii="黑体" w:hAnsi="黑体" w:eastAsia="黑体" w:cs="黑体"/>
          <w:color w:val="auto"/>
          <w:sz w:val="28"/>
          <w:szCs w:val="28"/>
          <w:lang w:eastAsia="zh-CN"/>
        </w:rPr>
      </w:pPr>
    </w:p>
    <w:p w14:paraId="1FA9CA5B">
      <w:pPr>
        <w:pStyle w:val="4"/>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投标</w:t>
      </w:r>
      <w:r>
        <w:rPr>
          <w:rFonts w:hint="eastAsia" w:ascii="黑体" w:hAnsi="黑体" w:eastAsia="黑体" w:cs="黑体"/>
          <w:color w:val="auto"/>
          <w:sz w:val="28"/>
          <w:szCs w:val="28"/>
          <w:lang w:val="en-US" w:eastAsia="zh-CN"/>
        </w:rPr>
        <w:t>单位</w:t>
      </w:r>
      <w:r>
        <w:rPr>
          <w:rFonts w:hint="eastAsia" w:ascii="黑体" w:hAnsi="黑体" w:eastAsia="黑体" w:cs="黑体"/>
          <w:color w:val="auto"/>
          <w:sz w:val="28"/>
          <w:szCs w:val="28"/>
          <w:lang w:eastAsia="zh-CN"/>
        </w:rPr>
        <w:t>名称（盖单位章）：</w:t>
      </w:r>
    </w:p>
    <w:p w14:paraId="07DC2246">
      <w:pPr>
        <w:pStyle w:val="4"/>
        <w:spacing w:before="0" w:beforeAutospacing="0" w:after="0" w:afterAutospacing="0"/>
        <w:ind w:firstLine="560" w:firstLineChars="200"/>
        <w:rPr>
          <w:rFonts w:hint="eastAsia" w:ascii="黑体" w:hAnsi="黑体" w:eastAsia="黑体" w:cs="黑体"/>
          <w:color w:val="auto"/>
          <w:sz w:val="28"/>
          <w:szCs w:val="28"/>
          <w:lang w:eastAsia="zh-CN"/>
        </w:rPr>
      </w:pPr>
    </w:p>
    <w:p w14:paraId="4B95E76D">
      <w:pPr>
        <w:pStyle w:val="4"/>
        <w:spacing w:before="0" w:beforeAutospacing="0" w:after="0" w:afterAutospacing="0"/>
        <w:ind w:firstLine="2800" w:firstLineChars="10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日  期：      年    月     日</w:t>
      </w:r>
    </w:p>
    <w:p w14:paraId="62567312">
      <w:pPr>
        <w:kinsoku/>
        <w:ind w:firstLine="560" w:firstLineChars="200"/>
        <w:rPr>
          <w:rFonts w:hint="eastAsia" w:ascii="黑体" w:hAnsi="黑体" w:eastAsia="黑体" w:cs="Segoe UI"/>
          <w:color w:val="auto"/>
          <w:sz w:val="28"/>
          <w:szCs w:val="28"/>
          <w:lang w:eastAsia="zh-CN"/>
        </w:rPr>
      </w:pPr>
    </w:p>
    <w:p w14:paraId="00FDF1F2">
      <w:pPr>
        <w:kinsoku/>
        <w:ind w:firstLine="560" w:firstLineChars="200"/>
        <w:rPr>
          <w:rFonts w:hint="eastAsia" w:ascii="黑体" w:hAnsi="黑体" w:eastAsia="黑体" w:cs="Segoe UI"/>
          <w:color w:val="auto"/>
          <w:sz w:val="28"/>
          <w:szCs w:val="28"/>
          <w:lang w:eastAsia="zh-CN"/>
        </w:rPr>
      </w:pPr>
    </w:p>
    <w:p w14:paraId="2E4015B6">
      <w:pPr>
        <w:kinsoku/>
        <w:ind w:firstLine="560" w:firstLineChars="200"/>
        <w:rPr>
          <w:rFonts w:hint="eastAsia" w:ascii="黑体" w:hAnsi="黑体" w:eastAsia="黑体" w:cs="Segoe UI"/>
          <w:color w:val="auto"/>
          <w:sz w:val="28"/>
          <w:szCs w:val="28"/>
          <w:lang w:eastAsia="zh-CN"/>
        </w:rPr>
      </w:pPr>
    </w:p>
    <w:p w14:paraId="29EF6DCE">
      <w:pPr>
        <w:pStyle w:val="4"/>
        <w:numPr>
          <w:ilvl w:val="0"/>
          <w:numId w:val="1"/>
        </w:numPr>
        <w:spacing w:before="0" w:beforeAutospacing="0" w:after="0" w:afterAutospacing="0"/>
        <w:ind w:left="0" w:leftChars="0" w:firstLine="0" w:firstLineChars="0"/>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营业执照</w:t>
      </w:r>
    </w:p>
    <w:p w14:paraId="4D8D5438">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4EAD44B">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EDA024D">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57AE0759">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4B733AC">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899BAF0">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22EEB0C5">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6400C8A">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F2A0630">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FAB442D">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B4746C8">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10E682A">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5110E57">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03B96B1">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2C3346E7">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0C189E6">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16C56E96">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6659F367">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5BBC4360">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434DB76">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C0A4EF3">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698A42B2">
      <w:pPr>
        <w:pStyle w:val="4"/>
        <w:spacing w:before="0" w:beforeAutospacing="0" w:after="0" w:afterAutospacing="0"/>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四</w:t>
      </w: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lang w:val="en-US" w:eastAsia="zh-CN"/>
        </w:rPr>
        <w:t>危险化学品经营许可证</w:t>
      </w:r>
    </w:p>
    <w:p w14:paraId="67C14E00">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1CAC81D8">
      <w:pPr>
        <w:pStyle w:val="4"/>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bookmarkEnd w:i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BA1">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44C">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DB68">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310EB4"/>
    <w:rsid w:val="003F073B"/>
    <w:rsid w:val="00427704"/>
    <w:rsid w:val="005C6ADC"/>
    <w:rsid w:val="006209EC"/>
    <w:rsid w:val="00B84BC3"/>
    <w:rsid w:val="00C528D4"/>
    <w:rsid w:val="00D8723B"/>
    <w:rsid w:val="00E564EB"/>
    <w:rsid w:val="0297204E"/>
    <w:rsid w:val="047A39D5"/>
    <w:rsid w:val="04C42EA2"/>
    <w:rsid w:val="04E37CE7"/>
    <w:rsid w:val="054144F3"/>
    <w:rsid w:val="059705B7"/>
    <w:rsid w:val="05CC0260"/>
    <w:rsid w:val="05D92791"/>
    <w:rsid w:val="05DD246D"/>
    <w:rsid w:val="064E5119"/>
    <w:rsid w:val="06BF7DC5"/>
    <w:rsid w:val="06DF3FC3"/>
    <w:rsid w:val="07634BF4"/>
    <w:rsid w:val="084542FA"/>
    <w:rsid w:val="0AB87005"/>
    <w:rsid w:val="0B8E5FB8"/>
    <w:rsid w:val="0CCF0636"/>
    <w:rsid w:val="0D3C5D11"/>
    <w:rsid w:val="0E76345F"/>
    <w:rsid w:val="0EFA4090"/>
    <w:rsid w:val="0FA14CC1"/>
    <w:rsid w:val="10C5422A"/>
    <w:rsid w:val="116C0B49"/>
    <w:rsid w:val="12A903D2"/>
    <w:rsid w:val="12BC78CD"/>
    <w:rsid w:val="132316DC"/>
    <w:rsid w:val="137F4B64"/>
    <w:rsid w:val="14975EDD"/>
    <w:rsid w:val="151314EF"/>
    <w:rsid w:val="15CA5E26"/>
    <w:rsid w:val="192F2B88"/>
    <w:rsid w:val="19B47531"/>
    <w:rsid w:val="19E75211"/>
    <w:rsid w:val="1A4C59BC"/>
    <w:rsid w:val="1AFC2F3E"/>
    <w:rsid w:val="1B6B1E72"/>
    <w:rsid w:val="1BF63E31"/>
    <w:rsid w:val="1C024584"/>
    <w:rsid w:val="1E8E2B0B"/>
    <w:rsid w:val="1F9C4CF0"/>
    <w:rsid w:val="20FC3C98"/>
    <w:rsid w:val="21CD1190"/>
    <w:rsid w:val="21D267A7"/>
    <w:rsid w:val="220B1CB9"/>
    <w:rsid w:val="226D64CF"/>
    <w:rsid w:val="22A243CB"/>
    <w:rsid w:val="25D725DE"/>
    <w:rsid w:val="25E1345C"/>
    <w:rsid w:val="262A4E03"/>
    <w:rsid w:val="26600647"/>
    <w:rsid w:val="26751DF6"/>
    <w:rsid w:val="27CE2397"/>
    <w:rsid w:val="2A187669"/>
    <w:rsid w:val="2AEA4B61"/>
    <w:rsid w:val="2B9029EE"/>
    <w:rsid w:val="2C493B09"/>
    <w:rsid w:val="2D410C84"/>
    <w:rsid w:val="2DE7182C"/>
    <w:rsid w:val="2E052D2F"/>
    <w:rsid w:val="2E2A1718"/>
    <w:rsid w:val="2ECE6548"/>
    <w:rsid w:val="2FE029D7"/>
    <w:rsid w:val="2FF30A37"/>
    <w:rsid w:val="30A65BBD"/>
    <w:rsid w:val="32340DB8"/>
    <w:rsid w:val="32493AA2"/>
    <w:rsid w:val="32CB34CA"/>
    <w:rsid w:val="337B4EF0"/>
    <w:rsid w:val="368A369C"/>
    <w:rsid w:val="38626B0D"/>
    <w:rsid w:val="388D1222"/>
    <w:rsid w:val="3A26548A"/>
    <w:rsid w:val="3A9643BE"/>
    <w:rsid w:val="3ACE6A30"/>
    <w:rsid w:val="3CDF2675"/>
    <w:rsid w:val="3D6C3AFB"/>
    <w:rsid w:val="3D9F4E7A"/>
    <w:rsid w:val="3DCB29A4"/>
    <w:rsid w:val="3DD82F3F"/>
    <w:rsid w:val="3FEE7FAB"/>
    <w:rsid w:val="4087107A"/>
    <w:rsid w:val="42B71375"/>
    <w:rsid w:val="44C77869"/>
    <w:rsid w:val="4554734F"/>
    <w:rsid w:val="45605CF4"/>
    <w:rsid w:val="46A51269"/>
    <w:rsid w:val="48FC21D7"/>
    <w:rsid w:val="49221512"/>
    <w:rsid w:val="49957F36"/>
    <w:rsid w:val="49AD34D2"/>
    <w:rsid w:val="4A197850"/>
    <w:rsid w:val="4C575977"/>
    <w:rsid w:val="4DCA0C49"/>
    <w:rsid w:val="50630D8E"/>
    <w:rsid w:val="51C13FBE"/>
    <w:rsid w:val="523F3135"/>
    <w:rsid w:val="55342CF9"/>
    <w:rsid w:val="58150BC0"/>
    <w:rsid w:val="586E02D0"/>
    <w:rsid w:val="58A238DA"/>
    <w:rsid w:val="5AA443EC"/>
    <w:rsid w:val="5B2F1F99"/>
    <w:rsid w:val="5CF35248"/>
    <w:rsid w:val="5D415FB3"/>
    <w:rsid w:val="5DAF028C"/>
    <w:rsid w:val="5DD706C5"/>
    <w:rsid w:val="5DEE7F91"/>
    <w:rsid w:val="5E3C677A"/>
    <w:rsid w:val="5E4C2E61"/>
    <w:rsid w:val="604A33D1"/>
    <w:rsid w:val="605D1356"/>
    <w:rsid w:val="606F4BE5"/>
    <w:rsid w:val="61314591"/>
    <w:rsid w:val="613D2F35"/>
    <w:rsid w:val="628C20E3"/>
    <w:rsid w:val="62BB05B6"/>
    <w:rsid w:val="63352116"/>
    <w:rsid w:val="63FC0E86"/>
    <w:rsid w:val="652E506F"/>
    <w:rsid w:val="666135E9"/>
    <w:rsid w:val="66D954AE"/>
    <w:rsid w:val="673152EA"/>
    <w:rsid w:val="67B0620F"/>
    <w:rsid w:val="68DF3C9E"/>
    <w:rsid w:val="69B31FE7"/>
    <w:rsid w:val="69C441F4"/>
    <w:rsid w:val="6B686E01"/>
    <w:rsid w:val="6CA52AFD"/>
    <w:rsid w:val="6D745F31"/>
    <w:rsid w:val="6DAF6F69"/>
    <w:rsid w:val="6EB9645C"/>
    <w:rsid w:val="6ED84C48"/>
    <w:rsid w:val="735A1725"/>
    <w:rsid w:val="74485A21"/>
    <w:rsid w:val="780B2B7B"/>
    <w:rsid w:val="78436C2C"/>
    <w:rsid w:val="7851759A"/>
    <w:rsid w:val="78725526"/>
    <w:rsid w:val="796B468C"/>
    <w:rsid w:val="7B18614D"/>
    <w:rsid w:val="7B4875C6"/>
    <w:rsid w:val="7BCE2CB0"/>
    <w:rsid w:val="7E8832B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outlineLvl w:val="0"/>
    </w:pPr>
    <w:rPr>
      <w:rFonts w:eastAsia="仿宋_GB2312"/>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customStyle="1" w:styleId="7">
    <w:name w:val="s23"/>
    <w:basedOn w:val="6"/>
    <w:qFormat/>
    <w:uiPriority w:val="0"/>
  </w:style>
  <w:style w:type="character" w:customStyle="1" w:styleId="8">
    <w:name w:val="s22"/>
    <w:basedOn w:val="6"/>
    <w:qFormat/>
    <w:uiPriority w:val="0"/>
  </w:style>
  <w:style w:type="paragraph" w:customStyle="1" w:styleId="9">
    <w:name w:val="列表段落1"/>
    <w:basedOn w:val="1"/>
    <w:qFormat/>
    <w:uiPriority w:val="34"/>
    <w:pPr>
      <w:widowControl/>
      <w:ind w:firstLine="420" w:firstLineChars="200"/>
      <w:jc w:val="left"/>
    </w:pPr>
    <w:rPr>
      <w:rFonts w:ascii="宋体" w:hAnsi="宋体" w:cs="宋体"/>
      <w:kern w:val="0"/>
      <w:sz w:val="24"/>
    </w:rPr>
  </w:style>
  <w:style w:type="paragraph" w:styleId="10">
    <w:name w:val="List Paragraph"/>
    <w:basedOn w:val="1"/>
    <w:qFormat/>
    <w:uiPriority w:val="34"/>
    <w:pPr>
      <w:ind w:firstLine="420" w:firstLineChars="200"/>
    </w:pPr>
    <w:rPr>
      <w:rFonts w:cs="Times New Roman"/>
    </w:rPr>
  </w:style>
  <w:style w:type="paragraph" w:customStyle="1" w:styleId="11">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4429</Words>
  <Characters>4743</Characters>
  <Lines>20</Lines>
  <Paragraphs>5</Paragraphs>
  <TotalTime>13</TotalTime>
  <ScaleCrop>false</ScaleCrop>
  <LinksUpToDate>false</LinksUpToDate>
  <CharactersWithSpaces>4919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2025-09-17T06:54:00Z</dcterms:created>
  <dc:creator>lijiewai</dc:creator>
  <cp:lastModifiedBy>1</cp:lastModifiedBy>
  <dcterms:modified xsi:type="dcterms:W3CDTF">2026-05-26T08:03:40Z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4F114398B0AA43A19AA693D2685599BB</vt:lpwstr>
  </property>
  <property fmtid="{D5CDD505-2E9C-101B-9397-08002B2CF9AE}" pid="4" name="KSOTemplateDocerSaveRecord">
    <vt:lpwstr>eyJoZGlkIjoiNTAwYmYzZTcyODI4MzM1NGMzZGQ0MTMyOTk5ZjM3OWIiLCJ1c2VySWQiOiI2ODcyODI3ODQifQ==</vt:lpwstr>
  </property>
</Properties>
</file>