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电缆采购</w:t>
      </w:r>
    </w:p>
    <w:p w14:paraId="33D068A5">
      <w:pPr>
        <w:pStyle w:val="11"/>
        <w:jc w:val="both"/>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编号：SFLHG-GKBX-2026-HW33</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408A72D8">
      <w:pPr>
        <w:keepNext w:val="0"/>
        <w:keepLines w:val="0"/>
        <w:pageBreakBefore w:val="0"/>
        <w:widowControl w:val="0"/>
        <w:kinsoku/>
        <w:wordWrap/>
        <w:overflowPunct/>
        <w:topLinePunct w:val="0"/>
        <w:autoSpaceDE/>
        <w:autoSpaceDN/>
        <w:bidi w:val="0"/>
        <w:adjustRightInd/>
        <w:snapToGrid/>
        <w:spacing w:line="480" w:lineRule="auto"/>
        <w:ind w:right="1050" w:rightChars="500"/>
        <w:jc w:val="both"/>
        <w:textAlignment w:val="auto"/>
        <w:rPr>
          <w:rFonts w:hint="eastAsia" w:asciiTheme="minorEastAsia" w:hAnsiTheme="minorEastAsia" w:eastAsiaTheme="minorEastAsia"/>
          <w:b/>
          <w:bCs/>
          <w:sz w:val="30"/>
          <w:szCs w:val="30"/>
          <w:highlight w:val="none"/>
          <w:lang w:eastAsia="zh-CN"/>
        </w:rPr>
      </w:pPr>
    </w:p>
    <w:p w14:paraId="1D6BDCB5">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eastAsia" w:asciiTheme="minorEastAsia" w:hAnsiTheme="minorEastAsia" w:eastAsiaTheme="minorEastAsia"/>
          <w:b/>
          <w:bCs/>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35FB3291">
      <w:pPr>
        <w:autoSpaceDE w:val="0"/>
        <w:autoSpaceDN w:val="0"/>
        <w:adjustRightInd w:val="0"/>
        <w:spacing w:line="480" w:lineRule="auto"/>
        <w:jc w:val="right"/>
        <w:rPr>
          <w:rFonts w:hint="eastAsia" w:cs="黑体" w:asciiTheme="minorEastAsia" w:hAnsiTheme="minorEastAsia" w:eastAsiaTheme="minorEastAsia"/>
          <w:b/>
          <w:bCs/>
          <w:sz w:val="30"/>
          <w:szCs w:val="30"/>
          <w:highlight w:val="none"/>
          <w:lang w:val="zh-CN"/>
        </w:rPr>
      </w:pP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bookmarkStart w:id="6" w:name="_GoBack"/>
      <w:bookmarkEnd w:id="6"/>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18</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编号：SFLHG-GKBX-2025-HW33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四川宏达股份有限公司什邡磷化工分公司、有色金属分公司因技改生产需要，需采购电力电缆1批，本着“公开、公平、公正”的原则，现对该标的物进行公开比选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3400"/>
        <w:gridCol w:w="830"/>
        <w:gridCol w:w="770"/>
        <w:gridCol w:w="248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83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480"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307E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D98D21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1300" w:type="dxa"/>
            <w:tcBorders>
              <w:left w:val="single" w:color="auto" w:sz="4" w:space="0"/>
            </w:tcBorders>
            <w:noWrap w:val="0"/>
            <w:vAlign w:val="center"/>
          </w:tcPr>
          <w:p w14:paraId="5ADD91A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DCA4637">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4*2.5</w:t>
            </w:r>
          </w:p>
        </w:tc>
        <w:tc>
          <w:tcPr>
            <w:tcW w:w="830" w:type="dxa"/>
            <w:tcBorders>
              <w:left w:val="single" w:color="auto" w:sz="4" w:space="0"/>
              <w:right w:val="single" w:color="auto" w:sz="4" w:space="0"/>
            </w:tcBorders>
            <w:noWrap w:val="0"/>
            <w:vAlign w:val="center"/>
          </w:tcPr>
          <w:p w14:paraId="79C246D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1000 </w:t>
            </w:r>
          </w:p>
        </w:tc>
        <w:tc>
          <w:tcPr>
            <w:tcW w:w="770" w:type="dxa"/>
            <w:tcBorders>
              <w:top w:val="single" w:color="auto" w:sz="4" w:space="0"/>
              <w:bottom w:val="single" w:color="auto" w:sz="4" w:space="0"/>
              <w:right w:val="single" w:color="auto" w:sz="4" w:space="0"/>
            </w:tcBorders>
            <w:noWrap w:val="0"/>
            <w:vAlign w:val="center"/>
          </w:tcPr>
          <w:p w14:paraId="48288A9A">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restart"/>
            <w:tcBorders>
              <w:right w:val="single" w:color="auto" w:sz="4" w:space="0"/>
            </w:tcBorders>
            <w:noWrap w:val="0"/>
            <w:vAlign w:val="center"/>
          </w:tcPr>
          <w:p w14:paraId="3E2C91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磷化工动力厂-设备更新改造项目-自动化仪表与控制系统</w:t>
            </w:r>
          </w:p>
        </w:tc>
      </w:tr>
      <w:tr w14:paraId="3B334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4D84CEAD">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300" w:type="dxa"/>
            <w:tcBorders>
              <w:left w:val="single" w:color="auto" w:sz="4" w:space="0"/>
            </w:tcBorders>
            <w:noWrap w:val="0"/>
            <w:vAlign w:val="center"/>
          </w:tcPr>
          <w:p w14:paraId="31BDA0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4584297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6*1.5</w:t>
            </w:r>
          </w:p>
        </w:tc>
        <w:tc>
          <w:tcPr>
            <w:tcW w:w="830" w:type="dxa"/>
            <w:tcBorders>
              <w:left w:val="single" w:color="auto" w:sz="4" w:space="0"/>
              <w:right w:val="single" w:color="auto" w:sz="4" w:space="0"/>
            </w:tcBorders>
            <w:noWrap w:val="0"/>
            <w:vAlign w:val="center"/>
          </w:tcPr>
          <w:p w14:paraId="552C785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3000 </w:t>
            </w:r>
          </w:p>
        </w:tc>
        <w:tc>
          <w:tcPr>
            <w:tcW w:w="770" w:type="dxa"/>
            <w:tcBorders>
              <w:top w:val="single" w:color="auto" w:sz="4" w:space="0"/>
              <w:bottom w:val="single" w:color="auto" w:sz="4" w:space="0"/>
              <w:right w:val="single" w:color="auto" w:sz="4" w:space="0"/>
            </w:tcBorders>
            <w:noWrap w:val="0"/>
            <w:vAlign w:val="center"/>
          </w:tcPr>
          <w:p w14:paraId="65A902D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6C09E70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p>
        </w:tc>
      </w:tr>
      <w:tr w14:paraId="486E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817ED5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300" w:type="dxa"/>
            <w:tcBorders>
              <w:left w:val="single" w:color="auto" w:sz="4" w:space="0"/>
            </w:tcBorders>
            <w:noWrap w:val="0"/>
            <w:vAlign w:val="center"/>
          </w:tcPr>
          <w:p w14:paraId="35F5528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6A6FA2E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2*1.5</w:t>
            </w:r>
          </w:p>
        </w:tc>
        <w:tc>
          <w:tcPr>
            <w:tcW w:w="830" w:type="dxa"/>
            <w:tcBorders>
              <w:left w:val="single" w:color="auto" w:sz="4" w:space="0"/>
              <w:right w:val="single" w:color="auto" w:sz="4" w:space="0"/>
            </w:tcBorders>
            <w:noWrap w:val="0"/>
            <w:vAlign w:val="center"/>
          </w:tcPr>
          <w:p w14:paraId="74450BC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2000 </w:t>
            </w:r>
          </w:p>
        </w:tc>
        <w:tc>
          <w:tcPr>
            <w:tcW w:w="770" w:type="dxa"/>
            <w:tcBorders>
              <w:top w:val="single" w:color="auto" w:sz="4" w:space="0"/>
              <w:bottom w:val="single" w:color="auto" w:sz="4" w:space="0"/>
              <w:right w:val="single" w:color="auto" w:sz="4" w:space="0"/>
            </w:tcBorders>
            <w:noWrap w:val="0"/>
            <w:vAlign w:val="center"/>
          </w:tcPr>
          <w:p w14:paraId="3559CCF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5662C59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1926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24420F4">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1300" w:type="dxa"/>
            <w:tcBorders>
              <w:left w:val="single" w:color="auto" w:sz="4" w:space="0"/>
            </w:tcBorders>
            <w:noWrap w:val="0"/>
            <w:vAlign w:val="center"/>
          </w:tcPr>
          <w:p w14:paraId="3C9E4DD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7A426A0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10*1.5</w:t>
            </w:r>
          </w:p>
        </w:tc>
        <w:tc>
          <w:tcPr>
            <w:tcW w:w="830" w:type="dxa"/>
            <w:tcBorders>
              <w:left w:val="single" w:color="auto" w:sz="4" w:space="0"/>
              <w:right w:val="single" w:color="auto" w:sz="4" w:space="0"/>
            </w:tcBorders>
            <w:noWrap w:val="0"/>
            <w:vAlign w:val="center"/>
          </w:tcPr>
          <w:p w14:paraId="44BC266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1000 </w:t>
            </w:r>
          </w:p>
        </w:tc>
        <w:tc>
          <w:tcPr>
            <w:tcW w:w="770" w:type="dxa"/>
            <w:tcBorders>
              <w:top w:val="single" w:color="auto" w:sz="4" w:space="0"/>
              <w:bottom w:val="single" w:color="auto" w:sz="4" w:space="0"/>
              <w:right w:val="single" w:color="auto" w:sz="4" w:space="0"/>
            </w:tcBorders>
            <w:noWrap w:val="0"/>
            <w:vAlign w:val="center"/>
          </w:tcPr>
          <w:p w14:paraId="4520E72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560C3DB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0E5D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9177204">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1300" w:type="dxa"/>
            <w:tcBorders>
              <w:left w:val="single" w:color="auto" w:sz="4" w:space="0"/>
            </w:tcBorders>
            <w:noWrap w:val="0"/>
            <w:vAlign w:val="center"/>
          </w:tcPr>
          <w:p w14:paraId="0995199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37111E7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8*1.5</w:t>
            </w:r>
          </w:p>
        </w:tc>
        <w:tc>
          <w:tcPr>
            <w:tcW w:w="830" w:type="dxa"/>
            <w:tcBorders>
              <w:left w:val="single" w:color="auto" w:sz="4" w:space="0"/>
              <w:right w:val="single" w:color="auto" w:sz="4" w:space="0"/>
            </w:tcBorders>
            <w:noWrap w:val="0"/>
            <w:vAlign w:val="center"/>
          </w:tcPr>
          <w:p w14:paraId="08AEC69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1000 </w:t>
            </w:r>
          </w:p>
        </w:tc>
        <w:tc>
          <w:tcPr>
            <w:tcW w:w="770" w:type="dxa"/>
            <w:tcBorders>
              <w:top w:val="single" w:color="auto" w:sz="4" w:space="0"/>
              <w:bottom w:val="single" w:color="auto" w:sz="4" w:space="0"/>
              <w:right w:val="single" w:color="auto" w:sz="4" w:space="0"/>
            </w:tcBorders>
            <w:noWrap w:val="0"/>
            <w:vAlign w:val="center"/>
          </w:tcPr>
          <w:p w14:paraId="48C4880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64084EB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3737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CF29CA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1300" w:type="dxa"/>
            <w:tcBorders>
              <w:left w:val="single" w:color="auto" w:sz="4" w:space="0"/>
            </w:tcBorders>
            <w:noWrap w:val="0"/>
            <w:vAlign w:val="center"/>
          </w:tcPr>
          <w:p w14:paraId="1BF504E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65020BD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ZC-KVV-450/750V  7*1.5</w:t>
            </w:r>
          </w:p>
        </w:tc>
        <w:tc>
          <w:tcPr>
            <w:tcW w:w="830" w:type="dxa"/>
            <w:tcBorders>
              <w:left w:val="single" w:color="auto" w:sz="4" w:space="0"/>
              <w:right w:val="single" w:color="auto" w:sz="4" w:space="0"/>
            </w:tcBorders>
            <w:noWrap w:val="0"/>
            <w:vAlign w:val="center"/>
          </w:tcPr>
          <w:p w14:paraId="6B6CEF1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700 </w:t>
            </w:r>
          </w:p>
        </w:tc>
        <w:tc>
          <w:tcPr>
            <w:tcW w:w="770" w:type="dxa"/>
            <w:tcBorders>
              <w:top w:val="single" w:color="auto" w:sz="4" w:space="0"/>
              <w:bottom w:val="single" w:color="auto" w:sz="4" w:space="0"/>
              <w:right w:val="single" w:color="auto" w:sz="4" w:space="0"/>
            </w:tcBorders>
            <w:noWrap w:val="0"/>
            <w:vAlign w:val="center"/>
          </w:tcPr>
          <w:p w14:paraId="0C1524E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restart"/>
            <w:tcBorders>
              <w:right w:val="single" w:color="auto" w:sz="4" w:space="0"/>
            </w:tcBorders>
            <w:noWrap w:val="0"/>
            <w:vAlign w:val="center"/>
          </w:tcPr>
          <w:p w14:paraId="621993E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磷化工动力厂-磷石膏循环利用场环保提升项目-扩建污水站收集池容积</w:t>
            </w:r>
          </w:p>
        </w:tc>
      </w:tr>
      <w:tr w14:paraId="6E073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382F81D">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1300" w:type="dxa"/>
            <w:tcBorders>
              <w:left w:val="single" w:color="auto" w:sz="4" w:space="0"/>
            </w:tcBorders>
            <w:noWrap w:val="0"/>
            <w:vAlign w:val="center"/>
          </w:tcPr>
          <w:p w14:paraId="0643DD0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34FD6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ZC-KVV-450/750V  12*1.5</w:t>
            </w:r>
          </w:p>
        </w:tc>
        <w:tc>
          <w:tcPr>
            <w:tcW w:w="830" w:type="dxa"/>
            <w:tcBorders>
              <w:left w:val="single" w:color="auto" w:sz="4" w:space="0"/>
              <w:right w:val="single" w:color="auto" w:sz="4" w:space="0"/>
            </w:tcBorders>
            <w:noWrap w:val="0"/>
            <w:vAlign w:val="center"/>
          </w:tcPr>
          <w:p w14:paraId="60D55B6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300 </w:t>
            </w:r>
          </w:p>
        </w:tc>
        <w:tc>
          <w:tcPr>
            <w:tcW w:w="770" w:type="dxa"/>
            <w:tcBorders>
              <w:top w:val="single" w:color="auto" w:sz="4" w:space="0"/>
              <w:bottom w:val="single" w:color="auto" w:sz="4" w:space="0"/>
              <w:right w:val="single" w:color="auto" w:sz="4" w:space="0"/>
            </w:tcBorders>
            <w:noWrap w:val="0"/>
            <w:vAlign w:val="center"/>
          </w:tcPr>
          <w:p w14:paraId="26E5BDE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0E23A6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6A0F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39AD2E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1300" w:type="dxa"/>
            <w:tcBorders>
              <w:left w:val="single" w:color="auto" w:sz="4" w:space="0"/>
            </w:tcBorders>
            <w:noWrap w:val="0"/>
            <w:vAlign w:val="center"/>
          </w:tcPr>
          <w:p w14:paraId="0A5AC74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计算机电缆</w:t>
            </w:r>
          </w:p>
        </w:tc>
        <w:tc>
          <w:tcPr>
            <w:tcW w:w="3400" w:type="dxa"/>
            <w:tcBorders>
              <w:right w:val="single" w:color="auto" w:sz="4" w:space="0"/>
            </w:tcBorders>
            <w:noWrap w:val="0"/>
            <w:vAlign w:val="center"/>
          </w:tcPr>
          <w:p w14:paraId="2CD2FF5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DJYPV 2*2*1.5</w:t>
            </w:r>
          </w:p>
        </w:tc>
        <w:tc>
          <w:tcPr>
            <w:tcW w:w="830" w:type="dxa"/>
            <w:tcBorders>
              <w:left w:val="single" w:color="auto" w:sz="4" w:space="0"/>
              <w:right w:val="single" w:color="auto" w:sz="4" w:space="0"/>
            </w:tcBorders>
            <w:noWrap w:val="0"/>
            <w:vAlign w:val="center"/>
          </w:tcPr>
          <w:p w14:paraId="5CE28D9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300 </w:t>
            </w:r>
          </w:p>
        </w:tc>
        <w:tc>
          <w:tcPr>
            <w:tcW w:w="770" w:type="dxa"/>
            <w:tcBorders>
              <w:top w:val="single" w:color="auto" w:sz="4" w:space="0"/>
              <w:bottom w:val="single" w:color="auto" w:sz="4" w:space="0"/>
              <w:right w:val="single" w:color="auto" w:sz="4" w:space="0"/>
            </w:tcBorders>
            <w:noWrap w:val="0"/>
            <w:vAlign w:val="center"/>
          </w:tcPr>
          <w:p w14:paraId="5134F14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7665459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3E743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667F59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300" w:type="dxa"/>
            <w:tcBorders>
              <w:left w:val="single" w:color="auto" w:sz="4" w:space="0"/>
            </w:tcBorders>
            <w:noWrap w:val="0"/>
            <w:vAlign w:val="center"/>
          </w:tcPr>
          <w:p w14:paraId="40AF6D00">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58676AE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ZC-YJV22-8.7/15KV 3*70</w:t>
            </w:r>
          </w:p>
        </w:tc>
        <w:tc>
          <w:tcPr>
            <w:tcW w:w="830" w:type="dxa"/>
            <w:tcBorders>
              <w:left w:val="single" w:color="auto" w:sz="4" w:space="0"/>
              <w:right w:val="single" w:color="auto" w:sz="4" w:space="0"/>
            </w:tcBorders>
            <w:noWrap w:val="0"/>
            <w:vAlign w:val="center"/>
          </w:tcPr>
          <w:p w14:paraId="2E9625DB">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w:t>
            </w:r>
          </w:p>
        </w:tc>
        <w:tc>
          <w:tcPr>
            <w:tcW w:w="770" w:type="dxa"/>
            <w:tcBorders>
              <w:top w:val="single" w:color="auto" w:sz="4" w:space="0"/>
              <w:bottom w:val="single" w:color="auto" w:sz="4" w:space="0"/>
              <w:right w:val="single" w:color="auto" w:sz="4" w:space="0"/>
            </w:tcBorders>
            <w:noWrap w:val="0"/>
            <w:vAlign w:val="center"/>
          </w:tcPr>
          <w:p w14:paraId="50B1918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right w:val="single" w:color="auto" w:sz="4" w:space="0"/>
            </w:tcBorders>
            <w:noWrap w:val="0"/>
            <w:vAlign w:val="center"/>
          </w:tcPr>
          <w:p w14:paraId="571ECDD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磷化工磷铵厂设备更新-永磁电机</w:t>
            </w:r>
          </w:p>
        </w:tc>
      </w:tr>
      <w:tr w14:paraId="032B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D1FDE6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1300" w:type="dxa"/>
            <w:tcBorders>
              <w:left w:val="single" w:color="auto" w:sz="4" w:space="0"/>
            </w:tcBorders>
            <w:noWrap w:val="0"/>
            <w:vAlign w:val="center"/>
          </w:tcPr>
          <w:p w14:paraId="2D8EDA2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4F4F14A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YJV22-0.6/1KV 5*120</w:t>
            </w:r>
          </w:p>
        </w:tc>
        <w:tc>
          <w:tcPr>
            <w:tcW w:w="830" w:type="dxa"/>
            <w:tcBorders>
              <w:left w:val="single" w:color="auto" w:sz="4" w:space="0"/>
              <w:right w:val="single" w:color="auto" w:sz="4" w:space="0"/>
            </w:tcBorders>
            <w:noWrap w:val="0"/>
            <w:vAlign w:val="center"/>
          </w:tcPr>
          <w:p w14:paraId="6D48A97F">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165</w:t>
            </w:r>
          </w:p>
        </w:tc>
        <w:tc>
          <w:tcPr>
            <w:tcW w:w="770" w:type="dxa"/>
            <w:tcBorders>
              <w:top w:val="single" w:color="auto" w:sz="4" w:space="0"/>
              <w:bottom w:val="single" w:color="auto" w:sz="4" w:space="0"/>
              <w:right w:val="single" w:color="auto" w:sz="4" w:space="0"/>
            </w:tcBorders>
            <w:noWrap w:val="0"/>
            <w:vAlign w:val="center"/>
          </w:tcPr>
          <w:p w14:paraId="0E3BC679">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restart"/>
            <w:tcBorders>
              <w:right w:val="single" w:color="auto" w:sz="4" w:space="0"/>
            </w:tcBorders>
            <w:noWrap w:val="0"/>
            <w:vAlign w:val="center"/>
          </w:tcPr>
          <w:p w14:paraId="1A0C2B1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有色公司-电解锌冶炼系统设备更新项目烟气制酸</w:t>
            </w:r>
          </w:p>
        </w:tc>
      </w:tr>
      <w:tr w14:paraId="4B19B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CEAD24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w:t>
            </w:r>
          </w:p>
        </w:tc>
        <w:tc>
          <w:tcPr>
            <w:tcW w:w="1300" w:type="dxa"/>
            <w:tcBorders>
              <w:left w:val="single" w:color="auto" w:sz="4" w:space="0"/>
            </w:tcBorders>
            <w:noWrap w:val="0"/>
            <w:vAlign w:val="center"/>
          </w:tcPr>
          <w:p w14:paraId="0FFB733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3C4E2B9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YJV-0.6/1KV 3*6＋1*4     </w:t>
            </w:r>
          </w:p>
        </w:tc>
        <w:tc>
          <w:tcPr>
            <w:tcW w:w="830" w:type="dxa"/>
            <w:tcBorders>
              <w:left w:val="single" w:color="auto" w:sz="4" w:space="0"/>
              <w:right w:val="single" w:color="auto" w:sz="4" w:space="0"/>
            </w:tcBorders>
            <w:noWrap w:val="0"/>
            <w:vAlign w:val="center"/>
          </w:tcPr>
          <w:p w14:paraId="3D0FBA1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770" w:type="dxa"/>
            <w:tcBorders>
              <w:top w:val="single" w:color="auto" w:sz="4" w:space="0"/>
              <w:bottom w:val="single" w:color="auto" w:sz="4" w:space="0"/>
              <w:right w:val="single" w:color="auto" w:sz="4" w:space="0"/>
            </w:tcBorders>
            <w:noWrap w:val="0"/>
            <w:vAlign w:val="center"/>
          </w:tcPr>
          <w:p w14:paraId="72513E3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4D362ED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73EBF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0E27E19">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w:t>
            </w:r>
          </w:p>
        </w:tc>
        <w:tc>
          <w:tcPr>
            <w:tcW w:w="1300" w:type="dxa"/>
            <w:tcBorders>
              <w:left w:val="single" w:color="auto" w:sz="4" w:space="0"/>
            </w:tcBorders>
            <w:noWrap w:val="0"/>
            <w:vAlign w:val="center"/>
          </w:tcPr>
          <w:p w14:paraId="2DF101F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71F5345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YJV-0.6/1KV  3*4＋1*2.5    </w:t>
            </w:r>
          </w:p>
        </w:tc>
        <w:tc>
          <w:tcPr>
            <w:tcW w:w="830" w:type="dxa"/>
            <w:tcBorders>
              <w:left w:val="single" w:color="auto" w:sz="4" w:space="0"/>
              <w:right w:val="single" w:color="auto" w:sz="4" w:space="0"/>
            </w:tcBorders>
            <w:noWrap w:val="0"/>
            <w:vAlign w:val="center"/>
          </w:tcPr>
          <w:p w14:paraId="7211C2B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770" w:type="dxa"/>
            <w:tcBorders>
              <w:top w:val="single" w:color="auto" w:sz="4" w:space="0"/>
              <w:bottom w:val="single" w:color="auto" w:sz="4" w:space="0"/>
              <w:right w:val="single" w:color="auto" w:sz="4" w:space="0"/>
            </w:tcBorders>
            <w:noWrap w:val="0"/>
            <w:vAlign w:val="center"/>
          </w:tcPr>
          <w:p w14:paraId="1A4F8E6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54D0B5D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0A18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9F6EFE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w:t>
            </w:r>
          </w:p>
        </w:tc>
        <w:tc>
          <w:tcPr>
            <w:tcW w:w="1300" w:type="dxa"/>
            <w:tcBorders>
              <w:left w:val="single" w:color="auto" w:sz="4" w:space="0"/>
            </w:tcBorders>
            <w:noWrap w:val="0"/>
            <w:vAlign w:val="center"/>
          </w:tcPr>
          <w:p w14:paraId="0DA373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20330D0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YJV-0.6/1KV 3*50mm2＋1*25mm2   </w:t>
            </w:r>
          </w:p>
        </w:tc>
        <w:tc>
          <w:tcPr>
            <w:tcW w:w="830" w:type="dxa"/>
            <w:tcBorders>
              <w:left w:val="single" w:color="auto" w:sz="4" w:space="0"/>
              <w:right w:val="single" w:color="auto" w:sz="4" w:space="0"/>
            </w:tcBorders>
            <w:noWrap w:val="0"/>
            <w:vAlign w:val="center"/>
          </w:tcPr>
          <w:p w14:paraId="3572E89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w:t>
            </w:r>
          </w:p>
        </w:tc>
        <w:tc>
          <w:tcPr>
            <w:tcW w:w="770" w:type="dxa"/>
            <w:tcBorders>
              <w:top w:val="single" w:color="auto" w:sz="4" w:space="0"/>
              <w:bottom w:val="single" w:color="auto" w:sz="4" w:space="0"/>
              <w:right w:val="single" w:color="auto" w:sz="4" w:space="0"/>
            </w:tcBorders>
            <w:noWrap w:val="0"/>
            <w:vAlign w:val="center"/>
          </w:tcPr>
          <w:p w14:paraId="3DA4335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bottom w:val="single" w:color="auto" w:sz="4" w:space="0"/>
              <w:right w:val="single" w:color="auto" w:sz="4" w:space="0"/>
            </w:tcBorders>
            <w:noWrap w:val="0"/>
            <w:vAlign w:val="center"/>
          </w:tcPr>
          <w:p w14:paraId="21FD17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电解锌冶炼系统设备更新项目</w:t>
            </w: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w:t>
      </w:r>
      <w:r>
        <w:rPr>
          <w:rFonts w:hint="eastAsia" w:ascii="黑体" w:hAnsi="黑体" w:eastAsia="黑体" w:cs="宋体"/>
          <w:kern w:val="0"/>
          <w:sz w:val="28"/>
          <w:szCs w:val="28"/>
        </w:rPr>
        <w:t>等国标执行。电缆铜芯采用99.9%无氧铜杆；绝缘材料采用国内一线知名生产商产品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4.交货期：合同生效之日起10个自然日内，由中选人将标的物运（发）至交货地点。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供货商随货提供电缆合格证书及检测报告。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2026年5月19日10时 00 分至 2026年5月25日 12时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递交截止时间：2026年5月25日12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。代理商投标需提供生产商授权文件。</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②报价函件及报价明细表。</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2EACD5BA">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本项目采用符合响应性条款的最低投标价法进行比选。</w:t>
      </w:r>
    </w:p>
    <w:p w14:paraId="52F67118">
      <w:pPr>
        <w:numPr>
          <w:ilvl w:val="0"/>
          <w:numId w:val="0"/>
        </w:numPr>
        <w:spacing w:line="420" w:lineRule="exact"/>
        <w:rPr>
          <w:rFonts w:hint="default" w:ascii="黑体" w:hAnsi="黑体" w:eastAsia="黑体" w:cs="宋体"/>
          <w:kern w:val="0"/>
          <w:sz w:val="28"/>
          <w:szCs w:val="28"/>
          <w:lang w:val="en-US" w:eastAsia="zh-CN"/>
        </w:rPr>
      </w:pPr>
      <w:r>
        <w:rPr>
          <w:rFonts w:hint="eastAsia" w:ascii="黑体" w:hAnsi="黑体" w:eastAsia="黑体" w:cs="仿宋_GB2312"/>
          <w:sz w:val="28"/>
          <w:szCs w:val="28"/>
          <w:lang w:val="en-US" w:eastAsia="zh-CN"/>
        </w:rPr>
        <w:t>②最终价格确认：比选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18</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104130元/吨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作为基准价进行电缆报价。以开标当日的上海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与基准价进行</w:t>
      </w:r>
      <w:r>
        <w:rPr>
          <w:rFonts w:hint="eastAsia" w:ascii="黑体" w:hAnsi="黑体" w:eastAsia="黑体" w:cs="宋体"/>
          <w:kern w:val="0"/>
          <w:sz w:val="28"/>
          <w:szCs w:val="28"/>
        </w:rPr>
        <w:t>比</w:t>
      </w:r>
      <w:r>
        <w:rPr>
          <w:rFonts w:hint="eastAsia" w:ascii="黑体" w:hAnsi="黑体" w:eastAsia="黑体" w:cs="宋体"/>
          <w:kern w:val="0"/>
          <w:sz w:val="28"/>
          <w:szCs w:val="28"/>
          <w:lang w:val="en-US" w:eastAsia="zh-CN"/>
        </w:rPr>
        <w:t>对</w:t>
      </w:r>
      <w:r>
        <w:rPr>
          <w:rFonts w:hint="eastAsia" w:ascii="黑体" w:hAnsi="黑体" w:eastAsia="黑体" w:cs="宋体"/>
          <w:kern w:val="0"/>
          <w:sz w:val="28"/>
          <w:szCs w:val="28"/>
        </w:rPr>
        <w:t>，每上涨或下降1000元（含）以上，电缆单价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评委会在开标当日确定中选候选人及最终价格，并在平台发布成交通知书。</w:t>
      </w:r>
    </w:p>
    <w:p w14:paraId="61A92E0B">
      <w:pPr>
        <w:numPr>
          <w:ilvl w:val="0"/>
          <w:numId w:val="0"/>
        </w:numPr>
        <w:spacing w:line="420" w:lineRule="exact"/>
        <w:rPr>
          <w:rFonts w:hint="default" w:ascii="黑体" w:hAnsi="黑体" w:eastAsia="黑体" w:cs="宋体"/>
          <w:kern w:val="0"/>
          <w:sz w:val="28"/>
          <w:szCs w:val="28"/>
          <w:lang w:val="en-US" w:eastAsia="zh-CN"/>
        </w:rPr>
      </w:pPr>
      <w:r>
        <w:rPr>
          <w:rFonts w:hint="default" w:ascii="黑体" w:hAnsi="黑体" w:eastAsia="黑体" w:cs="宋体"/>
          <w:kern w:val="0"/>
          <w:sz w:val="28"/>
          <w:szCs w:val="28"/>
          <w:lang w:val="en-US" w:eastAsia="zh-CN"/>
        </w:rPr>
        <w:t>③</w:t>
      </w:r>
      <w:r>
        <w:rPr>
          <w:rFonts w:hint="eastAsia" w:ascii="黑体" w:hAnsi="黑体" w:eastAsia="黑体" w:cs="宋体"/>
          <w:kern w:val="0"/>
          <w:sz w:val="28"/>
          <w:szCs w:val="28"/>
          <w:lang w:val="en-US" w:eastAsia="zh-CN"/>
        </w:rPr>
        <w:t>中选候选人应在接到比选人中选通知当日锁定中标产品价格。比选人以电话、微信或成交通知书形式进行通知，中选候选人不能以合同签署延后、成交通知书发布延后等原因变更价格。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 xml:space="preserve"> </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18</w:t>
      </w:r>
      <w:r>
        <w:rPr>
          <w:rFonts w:hint="eastAsia" w:ascii="黑体" w:hAnsi="黑体" w:eastAsia="黑体" w:cs="宋体"/>
          <w:kern w:val="0"/>
          <w:sz w:val="28"/>
          <w:szCs w:val="28"/>
        </w:rPr>
        <w:t>日</w:t>
      </w:r>
    </w:p>
    <w:p w14:paraId="7225673D">
      <w:pPr>
        <w:spacing w:line="360" w:lineRule="exact"/>
        <w:rPr>
          <w:rFonts w:hint="eastAsia" w:ascii="黑体" w:hAnsi="黑体" w:eastAsia="黑体" w:cs="宋体"/>
          <w:b/>
          <w:kern w:val="0"/>
          <w:sz w:val="28"/>
          <w:szCs w:val="28"/>
          <w:lang w:val="en-US" w:eastAsia="zh-CN"/>
        </w:rPr>
      </w:pPr>
    </w:p>
    <w:p w14:paraId="25B3B14D">
      <w:pPr>
        <w:spacing w:line="360" w:lineRule="exact"/>
        <w:rPr>
          <w:rFonts w:hint="eastAsia" w:ascii="黑体" w:hAnsi="黑体" w:eastAsia="黑体" w:cs="宋体"/>
          <w:b/>
          <w:kern w:val="0"/>
          <w:sz w:val="28"/>
          <w:szCs w:val="28"/>
          <w:lang w:val="en-US" w:eastAsia="zh-CN"/>
        </w:rPr>
      </w:pPr>
    </w:p>
    <w:p w14:paraId="69BC172D">
      <w:pPr>
        <w:spacing w:line="360" w:lineRule="exact"/>
        <w:rPr>
          <w:rFonts w:hint="eastAsia" w:ascii="黑体" w:hAnsi="黑体" w:eastAsia="黑体" w:cs="宋体"/>
          <w:b/>
          <w:kern w:val="0"/>
          <w:sz w:val="28"/>
          <w:szCs w:val="28"/>
          <w:lang w:val="en-US" w:eastAsia="zh-CN"/>
        </w:rPr>
      </w:pPr>
    </w:p>
    <w:p w14:paraId="432C2350">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49475FA">
      <w:pPr>
        <w:numPr>
          <w:ilvl w:val="0"/>
          <w:numId w:val="3"/>
        </w:numPr>
        <w:kinsoku/>
        <w:overflowPunct/>
        <w:topLinePunct w:val="0"/>
        <w:bidi w:val="0"/>
        <w:ind w:left="0" w:leftChars="0" w:right="0" w:rightChars="0" w:firstLine="640" w:firstLineChars="200"/>
        <w:jc w:val="center"/>
        <w:rPr>
          <w:rFonts w:hint="eastAsia" w:ascii="黑体" w:hAnsi="黑体" w:eastAsia="黑体" w:cs="黑体"/>
          <w:b w:val="0"/>
          <w:bCs w:val="0"/>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宏达股份磷化工分公司</w:t>
      </w:r>
      <w:r>
        <w:rPr>
          <w:rFonts w:hint="eastAsia" w:ascii="黑体" w:hAnsi="黑体" w:eastAsia="黑体" w:cs="黑体"/>
          <w:b w:val="0"/>
          <w:bCs w:val="0"/>
          <w:sz w:val="32"/>
          <w:szCs w:val="32"/>
          <w:lang w:val="en-US" w:eastAsia="zh-CN"/>
        </w:rPr>
        <w:t>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4384"/>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营业执照（代理商投标需另提供生产商营业执照及其授权文件）</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2885B97D">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18BAB7">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22BA0">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B1EDA">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144F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5A387">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80ECE3">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093A0">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F45E4BF">
            <w:pPr>
              <w:rPr>
                <w:rFonts w:hint="eastAsia" w:ascii="宋体" w:hAnsi="宋体" w:eastAsia="宋体" w:cs="宋体"/>
                <w:i w:val="0"/>
                <w:color w:val="auto"/>
                <w:sz w:val="18"/>
                <w:szCs w:val="18"/>
                <w:highlight w:val="none"/>
                <w:u w:val="none"/>
              </w:rPr>
            </w:pPr>
          </w:p>
        </w:tc>
      </w:tr>
      <w:tr w14:paraId="2BE972D0">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9D21FA">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B9998">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0E1E3">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A3DDE">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F541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2EB50">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B7146">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03C1E72">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112CB5E">
      <w:pPr>
        <w:kinsoku/>
        <w:overflowPunct/>
        <w:topLinePunct w:val="0"/>
        <w:bidi w:val="0"/>
        <w:ind w:right="0" w:rightChars="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w:t>
      </w:r>
      <w:r>
        <w:rPr>
          <w:rFonts w:hint="eastAsia" w:ascii="黑体" w:hAnsi="黑体" w:eastAsia="黑体" w:cs="黑体"/>
          <w:color w:val="auto"/>
          <w:sz w:val="24"/>
          <w:szCs w:val="24"/>
          <w:lang w:val="en-US" w:eastAsia="zh-CN"/>
        </w:rPr>
        <w:t>26</w:t>
      </w:r>
      <w:r>
        <w:rPr>
          <w:rFonts w:hint="eastAsia" w:ascii="黑体" w:hAnsi="黑体" w:eastAsia="黑体" w:cs="黑体"/>
          <w:color w:val="auto"/>
          <w:sz w:val="24"/>
          <w:szCs w:val="24"/>
        </w:rPr>
        <w:t>-</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B32C42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32766130">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BE413D6">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4F41CCE"/>
    <w:rsid w:val="05573D16"/>
    <w:rsid w:val="056B432A"/>
    <w:rsid w:val="057443B4"/>
    <w:rsid w:val="05C017FD"/>
    <w:rsid w:val="0687687D"/>
    <w:rsid w:val="06F2489E"/>
    <w:rsid w:val="070268E6"/>
    <w:rsid w:val="07501427"/>
    <w:rsid w:val="076636BD"/>
    <w:rsid w:val="07FC2021"/>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0FE773C"/>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24E6"/>
    <w:rsid w:val="190E59FE"/>
    <w:rsid w:val="19393A07"/>
    <w:rsid w:val="1A1E58C0"/>
    <w:rsid w:val="1A294B27"/>
    <w:rsid w:val="1A683441"/>
    <w:rsid w:val="1AA50757"/>
    <w:rsid w:val="1C4C57FF"/>
    <w:rsid w:val="1CC717EF"/>
    <w:rsid w:val="1D176383"/>
    <w:rsid w:val="1D215E04"/>
    <w:rsid w:val="1D64697C"/>
    <w:rsid w:val="1DD969AB"/>
    <w:rsid w:val="1DF514EE"/>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1C33C30"/>
    <w:rsid w:val="33980AB1"/>
    <w:rsid w:val="341942CE"/>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5201C9"/>
    <w:rsid w:val="3BA23F27"/>
    <w:rsid w:val="3BB75F0B"/>
    <w:rsid w:val="3BF62074"/>
    <w:rsid w:val="3D2D4ECB"/>
    <w:rsid w:val="3D8E7046"/>
    <w:rsid w:val="3DB1150E"/>
    <w:rsid w:val="3DB462E3"/>
    <w:rsid w:val="3DD85B51"/>
    <w:rsid w:val="3E197344"/>
    <w:rsid w:val="3E583D12"/>
    <w:rsid w:val="3F213F33"/>
    <w:rsid w:val="3F237712"/>
    <w:rsid w:val="3FE536F1"/>
    <w:rsid w:val="3FF33ABB"/>
    <w:rsid w:val="400745C7"/>
    <w:rsid w:val="40083152"/>
    <w:rsid w:val="40085CD0"/>
    <w:rsid w:val="4041301D"/>
    <w:rsid w:val="410728A7"/>
    <w:rsid w:val="42587944"/>
    <w:rsid w:val="42932E0A"/>
    <w:rsid w:val="43243278"/>
    <w:rsid w:val="435B56FC"/>
    <w:rsid w:val="43884ABF"/>
    <w:rsid w:val="44A00219"/>
    <w:rsid w:val="45367494"/>
    <w:rsid w:val="457345D5"/>
    <w:rsid w:val="45877724"/>
    <w:rsid w:val="467A2DE5"/>
    <w:rsid w:val="470A03A4"/>
    <w:rsid w:val="470C04B5"/>
    <w:rsid w:val="479B1BDF"/>
    <w:rsid w:val="47F46EAE"/>
    <w:rsid w:val="48724017"/>
    <w:rsid w:val="48750F6C"/>
    <w:rsid w:val="492B4B3C"/>
    <w:rsid w:val="4A185620"/>
    <w:rsid w:val="4A6F4C2B"/>
    <w:rsid w:val="4B964C95"/>
    <w:rsid w:val="4BDF7931"/>
    <w:rsid w:val="4C7A4377"/>
    <w:rsid w:val="4D477799"/>
    <w:rsid w:val="4DCF4AEB"/>
    <w:rsid w:val="4E0D1159"/>
    <w:rsid w:val="4E5A52AA"/>
    <w:rsid w:val="4EE10E98"/>
    <w:rsid w:val="4EE97C85"/>
    <w:rsid w:val="4F0E5FFA"/>
    <w:rsid w:val="4F203C16"/>
    <w:rsid w:val="4F734927"/>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ABD18BC"/>
    <w:rsid w:val="5B1D65E8"/>
    <w:rsid w:val="5B643D74"/>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617096"/>
    <w:rsid w:val="67CD5013"/>
    <w:rsid w:val="68E42148"/>
    <w:rsid w:val="68F9171A"/>
    <w:rsid w:val="693A47A3"/>
    <w:rsid w:val="69B61D6F"/>
    <w:rsid w:val="69C1618A"/>
    <w:rsid w:val="6AB2229E"/>
    <w:rsid w:val="6AFB2A69"/>
    <w:rsid w:val="6B15215A"/>
    <w:rsid w:val="6B3E4F40"/>
    <w:rsid w:val="6B4C26F3"/>
    <w:rsid w:val="6B73407C"/>
    <w:rsid w:val="6C465631"/>
    <w:rsid w:val="6C6400AB"/>
    <w:rsid w:val="6C8B590C"/>
    <w:rsid w:val="6D343A27"/>
    <w:rsid w:val="6DCF182B"/>
    <w:rsid w:val="6F712728"/>
    <w:rsid w:val="6FF06CE8"/>
    <w:rsid w:val="716606CE"/>
    <w:rsid w:val="71710FBA"/>
    <w:rsid w:val="72F9402A"/>
    <w:rsid w:val="733A4279"/>
    <w:rsid w:val="74125240"/>
    <w:rsid w:val="74D06143"/>
    <w:rsid w:val="75284014"/>
    <w:rsid w:val="75942B42"/>
    <w:rsid w:val="75D4756D"/>
    <w:rsid w:val="75E36E5B"/>
    <w:rsid w:val="775744D2"/>
    <w:rsid w:val="77E24ED1"/>
    <w:rsid w:val="78117E1A"/>
    <w:rsid w:val="789E730E"/>
    <w:rsid w:val="78AA163C"/>
    <w:rsid w:val="79042BD4"/>
    <w:rsid w:val="7A450456"/>
    <w:rsid w:val="7AC516D6"/>
    <w:rsid w:val="7BBE5F26"/>
    <w:rsid w:val="7C9D75AD"/>
    <w:rsid w:val="7D902913"/>
    <w:rsid w:val="7DA00113"/>
    <w:rsid w:val="7E6B5FAF"/>
    <w:rsid w:val="7E9A2A8D"/>
    <w:rsid w:val="7EC34622"/>
    <w:rsid w:val="7EC77F20"/>
    <w:rsid w:val="7ED33846"/>
    <w:rsid w:val="7F331113"/>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4453</Words>
  <Characters>4971</Characters>
  <Lines>16</Lines>
  <Paragraphs>4</Paragraphs>
  <TotalTime>6</TotalTime>
  <ScaleCrop>false</ScaleCrop>
  <LinksUpToDate>false</LinksUpToDate>
  <CharactersWithSpaces>5893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2026-05-18T07:56:24Z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2052-12.1.0.26375</vt:lpwstr>
  </property>
  <property fmtid="{D5CDD505-2E9C-101B-9397-08002B2CF9AE}" pid="4" name="ICV">
    <vt:lpwstr>638278A91B6247A3A14F33886A0DB3EB_13</vt:lpwstr>
  </property>
</Properties>
</file>