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ECA5B">
      <w:pPr>
        <w:autoSpaceDE w:val="0"/>
        <w:autoSpaceDN w:val="0"/>
        <w:adjustRightInd w:val="0"/>
        <w:spacing w:before="100" w:after="100"/>
        <w:jc w:val="center"/>
        <w:rPr>
          <w:rFonts w:hint="eastAsia" w:ascii="黑体" w:hAnsi="黑体" w:eastAsia="黑体" w:cs="黑体"/>
          <w:b/>
          <w:bCs/>
          <w:color w:val="000000" w:themeColor="text1"/>
          <w:sz w:val="48"/>
          <w:szCs w:val="48"/>
          <w14:textFill>
            <w14:solidFill>
              <w14:schemeClr w14:val="tx1"/>
            </w14:solidFill>
          </w14:textFill>
        </w:rPr>
      </w:pPr>
      <w:r>
        <w:rPr>
          <w:rFonts w:hint="eastAsia" w:ascii="黑体" w:hAnsi="黑体" w:eastAsia="黑体" w:cs="黑体"/>
          <w:b/>
          <w:bCs/>
          <w:color w:val="000000" w:themeColor="text1"/>
          <w:sz w:val="48"/>
          <w:szCs w:val="48"/>
          <w14:textFill>
            <w14:solidFill>
              <w14:schemeClr w14:val="tx1"/>
            </w14:solidFill>
          </w14:textFill>
        </w:rPr>
        <w:t>四川宏达股份有限公司</w:t>
      </w:r>
    </w:p>
    <w:p w14:paraId="57D8DA64">
      <w:pPr>
        <w:autoSpaceDE w:val="0"/>
        <w:autoSpaceDN w:val="0"/>
        <w:adjustRightInd w:val="0"/>
        <w:spacing w:before="100" w:after="100"/>
        <w:jc w:val="center"/>
        <w:rPr>
          <w:rFonts w:hint="eastAsia" w:ascii="黑体" w:hAnsi="黑体" w:eastAsia="黑体" w:cs="黑体"/>
          <w:color w:val="000000" w:themeColor="text1"/>
          <w:sz w:val="84"/>
          <w:szCs w:val="84"/>
          <w:lang w:val="zh-CN"/>
          <w14:textFill>
            <w14:solidFill>
              <w14:schemeClr w14:val="tx1"/>
            </w14:solidFill>
          </w14:textFill>
        </w:rPr>
      </w:pPr>
      <w:r>
        <w:rPr>
          <w:rFonts w:hint="eastAsia" w:ascii="黑体" w:hAnsi="黑体" w:eastAsia="黑体" w:cs="黑体"/>
          <w:b/>
          <w:bCs/>
          <w:color w:val="000000" w:themeColor="text1"/>
          <w:sz w:val="48"/>
          <w:szCs w:val="48"/>
          <w:lang w:val="en-US" w:eastAsia="zh-CN"/>
          <w14:textFill>
            <w14:solidFill>
              <w14:schemeClr w14:val="tx1"/>
            </w14:solidFill>
          </w14:textFill>
        </w:rPr>
        <w:t>液氨</w:t>
      </w:r>
      <w:r>
        <w:rPr>
          <w:rFonts w:hint="eastAsia" w:ascii="黑体" w:hAnsi="黑体" w:eastAsia="黑体" w:cs="黑体"/>
          <w:b/>
          <w:bCs/>
          <w:color w:val="000000" w:themeColor="text1"/>
          <w:sz w:val="48"/>
          <w:szCs w:val="48"/>
          <w14:textFill>
            <w14:solidFill>
              <w14:schemeClr w14:val="tx1"/>
            </w14:solidFill>
          </w14:textFill>
        </w:rPr>
        <w:t>采购</w:t>
      </w:r>
    </w:p>
    <w:p w14:paraId="4959B967">
      <w:pPr>
        <w:widowControl/>
        <w:jc w:val="center"/>
        <w:rPr>
          <w:rFonts w:hint="eastAsia" w:ascii="黑体" w:hAnsi="黑体" w:eastAsia="黑体" w:cs="黑体"/>
          <w:b/>
          <w:color w:val="000000" w:themeColor="text1"/>
          <w:kern w:val="0"/>
          <w:sz w:val="72"/>
          <w:szCs w:val="72"/>
          <w14:textFill>
            <w14:solidFill>
              <w14:schemeClr w14:val="tx1"/>
            </w14:solidFill>
          </w14:textFill>
        </w:rPr>
      </w:pPr>
    </w:p>
    <w:p w14:paraId="1C5D5DE4">
      <w:pPr>
        <w:widowControl/>
        <w:jc w:val="center"/>
        <w:rPr>
          <w:rFonts w:hint="eastAsia" w:ascii="黑体" w:hAnsi="黑体" w:eastAsia="黑体" w:cs="黑体"/>
          <w:b/>
          <w:color w:val="000000" w:themeColor="text1"/>
          <w:kern w:val="0"/>
          <w:sz w:val="72"/>
          <w:szCs w:val="72"/>
          <w14:textFill>
            <w14:solidFill>
              <w14:schemeClr w14:val="tx1"/>
            </w14:solidFill>
          </w14:textFill>
        </w:rPr>
      </w:pPr>
    </w:p>
    <w:p w14:paraId="002D5A45">
      <w:pPr>
        <w:widowControl/>
        <w:jc w:val="center"/>
        <w:rPr>
          <w:rFonts w:hint="eastAsia" w:ascii="黑体" w:hAnsi="黑体" w:eastAsia="黑体" w:cs="黑体"/>
          <w:b/>
          <w:color w:val="000000" w:themeColor="text1"/>
          <w:kern w:val="0"/>
          <w:sz w:val="72"/>
          <w:szCs w:val="72"/>
          <w14:textFill>
            <w14:solidFill>
              <w14:schemeClr w14:val="tx1"/>
            </w14:solidFill>
          </w14:textFill>
        </w:rPr>
      </w:pPr>
    </w:p>
    <w:p w14:paraId="096C1EFA">
      <w:pPr>
        <w:widowControl/>
        <w:jc w:val="center"/>
        <w:rPr>
          <w:rFonts w:hint="eastAsia" w:ascii="黑体" w:hAnsi="黑体" w:eastAsia="黑体" w:cs="黑体"/>
          <w:b/>
          <w:color w:val="000000" w:themeColor="text1"/>
          <w:kern w:val="0"/>
          <w:sz w:val="72"/>
          <w:szCs w:val="72"/>
          <w14:textFill>
            <w14:solidFill>
              <w14:schemeClr w14:val="tx1"/>
            </w14:solidFill>
          </w14:textFill>
        </w:rPr>
      </w:pPr>
      <w:r>
        <w:rPr>
          <w:rFonts w:hint="eastAsia" w:ascii="黑体" w:hAnsi="黑体" w:eastAsia="黑体" w:cs="黑体"/>
          <w:b/>
          <w:color w:val="000000" w:themeColor="text1"/>
          <w:kern w:val="0"/>
          <w:sz w:val="72"/>
          <w:szCs w:val="72"/>
          <w14:textFill>
            <w14:solidFill>
              <w14:schemeClr w14:val="tx1"/>
            </w14:solidFill>
          </w14:textFill>
        </w:rPr>
        <w:t>比选文件</w:t>
      </w:r>
    </w:p>
    <w:p w14:paraId="5186135B">
      <w:pPr>
        <w:spacing w:line="360" w:lineRule="auto"/>
        <w:ind w:left="-2" w:leftChars="-1"/>
        <w:jc w:val="center"/>
        <w:rPr>
          <w:rFonts w:hint="eastAsia" w:ascii="黑体" w:hAnsi="黑体" w:eastAsia="黑体" w:cs="黑体"/>
          <w:b w:val="0"/>
          <w:bCs/>
          <w:color w:val="000000" w:themeColor="text1"/>
          <w:kern w:val="0"/>
          <w:sz w:val="32"/>
          <w:szCs w:val="32"/>
          <w14:textFill>
            <w14:solidFill>
              <w14:schemeClr w14:val="tx1"/>
            </w14:solidFill>
          </w14:textFill>
        </w:rPr>
      </w:pPr>
    </w:p>
    <w:p w14:paraId="191E9533">
      <w:pPr>
        <w:spacing w:line="360" w:lineRule="auto"/>
        <w:ind w:left="-2" w:leftChars="-1"/>
        <w:jc w:val="center"/>
        <w:rPr>
          <w:rFonts w:hint="eastAsia" w:ascii="黑体" w:hAnsi="黑体" w:eastAsia="黑体" w:cs="黑体"/>
          <w:b w:val="0"/>
          <w:bCs/>
          <w:color w:val="000000" w:themeColor="text1"/>
          <w:sz w:val="24"/>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编号：HDGF-GKBX-2026-HW16</w:t>
      </w:r>
      <w:r>
        <w:rPr>
          <w:rFonts w:hint="eastAsia" w:ascii="黑体" w:hAnsi="黑体" w:eastAsia="黑体" w:cs="黑体"/>
          <w:b w:val="0"/>
          <w:bCs/>
          <w:color w:val="FF0000"/>
          <w:kern w:val="0"/>
          <w:sz w:val="32"/>
          <w:szCs w:val="32"/>
        </w:rPr>
        <w:t xml:space="preserve"> </w:t>
      </w:r>
      <w:r>
        <w:rPr>
          <w:rFonts w:hint="eastAsia" w:ascii="黑体" w:hAnsi="黑体" w:eastAsia="黑体" w:cs="黑体"/>
          <w:b w:val="0"/>
          <w:bCs/>
          <w:color w:val="000000" w:themeColor="text1"/>
          <w:kern w:val="0"/>
          <w:sz w:val="32"/>
          <w:szCs w:val="32"/>
          <w14:textFill>
            <w14:solidFill>
              <w14:schemeClr w14:val="tx1"/>
            </w14:solidFill>
          </w14:textFill>
        </w:rPr>
        <w:t xml:space="preserve"> </w:t>
      </w:r>
    </w:p>
    <w:p w14:paraId="29922B69">
      <w:pPr>
        <w:spacing w:line="480" w:lineRule="auto"/>
        <w:ind w:left="1050" w:leftChars="500" w:right="1050" w:rightChars="500"/>
        <w:jc w:val="center"/>
        <w:rPr>
          <w:rFonts w:hint="eastAsia" w:ascii="黑体" w:hAnsi="黑体" w:eastAsia="黑体" w:cs="黑体"/>
          <w:color w:val="000000" w:themeColor="text1"/>
          <w:sz w:val="48"/>
          <w:szCs w:val="48"/>
          <w:lang w:val="zh-CN"/>
          <w14:textFill>
            <w14:solidFill>
              <w14:schemeClr w14:val="tx1"/>
            </w14:solidFill>
          </w14:textFill>
        </w:rPr>
      </w:pPr>
    </w:p>
    <w:p w14:paraId="06089901">
      <w:pPr>
        <w:spacing w:line="480" w:lineRule="auto"/>
        <w:ind w:left="1050" w:leftChars="500" w:right="1050" w:rightChars="500"/>
        <w:jc w:val="center"/>
        <w:rPr>
          <w:rFonts w:hint="eastAsia" w:ascii="黑体" w:hAnsi="黑体" w:eastAsia="黑体" w:cs="黑体"/>
          <w:color w:val="000000" w:themeColor="text1"/>
          <w:sz w:val="48"/>
          <w:szCs w:val="48"/>
          <w:lang w:val="zh-CN"/>
          <w14:textFill>
            <w14:solidFill>
              <w14:schemeClr w14:val="tx1"/>
            </w14:solidFill>
          </w14:textFill>
        </w:rPr>
      </w:pPr>
    </w:p>
    <w:p w14:paraId="04FDD733">
      <w:pPr>
        <w:spacing w:line="480" w:lineRule="auto"/>
        <w:ind w:left="1050" w:leftChars="500" w:right="1050" w:rightChars="500"/>
        <w:jc w:val="center"/>
        <w:rPr>
          <w:rFonts w:hint="eastAsia" w:ascii="黑体" w:hAnsi="黑体" w:eastAsia="黑体" w:cs="黑体"/>
          <w:color w:val="000000" w:themeColor="text1"/>
          <w:sz w:val="48"/>
          <w:szCs w:val="48"/>
          <w:lang w:val="zh-CN"/>
          <w14:textFill>
            <w14:solidFill>
              <w14:schemeClr w14:val="tx1"/>
            </w14:solidFill>
          </w14:textFill>
        </w:rPr>
      </w:pPr>
    </w:p>
    <w:p w14:paraId="520D47C1">
      <w:pPr>
        <w:spacing w:line="480" w:lineRule="auto"/>
        <w:ind w:left="1050" w:leftChars="500" w:right="1050" w:rightChars="500"/>
        <w:jc w:val="center"/>
        <w:rPr>
          <w:rFonts w:hint="eastAsia" w:ascii="黑体" w:hAnsi="黑体" w:eastAsia="黑体" w:cs="黑体"/>
          <w:b/>
          <w:bCs/>
          <w:color w:val="000000" w:themeColor="text1"/>
          <w:sz w:val="30"/>
          <w:szCs w:val="30"/>
          <w:u w:val="single"/>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比选人：</w:t>
      </w:r>
      <w:r>
        <w:rPr>
          <w:rFonts w:hint="eastAsia" w:ascii="黑体" w:hAnsi="黑体" w:eastAsia="黑体" w:cs="黑体"/>
          <w:b/>
          <w:bCs/>
          <w:color w:val="000000" w:themeColor="text1"/>
          <w:sz w:val="30"/>
          <w:szCs w:val="30"/>
          <w:u w:val="single"/>
          <w14:textFill>
            <w14:solidFill>
              <w14:schemeClr w14:val="tx1"/>
            </w14:solidFill>
          </w14:textFill>
        </w:rPr>
        <w:t>四川宏达股份有限公司</w:t>
      </w:r>
    </w:p>
    <w:p w14:paraId="7DCBBCB8">
      <w:pPr>
        <w:autoSpaceDE w:val="0"/>
        <w:autoSpaceDN w:val="0"/>
        <w:adjustRightInd w:val="0"/>
        <w:spacing w:line="480" w:lineRule="auto"/>
        <w:jc w:val="center"/>
        <w:rPr>
          <w:rFonts w:hint="eastAsia" w:ascii="黑体" w:hAnsi="黑体" w:eastAsia="黑体" w:cs="黑体"/>
          <w:b/>
          <w:color w:val="000000" w:themeColor="text1"/>
          <w:sz w:val="30"/>
          <w:szCs w:val="30"/>
          <w14:textFill>
            <w14:solidFill>
              <w14:schemeClr w14:val="tx1"/>
            </w14:solidFill>
          </w14:textFill>
        </w:rPr>
        <w:sectPr>
          <w:footerReference r:id="rId5" w:type="first"/>
          <w:headerReference r:id="rId3" w:type="default"/>
          <w:footerReference r:id="rId4" w:type="default"/>
          <w:pgSz w:w="11906" w:h="16838"/>
          <w:pgMar w:top="1440" w:right="1800" w:bottom="1440" w:left="1800" w:header="851" w:footer="992" w:gutter="0"/>
          <w:cols w:space="720" w:num="1"/>
          <w:docGrid w:linePitch="312" w:charSpace="0"/>
        </w:sectPr>
      </w:pPr>
      <w:r>
        <w:rPr>
          <w:rFonts w:hint="eastAsia" w:ascii="黑体" w:hAnsi="黑体" w:eastAsia="黑体" w:cs="黑体"/>
          <w:b/>
          <w:bCs/>
          <w:color w:val="000000" w:themeColor="text1"/>
          <w:sz w:val="30"/>
          <w:szCs w:val="30"/>
          <w:lang w:val="zh-CN"/>
          <w14:textFill>
            <w14:solidFill>
              <w14:schemeClr w14:val="tx1"/>
            </w14:solidFill>
          </w14:textFill>
        </w:rPr>
        <w:t>20</w:t>
      </w:r>
      <w:r>
        <w:rPr>
          <w:rFonts w:hint="eastAsia" w:ascii="黑体" w:hAnsi="黑体" w:eastAsia="黑体" w:cs="黑体"/>
          <w:b/>
          <w:bCs/>
          <w:color w:val="000000" w:themeColor="text1"/>
          <w:sz w:val="30"/>
          <w:szCs w:val="30"/>
          <w14:textFill>
            <w14:solidFill>
              <w14:schemeClr w14:val="tx1"/>
            </w14:solidFill>
          </w14:textFill>
        </w:rPr>
        <w:t>2</w:t>
      </w:r>
      <w:r>
        <w:rPr>
          <w:rFonts w:hint="eastAsia" w:ascii="黑体" w:hAnsi="黑体" w:eastAsia="黑体" w:cs="黑体"/>
          <w:b/>
          <w:bCs/>
          <w:color w:val="000000" w:themeColor="text1"/>
          <w:sz w:val="30"/>
          <w:szCs w:val="30"/>
          <w:lang w:val="en-US" w:eastAsia="zh-CN"/>
          <w14:textFill>
            <w14:solidFill>
              <w14:schemeClr w14:val="tx1"/>
            </w14:solidFill>
          </w14:textFill>
        </w:rPr>
        <w:t>6</w:t>
      </w:r>
      <w:r>
        <w:rPr>
          <w:rFonts w:hint="eastAsia" w:ascii="黑体" w:hAnsi="黑体" w:eastAsia="黑体" w:cs="黑体"/>
          <w:b/>
          <w:bCs/>
          <w:color w:val="000000" w:themeColor="text1"/>
          <w:sz w:val="30"/>
          <w:szCs w:val="30"/>
          <w:lang w:val="zh-CN"/>
          <w14:textFill>
            <w14:solidFill>
              <w14:schemeClr w14:val="tx1"/>
            </w14:solidFill>
          </w14:textFill>
        </w:rPr>
        <w:t>年</w:t>
      </w:r>
      <w:r>
        <w:rPr>
          <w:rFonts w:hint="eastAsia" w:ascii="黑体" w:hAnsi="黑体" w:eastAsia="黑体" w:cs="黑体"/>
          <w:b/>
          <w:bCs/>
          <w:color w:val="000000" w:themeColor="text1"/>
          <w:sz w:val="30"/>
          <w:szCs w:val="30"/>
          <w:lang w:val="en-US" w:eastAsia="zh-CN"/>
          <w14:textFill>
            <w14:solidFill>
              <w14:schemeClr w14:val="tx1"/>
            </w14:solidFill>
          </w14:textFill>
        </w:rPr>
        <w:t>5</w:t>
      </w:r>
      <w:r>
        <w:rPr>
          <w:rFonts w:hint="eastAsia" w:ascii="黑体" w:hAnsi="黑体" w:eastAsia="黑体" w:cs="黑体"/>
          <w:b/>
          <w:bCs/>
          <w:color w:val="000000" w:themeColor="text1"/>
          <w:sz w:val="30"/>
          <w:szCs w:val="30"/>
          <w14:textFill>
            <w14:solidFill>
              <w14:schemeClr w14:val="tx1"/>
            </w14:solidFill>
          </w14:textFill>
        </w:rPr>
        <w:t>月</w:t>
      </w:r>
      <w:r>
        <w:rPr>
          <w:rFonts w:hint="eastAsia" w:ascii="黑体" w:hAnsi="黑体" w:eastAsia="黑体" w:cs="黑体"/>
          <w:b/>
          <w:bCs/>
          <w:color w:val="000000" w:themeColor="text1"/>
          <w:sz w:val="30"/>
          <w:szCs w:val="30"/>
          <w:lang w:val="en-US" w:eastAsia="zh-CN"/>
          <w14:textFill>
            <w14:solidFill>
              <w14:schemeClr w14:val="tx1"/>
            </w14:solidFill>
          </w14:textFill>
        </w:rPr>
        <w:t>7</w:t>
      </w:r>
      <w:r>
        <w:rPr>
          <w:rFonts w:hint="eastAsia" w:ascii="黑体" w:hAnsi="黑体" w:eastAsia="黑体" w:cs="黑体"/>
          <w:b/>
          <w:bCs/>
          <w:color w:val="000000" w:themeColor="text1"/>
          <w:sz w:val="30"/>
          <w:szCs w:val="30"/>
          <w14:textFill>
            <w14:solidFill>
              <w14:schemeClr w14:val="tx1"/>
            </w14:solidFill>
          </w14:textFill>
        </w:rPr>
        <w:t>日</w:t>
      </w:r>
    </w:p>
    <w:p w14:paraId="0421BE4E">
      <w:pPr>
        <w:widowControl/>
        <w:shd w:val="clear" w:color="auto" w:fill="FFFFFF"/>
        <w:spacing w:line="400" w:lineRule="exact"/>
        <w:jc w:val="center"/>
        <w:rPr>
          <w:rFonts w:hint="eastAsia" w:ascii="黑体" w:hAnsi="黑体" w:eastAsia="黑体" w:cs="黑体"/>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14:textFill>
            <w14:solidFill>
              <w14:schemeClr w14:val="tx1"/>
            </w14:solidFill>
          </w14:textFill>
        </w:rPr>
        <w:t>四川宏达股份有限公司</w:t>
      </w:r>
    </w:p>
    <w:p w14:paraId="5980774D">
      <w:pPr>
        <w:jc w:val="center"/>
        <w:rPr>
          <w:rFonts w:hint="eastAsia" w:ascii="黑体" w:hAnsi="黑体" w:eastAsia="黑体" w:cs="黑体"/>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lang w:val="en-US" w:eastAsia="zh-CN"/>
          <w14:textFill>
            <w14:solidFill>
              <w14:schemeClr w14:val="tx1"/>
            </w14:solidFill>
          </w14:textFill>
        </w:rPr>
        <w:t>液氨</w:t>
      </w:r>
      <w:r>
        <w:rPr>
          <w:rFonts w:hint="eastAsia" w:ascii="黑体" w:hAnsi="黑体" w:eastAsia="黑体" w:cs="黑体"/>
          <w:b/>
          <w:color w:val="000000" w:themeColor="text1"/>
          <w:kern w:val="0"/>
          <w:sz w:val="32"/>
          <w:szCs w:val="32"/>
          <w14:textFill>
            <w14:solidFill>
              <w14:schemeClr w14:val="tx1"/>
            </w14:solidFill>
          </w14:textFill>
        </w:rPr>
        <w:t>采购比选文件</w:t>
      </w:r>
    </w:p>
    <w:p w14:paraId="06F41EA1">
      <w:pPr>
        <w:spacing w:line="360" w:lineRule="auto"/>
        <w:jc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b/>
          <w:color w:val="000000" w:themeColor="text1"/>
          <w:kern w:val="0"/>
          <w:szCs w:val="21"/>
          <w:lang w:val="en-US" w:eastAsia="zh-CN"/>
          <w14:textFill>
            <w14:solidFill>
              <w14:schemeClr w14:val="tx1"/>
            </w14:solidFill>
          </w14:textFill>
        </w:rPr>
        <w:t xml:space="preserve">                                     </w:t>
      </w:r>
      <w:r>
        <w:rPr>
          <w:rFonts w:hint="eastAsia" w:ascii="黑体" w:hAnsi="黑体" w:eastAsia="黑体" w:cs="黑体"/>
          <w:b/>
          <w:color w:val="000000" w:themeColor="text1"/>
          <w:kern w:val="0"/>
          <w:szCs w:val="21"/>
          <w14:textFill>
            <w14:solidFill>
              <w14:schemeClr w14:val="tx1"/>
            </w14:solidFill>
          </w14:textFill>
        </w:rPr>
        <w:t xml:space="preserve">编号：HDGF-GKBX-2026-HW16  </w:t>
      </w:r>
    </w:p>
    <w:p w14:paraId="45485503">
      <w:pPr>
        <w:pageBreakBefore w:val="0"/>
        <w:kinsoku/>
        <w:wordWrap/>
        <w:overflowPunct/>
        <w:topLinePunct w:val="0"/>
        <w:bidi w:val="0"/>
        <w:spacing w:line="500" w:lineRule="exact"/>
        <w:rPr>
          <w:rFonts w:hint="eastAsia" w:ascii="黑体" w:hAnsi="黑体" w:eastAsia="黑体" w:cs="黑体"/>
          <w:b/>
          <w:color w:val="000000" w:themeColor="text1"/>
          <w:sz w:val="28"/>
          <w:szCs w:val="28"/>
          <w14:textFill>
            <w14:solidFill>
              <w14:schemeClr w14:val="tx1"/>
            </w14:solidFill>
          </w14:textFill>
        </w:rPr>
      </w:pPr>
      <w:r>
        <w:rPr>
          <w:rFonts w:hint="eastAsia" w:ascii="黑体" w:hAnsi="黑体" w:eastAsia="黑体" w:cs="黑体"/>
          <w:b/>
          <w:color w:val="000000" w:themeColor="text1"/>
          <w:sz w:val="28"/>
          <w:szCs w:val="28"/>
          <w14:textFill>
            <w14:solidFill>
              <w14:schemeClr w14:val="tx1"/>
            </w14:solidFill>
          </w14:textFill>
        </w:rPr>
        <w:t>各供应商单位：</w:t>
      </w:r>
    </w:p>
    <w:p w14:paraId="4588A74F">
      <w:pPr>
        <w:pageBreakBefore w:val="0"/>
        <w:kinsoku/>
        <w:wordWrap/>
        <w:overflowPunct/>
        <w:topLinePunct w:val="0"/>
        <w:bidi w:val="0"/>
        <w:spacing w:line="500" w:lineRule="exact"/>
        <w:ind w:firstLine="560" w:firstLineChars="200"/>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四川宏达股份有限公司因</w:t>
      </w:r>
      <w:r>
        <w:rPr>
          <w:rFonts w:hint="eastAsia" w:ascii="黑体" w:hAnsi="黑体" w:eastAsia="黑体" w:cs="黑体"/>
          <w:color w:val="auto"/>
          <w:kern w:val="0"/>
          <w:sz w:val="28"/>
          <w:szCs w:val="28"/>
          <w:lang w:val="en-US" w:eastAsia="zh-CN"/>
        </w:rPr>
        <w:t>磷铵</w:t>
      </w:r>
      <w:r>
        <w:rPr>
          <w:rFonts w:hint="eastAsia" w:ascii="黑体" w:hAnsi="黑体" w:eastAsia="黑体" w:cs="黑体"/>
          <w:color w:val="auto"/>
          <w:kern w:val="0"/>
          <w:sz w:val="28"/>
          <w:szCs w:val="28"/>
        </w:rPr>
        <w:t>生产需</w:t>
      </w:r>
      <w:r>
        <w:rPr>
          <w:rFonts w:hint="eastAsia" w:ascii="黑体" w:hAnsi="黑体" w:eastAsia="黑体" w:cs="黑体"/>
          <w:color w:val="auto"/>
          <w:kern w:val="0"/>
          <w:sz w:val="28"/>
          <w:szCs w:val="28"/>
          <w:lang w:val="en-US" w:eastAsia="zh-CN"/>
        </w:rPr>
        <w:t>要</w:t>
      </w:r>
      <w:r>
        <w:rPr>
          <w:rFonts w:hint="eastAsia" w:ascii="黑体" w:hAnsi="黑体" w:eastAsia="黑体" w:cs="黑体"/>
          <w:color w:val="auto"/>
          <w:kern w:val="0"/>
          <w:sz w:val="28"/>
          <w:szCs w:val="28"/>
        </w:rPr>
        <w:t>采购</w:t>
      </w:r>
      <w:r>
        <w:rPr>
          <w:rFonts w:hint="eastAsia" w:ascii="黑体" w:hAnsi="黑体" w:eastAsia="黑体" w:cs="黑体"/>
          <w:color w:val="auto"/>
          <w:kern w:val="0"/>
          <w:sz w:val="28"/>
          <w:szCs w:val="28"/>
          <w:lang w:val="en-US" w:eastAsia="zh-CN"/>
        </w:rPr>
        <w:t>2400吨</w:t>
      </w:r>
      <w:r>
        <w:rPr>
          <w:rFonts w:hint="eastAsia" w:ascii="黑体" w:hAnsi="黑体" w:eastAsia="黑体" w:cs="黑体"/>
          <w:color w:val="auto"/>
          <w:kern w:val="0"/>
          <w:sz w:val="28"/>
          <w:szCs w:val="28"/>
          <w:lang w:eastAsia="zh-CN"/>
        </w:rPr>
        <w:t>液氨</w:t>
      </w:r>
      <w:r>
        <w:rPr>
          <w:rFonts w:hint="eastAsia" w:ascii="黑体" w:hAnsi="黑体" w:eastAsia="黑体" w:cs="黑体"/>
          <w:color w:val="auto"/>
          <w:kern w:val="0"/>
          <w:sz w:val="28"/>
          <w:szCs w:val="28"/>
        </w:rPr>
        <w:t>，本着“公开、公平、公正”的原则，现对</w:t>
      </w:r>
      <w:r>
        <w:rPr>
          <w:rFonts w:hint="eastAsia" w:ascii="黑体" w:hAnsi="黑体" w:eastAsia="黑体" w:cs="黑体"/>
          <w:color w:val="auto"/>
          <w:kern w:val="0"/>
          <w:sz w:val="28"/>
          <w:szCs w:val="28"/>
          <w:lang w:eastAsia="zh-CN"/>
        </w:rPr>
        <w:t>液氨</w:t>
      </w:r>
      <w:r>
        <w:rPr>
          <w:rFonts w:hint="eastAsia" w:ascii="黑体" w:hAnsi="黑体" w:eastAsia="黑体" w:cs="黑体"/>
          <w:color w:val="auto"/>
          <w:kern w:val="0"/>
          <w:sz w:val="28"/>
          <w:szCs w:val="28"/>
        </w:rPr>
        <w:t>进行公开比选。欢迎贵公司前来报价，现将相关事项公告如下：</w:t>
      </w:r>
    </w:p>
    <w:p w14:paraId="1ABE92D5">
      <w:pPr>
        <w:pageBreakBefore w:val="0"/>
        <w:numPr>
          <w:ilvl w:val="0"/>
          <w:numId w:val="1"/>
        </w:numPr>
        <w:kinsoku/>
        <w:wordWrap/>
        <w:overflowPunct/>
        <w:topLinePunct w:val="0"/>
        <w:bidi w:val="0"/>
        <w:spacing w:line="500" w:lineRule="exac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标的物：</w:t>
      </w:r>
    </w:p>
    <w:p w14:paraId="4AE661B8">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1.</w:t>
      </w:r>
      <w:r>
        <w:rPr>
          <w:rFonts w:hint="eastAsia" w:ascii="黑体" w:hAnsi="黑体" w:eastAsia="黑体" w:cs="黑体"/>
          <w:color w:val="auto"/>
          <w:kern w:val="0"/>
          <w:sz w:val="28"/>
          <w:szCs w:val="28"/>
        </w:rPr>
        <w:t>名称：</w:t>
      </w:r>
      <w:r>
        <w:rPr>
          <w:rFonts w:hint="eastAsia" w:ascii="黑体" w:hAnsi="黑体" w:eastAsia="黑体" w:cs="黑体"/>
          <w:color w:val="auto"/>
          <w:kern w:val="0"/>
          <w:sz w:val="28"/>
          <w:szCs w:val="28"/>
          <w:lang w:val="en-US" w:eastAsia="zh-CN"/>
        </w:rPr>
        <w:t>液氨</w:t>
      </w:r>
    </w:p>
    <w:p w14:paraId="2797EEC6">
      <w:pPr>
        <w:pageBreakBefore w:val="0"/>
        <w:kinsoku/>
        <w:wordWrap/>
        <w:overflowPunct/>
        <w:topLinePunct w:val="0"/>
        <w:bidi w:val="0"/>
        <w:spacing w:line="500" w:lineRule="exact"/>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数量：</w:t>
      </w:r>
      <w:r>
        <w:rPr>
          <w:rFonts w:hint="eastAsia" w:ascii="黑体" w:hAnsi="黑体" w:eastAsia="黑体" w:cs="黑体"/>
          <w:color w:val="auto"/>
          <w:kern w:val="0"/>
          <w:sz w:val="28"/>
          <w:szCs w:val="28"/>
          <w:lang w:val="en-US" w:eastAsia="zh-CN"/>
        </w:rPr>
        <w:t>2400</w:t>
      </w:r>
      <w:r>
        <w:rPr>
          <w:rFonts w:hint="eastAsia" w:ascii="黑体" w:hAnsi="黑体" w:eastAsia="黑体" w:cs="黑体"/>
          <w:color w:val="auto"/>
          <w:kern w:val="0"/>
          <w:sz w:val="28"/>
          <w:szCs w:val="28"/>
        </w:rPr>
        <w:t>吨</w:t>
      </w:r>
    </w:p>
    <w:p w14:paraId="5DA93B09">
      <w:pPr>
        <w:pageBreakBefore w:val="0"/>
        <w:kinsoku/>
        <w:wordWrap/>
        <w:overflowPunct/>
        <w:topLinePunct w:val="0"/>
        <w:bidi w:val="0"/>
        <w:spacing w:line="500" w:lineRule="exact"/>
        <w:rPr>
          <w:rFonts w:hint="eastAsia"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 xml:space="preserve">二、比选人：四川宏达股份有限公司  </w:t>
      </w:r>
    </w:p>
    <w:p w14:paraId="25F08C61">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三、具体内容及要求：</w:t>
      </w:r>
    </w:p>
    <w:p w14:paraId="0A67758A">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1.质量标准及要求</w:t>
      </w:r>
    </w:p>
    <w:p w14:paraId="45E17A40">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①质量要求：NH3≥99.0%。②检测依据:按GB/T536-2017标准检测。</w:t>
      </w:r>
    </w:p>
    <w:p w14:paraId="2E297987">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2.交货地点及方式</w:t>
      </w:r>
    </w:p>
    <w:p w14:paraId="13DE53D4">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bCs/>
          <w:color w:val="000000" w:themeColor="text1"/>
          <w:sz w:val="24"/>
          <w:szCs w:val="24"/>
          <w:lang w:eastAsia="zh-CN"/>
          <w14:textFill>
            <w14:solidFill>
              <w14:schemeClr w14:val="tx1"/>
            </w14:solidFill>
          </w14:textFill>
        </w:rPr>
        <w:t>①</w:t>
      </w:r>
      <w:r>
        <w:rPr>
          <w:rFonts w:hint="eastAsia" w:ascii="黑体" w:hAnsi="黑体" w:eastAsia="黑体" w:cs="黑体"/>
          <w:color w:val="000000" w:themeColor="text1"/>
          <w:kern w:val="0"/>
          <w:sz w:val="28"/>
          <w:szCs w:val="28"/>
          <w14:textFill>
            <w14:solidFill>
              <w14:schemeClr w14:val="tx1"/>
            </w14:solidFill>
          </w14:textFill>
        </w:rPr>
        <w:t>交货地点：</w:t>
      </w:r>
      <w:r>
        <w:rPr>
          <w:rFonts w:hint="eastAsia" w:ascii="黑体" w:hAnsi="黑体" w:eastAsia="黑体" w:cs="黑体"/>
          <w:color w:val="000000" w:themeColor="text1"/>
          <w:kern w:val="0"/>
          <w:sz w:val="28"/>
          <w:szCs w:val="28"/>
          <w:lang w:val="en-US" w:eastAsia="zh-CN"/>
          <w14:textFill>
            <w14:solidFill>
              <w14:schemeClr w14:val="tx1"/>
            </w14:solidFill>
          </w14:textFill>
        </w:rPr>
        <w:t>宏达股份</w:t>
      </w:r>
      <w:r>
        <w:rPr>
          <w:rFonts w:hint="eastAsia" w:ascii="黑体" w:hAnsi="黑体" w:eastAsia="黑体" w:cs="黑体"/>
          <w:color w:val="000000" w:themeColor="text1"/>
          <w:kern w:val="0"/>
          <w:sz w:val="28"/>
          <w:szCs w:val="28"/>
          <w:lang w:eastAsia="zh-CN"/>
          <w14:textFill>
            <w14:solidFill>
              <w14:schemeClr w14:val="tx1"/>
            </w14:solidFill>
          </w14:textFill>
        </w:rPr>
        <w:t>什邡磷化工分公司</w:t>
      </w:r>
      <w:r>
        <w:rPr>
          <w:rFonts w:hint="eastAsia" w:ascii="黑体" w:hAnsi="黑体" w:eastAsia="黑体" w:cs="黑体"/>
          <w:color w:val="000000" w:themeColor="text1"/>
          <w:kern w:val="0"/>
          <w:sz w:val="28"/>
          <w:szCs w:val="28"/>
          <w14:textFill>
            <w14:solidFill>
              <w14:schemeClr w14:val="tx1"/>
            </w14:solidFill>
          </w14:textFill>
        </w:rPr>
        <w:t>氨站（什邡市洛水镇）。</w:t>
      </w:r>
    </w:p>
    <w:p w14:paraId="4E5929B1">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bCs/>
          <w:color w:val="000000" w:themeColor="text1"/>
          <w:sz w:val="24"/>
          <w:szCs w:val="24"/>
          <w:lang w:eastAsia="zh-CN"/>
          <w14:textFill>
            <w14:solidFill>
              <w14:schemeClr w14:val="tx1"/>
            </w14:solidFill>
          </w14:textFill>
        </w:rPr>
        <w:t>②</w:t>
      </w:r>
      <w:r>
        <w:rPr>
          <w:rFonts w:hint="eastAsia" w:ascii="黑体" w:hAnsi="黑体" w:eastAsia="黑体" w:cs="黑体"/>
          <w:color w:val="000000" w:themeColor="text1"/>
          <w:kern w:val="0"/>
          <w:sz w:val="28"/>
          <w:szCs w:val="28"/>
          <w14:textFill>
            <w14:solidFill>
              <w14:schemeClr w14:val="tx1"/>
            </w14:solidFill>
          </w14:textFill>
        </w:rPr>
        <w:t>交货方式：</w:t>
      </w:r>
      <w:r>
        <w:rPr>
          <w:rFonts w:hint="eastAsia" w:ascii="黑体" w:hAnsi="黑体" w:eastAsia="黑体" w:cs="黑体"/>
          <w:color w:val="000000" w:themeColor="text1"/>
          <w:kern w:val="0"/>
          <w:sz w:val="28"/>
          <w:szCs w:val="28"/>
          <w:lang w:val="en-US" w:eastAsia="zh-CN"/>
          <w14:textFill>
            <w14:solidFill>
              <w14:schemeClr w14:val="tx1"/>
            </w14:solidFill>
          </w14:textFill>
        </w:rPr>
        <w:t>中选方于合同期内，按合同总量均衡送货至</w:t>
      </w:r>
      <w:r>
        <w:rPr>
          <w:rFonts w:hint="eastAsia" w:ascii="黑体" w:hAnsi="黑体" w:eastAsia="黑体" w:cs="黑体"/>
          <w:color w:val="000000" w:themeColor="text1"/>
          <w:kern w:val="0"/>
          <w:sz w:val="28"/>
          <w:szCs w:val="28"/>
          <w14:textFill>
            <w14:solidFill>
              <w14:schemeClr w14:val="tx1"/>
            </w14:solidFill>
          </w14:textFill>
        </w:rPr>
        <w:t>指定地点。</w:t>
      </w:r>
    </w:p>
    <w:p w14:paraId="6F67F91A">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3.运输方式</w:t>
      </w:r>
    </w:p>
    <w:p w14:paraId="29E8533F">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汽车运输，中选方应保证运输方式符合交通部规定的特种全封闭危险品罐装汽车运输规范及国家其他有关运输危险货物规定的要求，并承担因此产生的全部责任。由中选方负责货物装卸、装卸过程中的人员安全责任以及标的物交付之前的货损风险。</w:t>
      </w:r>
    </w:p>
    <w:p w14:paraId="2F7A2D80">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4.结算依据及标准</w:t>
      </w:r>
    </w:p>
    <w:p w14:paraId="594B9C75">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bCs/>
          <w:color w:val="000000" w:themeColor="text1"/>
          <w:sz w:val="24"/>
          <w:szCs w:val="24"/>
          <w:lang w:eastAsia="zh-CN"/>
          <w14:textFill>
            <w14:solidFill>
              <w14:schemeClr w14:val="tx1"/>
            </w14:solidFill>
          </w14:textFill>
        </w:rPr>
        <w:t>①</w:t>
      </w:r>
      <w:r>
        <w:rPr>
          <w:rFonts w:hint="eastAsia" w:ascii="黑体" w:hAnsi="黑体" w:eastAsia="黑体" w:cs="黑体"/>
          <w:color w:val="000000" w:themeColor="text1"/>
          <w:kern w:val="0"/>
          <w:sz w:val="28"/>
          <w:szCs w:val="28"/>
          <w:lang w:val="en-US" w:eastAsia="zh-CN"/>
          <w14:textFill>
            <w14:solidFill>
              <w14:schemeClr w14:val="tx1"/>
            </w14:solidFill>
          </w14:textFill>
        </w:rPr>
        <w:t>标的物数量验收以比选人地磅计量为准。</w:t>
      </w:r>
    </w:p>
    <w:p w14:paraId="501CC690">
      <w:pPr>
        <w:pageBreakBefore w:val="0"/>
        <w:kinsoku/>
        <w:wordWrap/>
        <w:overflowPunct/>
        <w:topLinePunct w:val="0"/>
        <w:bidi w:val="0"/>
        <w:spacing w:line="500" w:lineRule="exact"/>
        <w:rPr>
          <w:rFonts w:hint="default"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bCs/>
          <w:color w:val="000000" w:themeColor="text1"/>
          <w:sz w:val="24"/>
          <w:szCs w:val="24"/>
          <w:lang w:eastAsia="zh-CN"/>
          <w14:textFill>
            <w14:solidFill>
              <w14:schemeClr w14:val="tx1"/>
            </w14:solidFill>
          </w14:textFill>
        </w:rPr>
        <w:t>②</w:t>
      </w:r>
      <w:r>
        <w:rPr>
          <w:rFonts w:hint="eastAsia" w:ascii="黑体" w:hAnsi="黑体" w:eastAsia="黑体" w:cs="黑体"/>
          <w:color w:val="000000" w:themeColor="text1"/>
          <w:kern w:val="0"/>
          <w:sz w:val="28"/>
          <w:szCs w:val="28"/>
          <w:lang w:val="en-US" w:eastAsia="zh-CN"/>
          <w14:textFill>
            <w14:solidFill>
              <w14:schemeClr w14:val="tx1"/>
            </w14:solidFill>
          </w14:textFill>
        </w:rPr>
        <w:t>标的物质量验收以比选人检验报告为准。</w:t>
      </w:r>
    </w:p>
    <w:p w14:paraId="3872E115">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5.付款方式及发票</w:t>
      </w:r>
    </w:p>
    <w:p w14:paraId="03265421">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bCs/>
          <w:color w:val="000000" w:themeColor="text1"/>
          <w:sz w:val="24"/>
          <w:szCs w:val="24"/>
          <w:lang w:eastAsia="zh-CN"/>
          <w14:textFill>
            <w14:solidFill>
              <w14:schemeClr w14:val="tx1"/>
            </w14:solidFill>
          </w14:textFill>
        </w:rPr>
        <w:t>①</w:t>
      </w:r>
      <w:r>
        <w:rPr>
          <w:rFonts w:hint="eastAsia" w:ascii="黑体" w:hAnsi="黑体" w:eastAsia="黑体" w:cs="黑体"/>
          <w:color w:val="000000" w:themeColor="text1"/>
          <w:kern w:val="0"/>
          <w:sz w:val="28"/>
          <w:szCs w:val="28"/>
          <w:lang w:val="en-US" w:eastAsia="zh-CN"/>
          <w14:textFill>
            <w14:solidFill>
              <w14:schemeClr w14:val="tx1"/>
            </w14:solidFill>
          </w14:textFill>
        </w:rPr>
        <w:t>付款方式：先货后款，</w:t>
      </w:r>
      <w:r>
        <w:rPr>
          <w:rFonts w:hint="eastAsia" w:ascii="黑体" w:hAnsi="黑体" w:eastAsia="黑体" w:cs="黑体"/>
          <w:color w:val="auto"/>
          <w:kern w:val="0"/>
          <w:sz w:val="28"/>
          <w:szCs w:val="28"/>
          <w:lang w:val="en-US" w:eastAsia="zh-CN"/>
        </w:rPr>
        <w:t>现汇支付。</w:t>
      </w:r>
    </w:p>
    <w:p w14:paraId="6899B5A2">
      <w:pPr>
        <w:pageBreakBefore w:val="0"/>
        <w:kinsoku/>
        <w:wordWrap/>
        <w:overflowPunct/>
        <w:topLinePunct w:val="0"/>
        <w:bidi w:val="0"/>
        <w:spacing w:line="500" w:lineRule="exact"/>
        <w:rPr>
          <w:rFonts w:hint="eastAsia" w:ascii="黑体" w:hAnsi="黑体" w:eastAsia="黑体"/>
          <w:bCs/>
          <w:color w:val="000000" w:themeColor="text1"/>
          <w:sz w:val="28"/>
          <w:szCs w:val="28"/>
          <w:lang w:val="en-US" w:eastAsia="zh-CN"/>
          <w14:textFill>
            <w14:solidFill>
              <w14:schemeClr w14:val="tx1"/>
            </w14:solidFill>
          </w14:textFill>
        </w:rPr>
      </w:pPr>
      <w:r>
        <w:rPr>
          <w:rFonts w:hint="eastAsia" w:ascii="黑体" w:hAnsi="黑体" w:eastAsia="黑体"/>
          <w:bCs/>
          <w:color w:val="000000" w:themeColor="text1"/>
          <w:sz w:val="28"/>
          <w:szCs w:val="28"/>
          <w:lang w:eastAsia="zh-CN"/>
          <w14:textFill>
            <w14:solidFill>
              <w14:schemeClr w14:val="tx1"/>
            </w14:solidFill>
          </w14:textFill>
        </w:rPr>
        <w:t>②</w:t>
      </w:r>
      <w:r>
        <w:rPr>
          <w:rFonts w:hint="eastAsia" w:ascii="黑体" w:hAnsi="黑体" w:eastAsia="黑体" w:cs="黑体"/>
          <w:color w:val="000000" w:themeColor="text1"/>
          <w:kern w:val="0"/>
          <w:sz w:val="28"/>
          <w:szCs w:val="28"/>
          <w:lang w:val="en-US" w:eastAsia="zh-CN"/>
          <w14:textFill>
            <w14:solidFill>
              <w14:schemeClr w14:val="tx1"/>
            </w14:solidFill>
          </w14:textFill>
        </w:rPr>
        <w:t>发票：中选方应开具</w:t>
      </w:r>
      <w:bookmarkStart w:id="0" w:name="_Hlk61427328"/>
      <w:r>
        <w:rPr>
          <w:rFonts w:hint="eastAsia" w:ascii="黑体" w:hAnsi="黑体" w:eastAsia="黑体" w:cs="黑体"/>
          <w:color w:val="000000" w:themeColor="text1"/>
          <w:kern w:val="0"/>
          <w:sz w:val="28"/>
          <w:szCs w:val="28"/>
          <w:lang w:val="en-US" w:eastAsia="zh-CN"/>
          <w14:textFill>
            <w14:solidFill>
              <w14:schemeClr w14:val="tx1"/>
            </w14:solidFill>
          </w14:textFill>
        </w:rPr>
        <w:t>合法有效的符合比选人要求</w:t>
      </w:r>
      <w:bookmarkEnd w:id="0"/>
      <w:r>
        <w:rPr>
          <w:rFonts w:hint="eastAsia" w:ascii="黑体" w:hAnsi="黑体" w:eastAsia="黑体" w:cs="黑体"/>
          <w:color w:val="000000" w:themeColor="text1"/>
          <w:kern w:val="0"/>
          <w:sz w:val="28"/>
          <w:szCs w:val="28"/>
          <w:lang w:val="en-US" w:eastAsia="zh-CN"/>
          <w14:textFill>
            <w14:solidFill>
              <w14:schemeClr w14:val="tx1"/>
            </w14:solidFill>
          </w14:textFill>
        </w:rPr>
        <w:t>的全额增值税专用</w:t>
      </w:r>
      <w:r>
        <w:rPr>
          <w:rFonts w:hint="eastAsia" w:ascii="黑体" w:hAnsi="黑体" w:eastAsia="黑体"/>
          <w:bCs/>
          <w:color w:val="000000" w:themeColor="text1"/>
          <w:sz w:val="28"/>
          <w:szCs w:val="28"/>
          <w:lang w:val="en-US" w:eastAsia="zh-CN"/>
          <w14:textFill>
            <w14:solidFill>
              <w14:schemeClr w14:val="tx1"/>
            </w14:solidFill>
          </w14:textFill>
        </w:rPr>
        <w:t>发票（税率13%）。</w:t>
      </w:r>
    </w:p>
    <w:p w14:paraId="5C0182FC">
      <w:pPr>
        <w:pageBreakBefore w:val="0"/>
        <w:kinsoku/>
        <w:wordWrap/>
        <w:overflowPunct/>
        <w:topLinePunct w:val="0"/>
        <w:bidi w:val="0"/>
        <w:spacing w:line="500" w:lineRule="exact"/>
        <w:rPr>
          <w:rFonts w:hint="eastAsia" w:ascii="黑体" w:hAnsi="黑体" w:eastAsia="黑体"/>
          <w:bCs/>
          <w:color w:val="000000" w:themeColor="text1"/>
          <w:sz w:val="28"/>
          <w:szCs w:val="28"/>
          <w:lang w:eastAsia="zh-CN"/>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6.交货时间</w:t>
      </w:r>
      <w:r>
        <w:rPr>
          <w:rFonts w:hint="eastAsia" w:ascii="黑体" w:hAnsi="黑体" w:eastAsia="黑体"/>
          <w:bCs/>
          <w:color w:val="000000" w:themeColor="text1"/>
          <w:sz w:val="28"/>
          <w:szCs w:val="28"/>
          <w:lang w:eastAsia="zh-CN"/>
          <w14:textFill>
            <w14:solidFill>
              <w14:schemeClr w14:val="tx1"/>
            </w14:solidFill>
          </w14:textFill>
        </w:rPr>
        <w:t>：自202</w:t>
      </w:r>
      <w:r>
        <w:rPr>
          <w:rFonts w:hint="eastAsia" w:ascii="黑体" w:hAnsi="黑体" w:eastAsia="黑体"/>
          <w:bCs/>
          <w:color w:val="000000" w:themeColor="text1"/>
          <w:sz w:val="28"/>
          <w:szCs w:val="28"/>
          <w:lang w:val="en-US" w:eastAsia="zh-CN"/>
          <w14:textFill>
            <w14:solidFill>
              <w14:schemeClr w14:val="tx1"/>
            </w14:solidFill>
          </w14:textFill>
        </w:rPr>
        <w:t>6</w:t>
      </w:r>
      <w:r>
        <w:rPr>
          <w:rFonts w:hint="eastAsia" w:ascii="黑体" w:hAnsi="黑体" w:eastAsia="黑体"/>
          <w:bCs/>
          <w:color w:val="000000" w:themeColor="text1"/>
          <w:sz w:val="28"/>
          <w:szCs w:val="28"/>
          <w:lang w:eastAsia="zh-CN"/>
          <w14:textFill>
            <w14:solidFill>
              <w14:schemeClr w14:val="tx1"/>
            </w14:solidFill>
          </w14:textFill>
        </w:rPr>
        <w:t>年</w:t>
      </w:r>
      <w:r>
        <w:rPr>
          <w:rFonts w:hint="eastAsia" w:ascii="黑体" w:hAnsi="黑体" w:eastAsia="黑体"/>
          <w:bCs/>
          <w:color w:val="000000" w:themeColor="text1"/>
          <w:sz w:val="28"/>
          <w:szCs w:val="28"/>
          <w:lang w:val="en-US" w:eastAsia="zh-CN"/>
          <w14:textFill>
            <w14:solidFill>
              <w14:schemeClr w14:val="tx1"/>
            </w14:solidFill>
          </w14:textFill>
        </w:rPr>
        <w:t>5</w:t>
      </w:r>
      <w:r>
        <w:rPr>
          <w:rFonts w:hint="eastAsia" w:ascii="黑体" w:hAnsi="黑体" w:eastAsia="黑体"/>
          <w:bCs/>
          <w:color w:val="000000" w:themeColor="text1"/>
          <w:sz w:val="28"/>
          <w:szCs w:val="28"/>
          <w:lang w:eastAsia="zh-CN"/>
          <w14:textFill>
            <w14:solidFill>
              <w14:schemeClr w14:val="tx1"/>
            </w14:solidFill>
          </w14:textFill>
        </w:rPr>
        <w:t>月</w:t>
      </w:r>
      <w:r>
        <w:rPr>
          <w:rFonts w:hint="eastAsia" w:ascii="黑体" w:hAnsi="黑体" w:eastAsia="黑体"/>
          <w:bCs/>
          <w:color w:val="000000" w:themeColor="text1"/>
          <w:sz w:val="28"/>
          <w:szCs w:val="28"/>
          <w:lang w:val="en-US" w:eastAsia="zh-CN"/>
          <w14:textFill>
            <w14:solidFill>
              <w14:schemeClr w14:val="tx1"/>
            </w14:solidFill>
          </w14:textFill>
        </w:rPr>
        <w:t>12</w:t>
      </w:r>
      <w:r>
        <w:rPr>
          <w:rFonts w:hint="eastAsia" w:ascii="黑体" w:hAnsi="黑体" w:eastAsia="黑体"/>
          <w:bCs/>
          <w:color w:val="000000" w:themeColor="text1"/>
          <w:sz w:val="28"/>
          <w:szCs w:val="28"/>
          <w:lang w:eastAsia="zh-CN"/>
          <w14:textFill>
            <w14:solidFill>
              <w14:schemeClr w14:val="tx1"/>
            </w14:solidFill>
          </w14:textFill>
        </w:rPr>
        <w:t>日起至202</w:t>
      </w:r>
      <w:r>
        <w:rPr>
          <w:rFonts w:hint="eastAsia" w:ascii="黑体" w:hAnsi="黑体" w:eastAsia="黑体"/>
          <w:bCs/>
          <w:color w:val="000000" w:themeColor="text1"/>
          <w:sz w:val="28"/>
          <w:szCs w:val="28"/>
          <w:lang w:val="en-US" w:eastAsia="zh-CN"/>
          <w14:textFill>
            <w14:solidFill>
              <w14:schemeClr w14:val="tx1"/>
            </w14:solidFill>
          </w14:textFill>
        </w:rPr>
        <w:t>6</w:t>
      </w:r>
      <w:r>
        <w:rPr>
          <w:rFonts w:hint="eastAsia" w:ascii="黑体" w:hAnsi="黑体" w:eastAsia="黑体"/>
          <w:bCs/>
          <w:color w:val="000000" w:themeColor="text1"/>
          <w:sz w:val="28"/>
          <w:szCs w:val="28"/>
          <w:lang w:eastAsia="zh-CN"/>
          <w14:textFill>
            <w14:solidFill>
              <w14:schemeClr w14:val="tx1"/>
            </w14:solidFill>
          </w14:textFill>
        </w:rPr>
        <w:t>年</w:t>
      </w:r>
      <w:r>
        <w:rPr>
          <w:rFonts w:hint="eastAsia" w:ascii="黑体" w:hAnsi="黑体" w:eastAsia="黑体"/>
          <w:bCs/>
          <w:color w:val="000000" w:themeColor="text1"/>
          <w:sz w:val="28"/>
          <w:szCs w:val="28"/>
          <w:lang w:val="en-US" w:eastAsia="zh-CN"/>
          <w14:textFill>
            <w14:solidFill>
              <w14:schemeClr w14:val="tx1"/>
            </w14:solidFill>
          </w14:textFill>
        </w:rPr>
        <w:t>5</w:t>
      </w:r>
      <w:r>
        <w:rPr>
          <w:rFonts w:hint="eastAsia" w:ascii="黑体" w:hAnsi="黑体" w:eastAsia="黑体"/>
          <w:bCs/>
          <w:color w:val="000000" w:themeColor="text1"/>
          <w:sz w:val="28"/>
          <w:szCs w:val="28"/>
          <w:lang w:eastAsia="zh-CN"/>
          <w14:textFill>
            <w14:solidFill>
              <w14:schemeClr w14:val="tx1"/>
            </w14:solidFill>
          </w14:textFill>
        </w:rPr>
        <w:t>月</w:t>
      </w:r>
      <w:r>
        <w:rPr>
          <w:rFonts w:hint="eastAsia" w:ascii="黑体" w:hAnsi="黑体" w:eastAsia="黑体"/>
          <w:bCs/>
          <w:color w:val="000000" w:themeColor="text1"/>
          <w:sz w:val="28"/>
          <w:szCs w:val="28"/>
          <w:lang w:val="en-US" w:eastAsia="zh-CN"/>
          <w14:textFill>
            <w14:solidFill>
              <w14:schemeClr w14:val="tx1"/>
            </w14:solidFill>
          </w14:textFill>
        </w:rPr>
        <w:t>31</w:t>
      </w:r>
      <w:r>
        <w:rPr>
          <w:rFonts w:hint="eastAsia" w:ascii="黑体" w:hAnsi="黑体" w:eastAsia="黑体"/>
          <w:bCs/>
          <w:color w:val="000000" w:themeColor="text1"/>
          <w:sz w:val="28"/>
          <w:szCs w:val="28"/>
          <w:lang w:eastAsia="zh-CN"/>
          <w14:textFill>
            <w14:solidFill>
              <w14:schemeClr w14:val="tx1"/>
            </w14:solidFill>
          </w14:textFill>
        </w:rPr>
        <w:t>日止。</w:t>
      </w:r>
    </w:p>
    <w:p w14:paraId="2FAE3FBC">
      <w:pPr>
        <w:pageBreakBefore w:val="0"/>
        <w:kinsoku/>
        <w:wordWrap/>
        <w:overflowPunct/>
        <w:topLinePunct w:val="0"/>
        <w:bidi w:val="0"/>
        <w:spacing w:line="500" w:lineRule="exact"/>
        <w:rPr>
          <w:rFonts w:hint="eastAsia" w:ascii="黑体" w:hAnsi="黑体" w:eastAsia="黑体"/>
          <w:bCs/>
          <w:color w:val="000000" w:themeColor="text1"/>
          <w:sz w:val="28"/>
          <w:szCs w:val="28"/>
          <w:lang w:val="en-US" w:eastAsia="zh-CN"/>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7.中选价格即为合同到厂单价，本价格在合同期内为不变价。</w:t>
      </w:r>
    </w:p>
    <w:p w14:paraId="790ED941">
      <w:pPr>
        <w:pageBreakBefore w:val="0"/>
        <w:kinsoku/>
        <w:wordWrap/>
        <w:overflowPunct/>
        <w:topLinePunct w:val="0"/>
        <w:bidi w:val="0"/>
        <w:spacing w:line="500" w:lineRule="exact"/>
        <w:rPr>
          <w:rFonts w:hint="eastAsia" w:ascii="黑体" w:hAnsi="黑体" w:eastAsia="黑体"/>
          <w:bCs/>
          <w:color w:val="000000" w:themeColor="text1"/>
          <w:sz w:val="28"/>
          <w:szCs w:val="28"/>
          <w:lang w:val="en-US" w:eastAsia="zh-CN"/>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8.在签订合同前，中选方向比选方缴纳</w:t>
      </w:r>
      <w:r>
        <w:rPr>
          <w:rFonts w:hint="eastAsia" w:ascii="黑体" w:hAnsi="黑体" w:eastAsia="黑体"/>
          <w:bCs/>
          <w:color w:val="000000" w:themeColor="text1"/>
          <w:sz w:val="28"/>
          <w:szCs w:val="28"/>
          <w:lang w:eastAsia="zh-CN"/>
          <w14:textFill>
            <w14:solidFill>
              <w14:schemeClr w14:val="tx1"/>
            </w14:solidFill>
          </w14:textFill>
        </w:rPr>
        <w:t>履约保证金</w:t>
      </w:r>
      <w:r>
        <w:rPr>
          <w:rFonts w:hint="eastAsia" w:ascii="黑体" w:hAnsi="黑体" w:eastAsia="黑体"/>
          <w:bCs/>
          <w:color w:val="auto"/>
          <w:sz w:val="28"/>
          <w:szCs w:val="28"/>
          <w:lang w:val="en-US" w:eastAsia="zh-CN"/>
        </w:rPr>
        <w:t>为20</w:t>
      </w:r>
      <w:r>
        <w:rPr>
          <w:rFonts w:hint="eastAsia" w:ascii="黑体" w:hAnsi="黑体" w:eastAsia="黑体"/>
          <w:bCs/>
          <w:color w:val="auto"/>
          <w:sz w:val="28"/>
          <w:szCs w:val="28"/>
          <w:lang w:eastAsia="zh-CN"/>
        </w:rPr>
        <w:t>万元。</w:t>
      </w:r>
    </w:p>
    <w:p w14:paraId="69C37AA6">
      <w:pPr>
        <w:pageBreakBefore w:val="0"/>
        <w:kinsoku/>
        <w:wordWrap/>
        <w:overflowPunct/>
        <w:topLinePunct w:val="0"/>
        <w:bidi w:val="0"/>
        <w:spacing w:line="500" w:lineRule="exact"/>
        <w:rPr>
          <w:rFonts w:hint="eastAsia" w:ascii="黑体" w:hAnsi="黑体" w:eastAsia="黑体"/>
          <w:bCs/>
          <w:color w:val="000000" w:themeColor="text1"/>
          <w:sz w:val="28"/>
          <w:szCs w:val="28"/>
          <w:lang w:eastAsia="zh-CN"/>
          <w14:textFill>
            <w14:solidFill>
              <w14:schemeClr w14:val="tx1"/>
            </w14:solidFill>
          </w14:textFill>
        </w:rPr>
      </w:pPr>
      <w:r>
        <w:rPr>
          <w:rFonts w:hint="eastAsia" w:ascii="黑体" w:hAnsi="黑体" w:eastAsia="黑体"/>
          <w:bCs/>
          <w:color w:val="000000" w:themeColor="text1"/>
          <w:sz w:val="28"/>
          <w:szCs w:val="28"/>
          <w:lang w:eastAsia="zh-CN"/>
          <w14:textFill>
            <w14:solidFill>
              <w14:schemeClr w14:val="tx1"/>
            </w14:solidFill>
          </w14:textFill>
        </w:rPr>
        <w:t>①</w:t>
      </w:r>
      <w:r>
        <w:rPr>
          <w:rFonts w:hint="eastAsia" w:ascii="黑体" w:hAnsi="黑体" w:eastAsia="黑体"/>
          <w:bCs/>
          <w:color w:val="000000" w:themeColor="text1"/>
          <w:sz w:val="28"/>
          <w:szCs w:val="28"/>
          <w:lang w:val="en-US" w:eastAsia="zh-CN"/>
          <w14:textFill>
            <w14:solidFill>
              <w14:schemeClr w14:val="tx1"/>
            </w14:solidFill>
          </w14:textFill>
        </w:rPr>
        <w:t>非比选方原因，中选方于合同期内的供货总数量＜合同数量的90%，合同期内所供液氨的合同单价下调100元/吨结算，</w:t>
      </w:r>
      <w:r>
        <w:rPr>
          <w:rFonts w:hint="eastAsia" w:ascii="黑体" w:hAnsi="黑体" w:eastAsia="黑体"/>
          <w:bCs/>
          <w:color w:val="000000" w:themeColor="text1"/>
          <w:sz w:val="28"/>
          <w:szCs w:val="28"/>
          <w:lang w:eastAsia="zh-CN"/>
          <w14:textFill>
            <w14:solidFill>
              <w14:schemeClr w14:val="tx1"/>
            </w14:solidFill>
          </w14:textFill>
        </w:rPr>
        <w:t>履约保证金不足以支付违约金的，以</w:t>
      </w:r>
      <w:r>
        <w:rPr>
          <w:rFonts w:hint="eastAsia" w:ascii="黑体" w:hAnsi="黑体" w:eastAsia="黑体"/>
          <w:bCs/>
          <w:color w:val="000000" w:themeColor="text1"/>
          <w:sz w:val="28"/>
          <w:szCs w:val="28"/>
          <w:lang w:val="en-US" w:eastAsia="zh-CN"/>
          <w14:textFill>
            <w14:solidFill>
              <w14:schemeClr w14:val="tx1"/>
            </w14:solidFill>
          </w14:textFill>
        </w:rPr>
        <w:t>中选方</w:t>
      </w:r>
      <w:r>
        <w:rPr>
          <w:rFonts w:hint="eastAsia" w:ascii="黑体" w:hAnsi="黑体" w:eastAsia="黑体"/>
          <w:bCs/>
          <w:color w:val="000000" w:themeColor="text1"/>
          <w:sz w:val="28"/>
          <w:szCs w:val="28"/>
          <w:lang w:eastAsia="zh-CN"/>
          <w14:textFill>
            <w14:solidFill>
              <w14:schemeClr w14:val="tx1"/>
            </w14:solidFill>
          </w14:textFill>
        </w:rPr>
        <w:t>货款补齐；</w:t>
      </w:r>
    </w:p>
    <w:p w14:paraId="153444F6">
      <w:pPr>
        <w:pageBreakBefore w:val="0"/>
        <w:kinsoku/>
        <w:wordWrap/>
        <w:overflowPunct/>
        <w:topLinePunct w:val="0"/>
        <w:bidi w:val="0"/>
        <w:spacing w:line="500" w:lineRule="exact"/>
        <w:rPr>
          <w:rFonts w:hint="eastAsia" w:ascii="黑体" w:hAnsi="黑体" w:eastAsia="黑体"/>
          <w:bCs/>
          <w:color w:val="000000" w:themeColor="text1"/>
          <w:sz w:val="28"/>
          <w:szCs w:val="28"/>
          <w:lang w:val="en-US" w:eastAsia="zh-CN"/>
          <w14:textFill>
            <w14:solidFill>
              <w14:schemeClr w14:val="tx1"/>
            </w14:solidFill>
          </w14:textFill>
        </w:rPr>
      </w:pPr>
      <w:r>
        <w:rPr>
          <w:rFonts w:hint="eastAsia" w:ascii="黑体" w:hAnsi="黑体" w:eastAsia="黑体"/>
          <w:bCs/>
          <w:color w:val="000000" w:themeColor="text1"/>
          <w:sz w:val="28"/>
          <w:szCs w:val="28"/>
          <w:lang w:eastAsia="zh-CN"/>
          <w14:textFill>
            <w14:solidFill>
              <w14:schemeClr w14:val="tx1"/>
            </w14:solidFill>
          </w14:textFill>
        </w:rPr>
        <w:t>②若</w:t>
      </w:r>
      <w:r>
        <w:rPr>
          <w:rFonts w:hint="eastAsia" w:ascii="黑体" w:hAnsi="黑体" w:eastAsia="黑体"/>
          <w:bCs/>
          <w:color w:val="000000" w:themeColor="text1"/>
          <w:sz w:val="28"/>
          <w:szCs w:val="28"/>
          <w:lang w:val="en-US" w:eastAsia="zh-CN"/>
          <w14:textFill>
            <w14:solidFill>
              <w14:schemeClr w14:val="tx1"/>
            </w14:solidFill>
          </w14:textFill>
        </w:rPr>
        <w:t>中选方</w:t>
      </w:r>
      <w:r>
        <w:rPr>
          <w:rFonts w:hint="eastAsia" w:ascii="黑体" w:hAnsi="黑体" w:eastAsia="黑体"/>
          <w:bCs/>
          <w:color w:val="000000" w:themeColor="text1"/>
          <w:sz w:val="28"/>
          <w:szCs w:val="28"/>
          <w:lang w:eastAsia="zh-CN"/>
          <w14:textFill>
            <w14:solidFill>
              <w14:schemeClr w14:val="tx1"/>
            </w14:solidFill>
          </w14:textFill>
        </w:rPr>
        <w:t>在签订合同后恶意不执行合同，</w:t>
      </w:r>
      <w:r>
        <w:rPr>
          <w:rFonts w:hint="eastAsia" w:ascii="黑体" w:hAnsi="黑体" w:eastAsia="黑体"/>
          <w:bCs/>
          <w:color w:val="000000" w:themeColor="text1"/>
          <w:sz w:val="28"/>
          <w:szCs w:val="28"/>
          <w:lang w:val="en-US" w:eastAsia="zh-CN"/>
          <w14:textFill>
            <w14:solidFill>
              <w14:schemeClr w14:val="tx1"/>
            </w14:solidFill>
          </w14:textFill>
        </w:rPr>
        <w:t>比选方</w:t>
      </w:r>
      <w:r>
        <w:rPr>
          <w:rFonts w:hint="eastAsia" w:ascii="黑体" w:hAnsi="黑体" w:eastAsia="黑体"/>
          <w:bCs/>
          <w:color w:val="000000" w:themeColor="text1"/>
          <w:sz w:val="28"/>
          <w:szCs w:val="28"/>
          <w:lang w:eastAsia="zh-CN"/>
          <w14:textFill>
            <w14:solidFill>
              <w14:schemeClr w14:val="tx1"/>
            </w14:solidFill>
          </w14:textFill>
        </w:rPr>
        <w:t>除不退还</w:t>
      </w:r>
      <w:r>
        <w:rPr>
          <w:rFonts w:hint="eastAsia" w:ascii="黑体" w:hAnsi="黑体" w:eastAsia="黑体"/>
          <w:bCs/>
          <w:color w:val="000000" w:themeColor="text1"/>
          <w:sz w:val="28"/>
          <w:szCs w:val="28"/>
          <w:lang w:val="en-US" w:eastAsia="zh-CN"/>
          <w14:textFill>
            <w14:solidFill>
              <w14:schemeClr w14:val="tx1"/>
            </w14:solidFill>
          </w14:textFill>
        </w:rPr>
        <w:t>中选方</w:t>
      </w:r>
      <w:r>
        <w:rPr>
          <w:rFonts w:hint="eastAsia" w:ascii="黑体" w:hAnsi="黑体" w:eastAsia="黑体"/>
          <w:bCs/>
          <w:color w:val="000000" w:themeColor="text1"/>
          <w:sz w:val="28"/>
          <w:szCs w:val="28"/>
          <w:lang w:eastAsia="zh-CN"/>
          <w14:textFill>
            <w14:solidFill>
              <w14:schemeClr w14:val="tx1"/>
            </w14:solidFill>
          </w14:textFill>
        </w:rPr>
        <w:t>履约保证金外，并将</w:t>
      </w:r>
      <w:r>
        <w:rPr>
          <w:rFonts w:hint="eastAsia" w:ascii="黑体" w:hAnsi="黑体" w:eastAsia="黑体"/>
          <w:bCs/>
          <w:color w:val="000000" w:themeColor="text1"/>
          <w:sz w:val="28"/>
          <w:szCs w:val="28"/>
          <w:lang w:val="en-US" w:eastAsia="zh-CN"/>
          <w14:textFill>
            <w14:solidFill>
              <w14:schemeClr w14:val="tx1"/>
            </w14:solidFill>
          </w14:textFill>
        </w:rPr>
        <w:t>中选方</w:t>
      </w:r>
      <w:r>
        <w:rPr>
          <w:rFonts w:hint="eastAsia" w:ascii="黑体" w:hAnsi="黑体" w:eastAsia="黑体"/>
          <w:bCs/>
          <w:color w:val="000000" w:themeColor="text1"/>
          <w:sz w:val="28"/>
          <w:szCs w:val="28"/>
          <w:lang w:eastAsia="zh-CN"/>
          <w14:textFill>
            <w14:solidFill>
              <w14:schemeClr w14:val="tx1"/>
            </w14:solidFill>
          </w14:textFill>
        </w:rPr>
        <w:t>列入</w:t>
      </w:r>
      <w:r>
        <w:rPr>
          <w:rFonts w:hint="eastAsia" w:ascii="黑体" w:hAnsi="黑体" w:eastAsia="黑体"/>
          <w:bCs/>
          <w:color w:val="000000" w:themeColor="text1"/>
          <w:sz w:val="28"/>
          <w:szCs w:val="28"/>
          <w:lang w:val="en-US" w:eastAsia="zh-CN"/>
          <w14:textFill>
            <w14:solidFill>
              <w14:schemeClr w14:val="tx1"/>
            </w14:solidFill>
          </w14:textFill>
        </w:rPr>
        <w:t>比选</w:t>
      </w:r>
      <w:r>
        <w:rPr>
          <w:rFonts w:hint="eastAsia" w:ascii="黑体" w:hAnsi="黑体" w:eastAsia="黑体"/>
          <w:bCs/>
          <w:color w:val="000000" w:themeColor="text1"/>
          <w:sz w:val="28"/>
          <w:szCs w:val="28"/>
          <w:lang w:eastAsia="zh-CN"/>
          <w14:textFill>
            <w14:solidFill>
              <w14:schemeClr w14:val="tx1"/>
            </w14:solidFill>
          </w14:textFill>
        </w:rPr>
        <w:t>方合作黑名单，永不合作</w:t>
      </w:r>
      <w:r>
        <w:rPr>
          <w:rFonts w:hint="eastAsia" w:ascii="黑体" w:hAnsi="黑体" w:eastAsia="黑体"/>
          <w:bCs/>
          <w:color w:val="000000" w:themeColor="text1"/>
          <w:sz w:val="28"/>
          <w:szCs w:val="28"/>
          <w:lang w:val="en-US" w:eastAsia="zh-CN"/>
          <w14:textFill>
            <w14:solidFill>
              <w14:schemeClr w14:val="tx1"/>
            </w14:solidFill>
          </w14:textFill>
        </w:rPr>
        <w:t>；</w:t>
      </w:r>
    </w:p>
    <w:p w14:paraId="2CE72857">
      <w:pPr>
        <w:pageBreakBefore w:val="0"/>
        <w:kinsoku/>
        <w:wordWrap/>
        <w:overflowPunct/>
        <w:topLinePunct w:val="0"/>
        <w:bidi w:val="0"/>
        <w:spacing w:line="500" w:lineRule="exact"/>
        <w:rPr>
          <w:rFonts w:hint="eastAsia" w:ascii="黑体" w:hAnsi="黑体" w:eastAsia="黑体"/>
          <w:bCs/>
          <w:color w:val="000000" w:themeColor="text1"/>
          <w:sz w:val="28"/>
          <w:szCs w:val="28"/>
          <w:lang w:eastAsia="zh-CN"/>
          <w14:textFill>
            <w14:solidFill>
              <w14:schemeClr w14:val="tx1"/>
            </w14:solidFill>
          </w14:textFill>
        </w:rPr>
      </w:pPr>
      <w:r>
        <w:rPr>
          <w:rFonts w:hint="eastAsia" w:ascii="黑体" w:hAnsi="黑体" w:eastAsia="黑体"/>
          <w:bCs/>
          <w:color w:val="000000" w:themeColor="text1"/>
          <w:sz w:val="28"/>
          <w:szCs w:val="28"/>
          <w:lang w:eastAsia="zh-CN"/>
          <w14:textFill>
            <w14:solidFill>
              <w14:schemeClr w14:val="tx1"/>
            </w14:solidFill>
          </w14:textFill>
        </w:rPr>
        <w:t>③本合同执行完毕，</w:t>
      </w:r>
      <w:r>
        <w:rPr>
          <w:rFonts w:hint="eastAsia" w:ascii="黑体" w:hAnsi="黑体" w:eastAsia="黑体"/>
          <w:bCs/>
          <w:color w:val="000000" w:themeColor="text1"/>
          <w:sz w:val="28"/>
          <w:szCs w:val="28"/>
          <w:lang w:val="en-US" w:eastAsia="zh-CN"/>
          <w14:textFill>
            <w14:solidFill>
              <w14:schemeClr w14:val="tx1"/>
            </w14:solidFill>
          </w14:textFill>
        </w:rPr>
        <w:t>中选方</w:t>
      </w:r>
      <w:r>
        <w:rPr>
          <w:rFonts w:hint="eastAsia" w:ascii="黑体" w:hAnsi="黑体" w:eastAsia="黑体"/>
          <w:bCs/>
          <w:color w:val="000000" w:themeColor="text1"/>
          <w:sz w:val="28"/>
          <w:szCs w:val="28"/>
          <w:lang w:eastAsia="zh-CN"/>
          <w14:textFill>
            <w14:solidFill>
              <w14:schemeClr w14:val="tx1"/>
            </w14:solidFill>
          </w14:textFill>
        </w:rPr>
        <w:t>无违约行为，</w:t>
      </w:r>
      <w:r>
        <w:rPr>
          <w:rFonts w:hint="eastAsia" w:ascii="黑体" w:hAnsi="黑体" w:eastAsia="黑体"/>
          <w:bCs/>
          <w:color w:val="000000" w:themeColor="text1"/>
          <w:sz w:val="28"/>
          <w:szCs w:val="28"/>
          <w:lang w:val="en-US" w:eastAsia="zh-CN"/>
          <w14:textFill>
            <w14:solidFill>
              <w14:schemeClr w14:val="tx1"/>
            </w14:solidFill>
          </w14:textFill>
        </w:rPr>
        <w:t>比选方在十个工作日内全额</w:t>
      </w:r>
      <w:r>
        <w:rPr>
          <w:rFonts w:hint="eastAsia" w:ascii="黑体" w:hAnsi="黑体" w:eastAsia="黑体"/>
          <w:bCs/>
          <w:color w:val="000000" w:themeColor="text1"/>
          <w:sz w:val="28"/>
          <w:szCs w:val="28"/>
          <w:lang w:eastAsia="zh-CN"/>
          <w14:textFill>
            <w14:solidFill>
              <w14:schemeClr w14:val="tx1"/>
            </w14:solidFill>
          </w14:textFill>
        </w:rPr>
        <w:t>退还履约保证金。</w:t>
      </w:r>
    </w:p>
    <w:p w14:paraId="5D8DBC48">
      <w:pPr>
        <w:pageBreakBefore w:val="0"/>
        <w:kinsoku/>
        <w:wordWrap/>
        <w:overflowPunct/>
        <w:topLinePunct w:val="0"/>
        <w:bidi w:val="0"/>
        <w:spacing w:line="500" w:lineRule="exact"/>
        <w:rPr>
          <w:rFonts w:hint="eastAsia" w:ascii="黑体" w:hAnsi="黑体" w:eastAsia="黑体"/>
          <w:bCs/>
          <w:color w:val="000000" w:themeColor="text1"/>
          <w:sz w:val="28"/>
          <w:szCs w:val="28"/>
          <w:lang w:eastAsia="zh-CN"/>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9</w:t>
      </w:r>
      <w:r>
        <w:rPr>
          <w:rFonts w:hint="eastAsia" w:ascii="黑体" w:hAnsi="黑体" w:eastAsia="黑体"/>
          <w:bCs/>
          <w:color w:val="000000" w:themeColor="text1"/>
          <w:sz w:val="28"/>
          <w:szCs w:val="28"/>
          <w:lang w:eastAsia="zh-CN"/>
          <w14:textFill>
            <w14:solidFill>
              <w14:schemeClr w14:val="tx1"/>
            </w14:solidFill>
          </w14:textFill>
        </w:rPr>
        <w:t>.比选文件的获取：</w:t>
      </w:r>
    </w:p>
    <w:p w14:paraId="0AB5C309">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获取方式为：自202</w:t>
      </w:r>
      <w:r>
        <w:rPr>
          <w:rFonts w:hint="eastAsia" w:ascii="黑体" w:hAnsi="黑体" w:eastAsia="黑体" w:cs="黑体"/>
          <w:color w:val="auto"/>
          <w:kern w:val="0"/>
          <w:sz w:val="28"/>
          <w:szCs w:val="28"/>
          <w:lang w:val="en-US" w:eastAsia="zh-CN"/>
        </w:rPr>
        <w:t>6</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5</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日</w:t>
      </w:r>
      <w:r>
        <w:rPr>
          <w:rFonts w:hint="eastAsia" w:ascii="黑体" w:hAnsi="黑体" w:eastAsia="黑体" w:cs="黑体"/>
          <w:color w:val="auto"/>
          <w:kern w:val="0"/>
          <w:sz w:val="28"/>
          <w:szCs w:val="28"/>
          <w:lang w:val="en-US" w:eastAsia="zh-CN"/>
        </w:rPr>
        <w:t>0</w:t>
      </w:r>
      <w:r>
        <w:rPr>
          <w:rFonts w:hint="eastAsia" w:ascii="黑体" w:hAnsi="黑体" w:eastAsia="黑体" w:cs="黑体"/>
          <w:color w:val="auto"/>
          <w:kern w:val="0"/>
          <w:sz w:val="28"/>
          <w:szCs w:val="28"/>
        </w:rPr>
        <w:t>时</w:t>
      </w:r>
      <w:r>
        <w:rPr>
          <w:rFonts w:hint="eastAsia" w:ascii="黑体" w:hAnsi="黑体" w:eastAsia="黑体" w:cs="黑体"/>
          <w:color w:val="auto"/>
          <w:kern w:val="0"/>
          <w:sz w:val="28"/>
          <w:szCs w:val="28"/>
          <w:lang w:val="en-US" w:eastAsia="zh-CN"/>
        </w:rPr>
        <w:t>00</w:t>
      </w:r>
      <w:r>
        <w:rPr>
          <w:rFonts w:hint="eastAsia" w:ascii="黑体" w:hAnsi="黑体" w:eastAsia="黑体" w:cs="黑体"/>
          <w:color w:val="auto"/>
          <w:kern w:val="0"/>
          <w:sz w:val="28"/>
          <w:szCs w:val="28"/>
        </w:rPr>
        <w:t>分至202</w:t>
      </w:r>
      <w:r>
        <w:rPr>
          <w:rFonts w:hint="eastAsia" w:ascii="黑体" w:hAnsi="黑体" w:eastAsia="黑体" w:cs="黑体"/>
          <w:color w:val="auto"/>
          <w:kern w:val="0"/>
          <w:sz w:val="28"/>
          <w:szCs w:val="28"/>
          <w:lang w:val="en-US" w:eastAsia="zh-CN"/>
        </w:rPr>
        <w:t>6</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5</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11</w:t>
      </w:r>
      <w:r>
        <w:rPr>
          <w:rFonts w:hint="eastAsia" w:ascii="黑体" w:hAnsi="黑体" w:eastAsia="黑体" w:cs="黑体"/>
          <w:color w:val="auto"/>
          <w:kern w:val="0"/>
          <w:sz w:val="28"/>
          <w:szCs w:val="28"/>
        </w:rPr>
        <w:t>日</w:t>
      </w:r>
      <w:r>
        <w:rPr>
          <w:rFonts w:hint="eastAsia" w:ascii="黑体" w:hAnsi="黑体" w:eastAsia="黑体" w:cs="黑体"/>
          <w:color w:val="auto"/>
          <w:kern w:val="0"/>
          <w:sz w:val="28"/>
          <w:szCs w:val="28"/>
          <w:lang w:val="en-US" w:eastAsia="zh-CN"/>
        </w:rPr>
        <w:t>14</w:t>
      </w:r>
      <w:r>
        <w:rPr>
          <w:rFonts w:hint="eastAsia" w:ascii="黑体" w:hAnsi="黑体" w:eastAsia="黑体" w:cs="黑体"/>
          <w:color w:val="auto"/>
          <w:kern w:val="0"/>
          <w:sz w:val="28"/>
          <w:szCs w:val="28"/>
        </w:rPr>
        <w:t xml:space="preserve"> 时 </w:t>
      </w:r>
      <w:r>
        <w:rPr>
          <w:rFonts w:hint="eastAsia" w:ascii="黑体" w:hAnsi="黑体" w:eastAsia="黑体" w:cs="黑体"/>
          <w:color w:val="auto"/>
          <w:kern w:val="0"/>
          <w:sz w:val="28"/>
          <w:szCs w:val="28"/>
          <w:lang w:val="en-US" w:eastAsia="zh-CN"/>
        </w:rPr>
        <w:t>30</w:t>
      </w:r>
      <w:r>
        <w:rPr>
          <w:rFonts w:hint="eastAsia" w:ascii="黑体" w:hAnsi="黑体" w:eastAsia="黑体" w:cs="黑体"/>
          <w:color w:val="auto"/>
          <w:kern w:val="0"/>
          <w:sz w:val="28"/>
          <w:szCs w:val="28"/>
        </w:rPr>
        <w:t xml:space="preserve">分通过四川宏达股份有限公司集采中心招投标平台(以下简称“ 宏达股份集采平台”）（http://jc.sichuanhongda.com/）进行注册并登录后下载比选文件，参与投标。 </w:t>
      </w:r>
    </w:p>
    <w:p w14:paraId="029241F5">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val="en-US" w:eastAsia="zh-CN"/>
        </w:rPr>
        <w:t>10</w:t>
      </w:r>
      <w:r>
        <w:rPr>
          <w:rFonts w:hint="eastAsia" w:ascii="黑体" w:hAnsi="黑体" w:eastAsia="黑体" w:cs="黑体"/>
          <w:color w:val="auto"/>
          <w:kern w:val="0"/>
          <w:sz w:val="28"/>
          <w:szCs w:val="28"/>
          <w:lang w:eastAsia="zh-CN"/>
        </w:rPr>
        <w:t>.</w:t>
      </w:r>
      <w:r>
        <w:rPr>
          <w:rFonts w:hint="eastAsia" w:ascii="黑体" w:hAnsi="黑体" w:eastAsia="黑体" w:cs="黑体"/>
          <w:color w:val="auto"/>
          <w:kern w:val="0"/>
          <w:sz w:val="28"/>
          <w:szCs w:val="28"/>
        </w:rPr>
        <w:t>响应性文件的递交：</w:t>
      </w:r>
    </w:p>
    <w:p w14:paraId="0321D895">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递交截止时间：202</w:t>
      </w:r>
      <w:r>
        <w:rPr>
          <w:rFonts w:hint="eastAsia" w:ascii="黑体" w:hAnsi="黑体" w:eastAsia="黑体" w:cs="黑体"/>
          <w:color w:val="auto"/>
          <w:kern w:val="0"/>
          <w:sz w:val="28"/>
          <w:szCs w:val="28"/>
          <w:lang w:val="en-US" w:eastAsia="zh-CN"/>
        </w:rPr>
        <w:t>6</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5</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11</w:t>
      </w:r>
      <w:r>
        <w:rPr>
          <w:rFonts w:hint="eastAsia" w:ascii="黑体" w:hAnsi="黑体" w:eastAsia="黑体" w:cs="黑体"/>
          <w:color w:val="auto"/>
          <w:kern w:val="0"/>
          <w:sz w:val="28"/>
          <w:szCs w:val="28"/>
        </w:rPr>
        <w:t>日</w:t>
      </w:r>
      <w:r>
        <w:rPr>
          <w:rFonts w:hint="eastAsia" w:ascii="黑体" w:hAnsi="黑体" w:eastAsia="黑体" w:cs="黑体"/>
          <w:color w:val="auto"/>
          <w:kern w:val="0"/>
          <w:sz w:val="28"/>
          <w:szCs w:val="28"/>
          <w:lang w:val="en-US" w:eastAsia="zh-CN"/>
        </w:rPr>
        <w:t>14</w:t>
      </w:r>
      <w:r>
        <w:rPr>
          <w:rFonts w:hint="eastAsia" w:ascii="黑体" w:hAnsi="黑体" w:eastAsia="黑体" w:cs="黑体"/>
          <w:color w:val="auto"/>
          <w:kern w:val="0"/>
          <w:sz w:val="28"/>
          <w:szCs w:val="28"/>
        </w:rPr>
        <w:t>时</w:t>
      </w:r>
      <w:r>
        <w:rPr>
          <w:rFonts w:hint="eastAsia" w:ascii="黑体" w:hAnsi="黑体" w:eastAsia="黑体" w:cs="黑体"/>
          <w:color w:val="auto"/>
          <w:kern w:val="0"/>
          <w:sz w:val="28"/>
          <w:szCs w:val="28"/>
          <w:lang w:val="en-US" w:eastAsia="zh-CN"/>
        </w:rPr>
        <w:t>30</w:t>
      </w:r>
      <w:r>
        <w:rPr>
          <w:rFonts w:hint="eastAsia" w:ascii="黑体" w:hAnsi="黑体" w:eastAsia="黑体" w:cs="黑体"/>
          <w:color w:val="auto"/>
          <w:kern w:val="0"/>
          <w:sz w:val="28"/>
          <w:szCs w:val="28"/>
        </w:rPr>
        <w:t>分。</w:t>
      </w:r>
    </w:p>
    <w:p w14:paraId="3A58839D">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比选申请人按本比选文件第三章响应性文件格式制作报价文件，注明标的物名称、规格型号、数量、单价（到厂含税价）、交货期、付款方式等（若</w:t>
      </w:r>
      <w:r>
        <w:rPr>
          <w:rFonts w:hint="eastAsia" w:ascii="黑体" w:hAnsi="黑体" w:eastAsia="黑体" w:cs="黑体"/>
          <w:color w:val="000000" w:themeColor="text1"/>
          <w:kern w:val="0"/>
          <w:sz w:val="28"/>
          <w:szCs w:val="28"/>
          <w:lang w:val="en-US" w:eastAsia="zh-CN"/>
          <w14:textFill>
            <w14:solidFill>
              <w14:schemeClr w14:val="tx1"/>
            </w14:solidFill>
          </w14:textFill>
        </w:rPr>
        <w:t>与</w:t>
      </w:r>
      <w:r>
        <w:rPr>
          <w:rFonts w:hint="eastAsia" w:ascii="黑体" w:hAnsi="黑体" w:eastAsia="黑体" w:cs="黑体"/>
          <w:color w:val="000000" w:themeColor="text1"/>
          <w:kern w:val="0"/>
          <w:sz w:val="28"/>
          <w:szCs w:val="28"/>
          <w14:textFill>
            <w14:solidFill>
              <w14:schemeClr w14:val="tx1"/>
            </w14:solidFill>
          </w14:textFill>
        </w:rPr>
        <w:t>约定的标的物交货期、付款方式等有异议，请在报价文件中另作说明）。所有上述资料组成响应性文件，比选申请人需将响应性文件打印盖章后，以电子文件方式（PDF、扫描文件等）上传至宏达股份集采平台。</w:t>
      </w:r>
    </w:p>
    <w:p w14:paraId="02934341">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11.响应性文件的要求</w:t>
      </w:r>
    </w:p>
    <w:p w14:paraId="7B76856A">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①比选申请人需提供营业执照（三证合一）、危险化学品经营许可证。</w:t>
      </w:r>
    </w:p>
    <w:p w14:paraId="3486C7D7">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②比选申请人需提供开票资料。</w:t>
      </w:r>
    </w:p>
    <w:p w14:paraId="62DC1321">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③比选申请人须于2026年5月11日14时30分前缴纳投标保证金50000元，以比选申请人基本账户对公转账至以下账户：</w:t>
      </w:r>
    </w:p>
    <w:p w14:paraId="1673479E">
      <w:pPr>
        <w:pageBreakBefore w:val="0"/>
        <w:widowControl/>
        <w:kinsoku/>
        <w:wordWrap/>
        <w:overflowPunct/>
        <w:topLinePunct w:val="0"/>
        <w:bidi w:val="0"/>
        <w:spacing w:before="75" w:after="75" w:line="500" w:lineRule="exact"/>
        <w:jc w:val="left"/>
        <w:rPr>
          <w:rFonts w:hint="default"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户    名：四川宏达股份有限公司</w:t>
      </w:r>
    </w:p>
    <w:p w14:paraId="2A8DBE03">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 xml:space="preserve">开 户 行：中国银行什邡亭江西路支行                                                                                                                </w:t>
      </w:r>
    </w:p>
    <w:p w14:paraId="267F7B0B">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开户账号：121203636202</w:t>
      </w:r>
    </w:p>
    <w:p w14:paraId="752CAC0B">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比选申请人需备注：液氨采购投标保证金。</w:t>
      </w:r>
    </w:p>
    <w:p w14:paraId="0BE0D157">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保证金的退还：未中选人缴纳的投标保证金于中选通知书发出后5个工作日内退还，中选人缴纳的投标保证金自动转为履约保证金，待合同履行完毕后，退还至中选人指定账户。中选人若在履约过程中拒不履行合同或部分履行合同，履约保证金将不予退还。</w:t>
      </w:r>
    </w:p>
    <w:p w14:paraId="78081504">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有下列情形之一的，投标保证金将不予退还：</w:t>
      </w:r>
    </w:p>
    <w:p w14:paraId="7A69A9C7">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①比选申请人在投标有效期内撤销比选申请文件；</w:t>
      </w:r>
    </w:p>
    <w:p w14:paraId="02C81865">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②中选人在收到中选通知书后，无正当理由不与比选人订立合同，在签订合同时向比选人提出附加条件；</w:t>
      </w:r>
    </w:p>
    <w:p w14:paraId="30D36319">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③发生比选申请人规定的其他可以不予退还比选保证金的情形。</w:t>
      </w:r>
    </w:p>
    <w:p w14:paraId="26A00E9C">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12</w:t>
      </w:r>
      <w:r>
        <w:rPr>
          <w:rFonts w:hint="eastAsia" w:ascii="黑体" w:hAnsi="黑体" w:eastAsia="黑体" w:cs="黑体"/>
          <w:color w:val="000000" w:themeColor="text1"/>
          <w:kern w:val="0"/>
          <w:sz w:val="28"/>
          <w:szCs w:val="28"/>
          <w:lang w:eastAsia="zh-CN"/>
          <w14:textFill>
            <w14:solidFill>
              <w14:schemeClr w14:val="tx1"/>
            </w14:solidFill>
          </w14:textFill>
        </w:rPr>
        <w:t>.</w:t>
      </w:r>
      <w:r>
        <w:rPr>
          <w:rFonts w:hint="eastAsia" w:ascii="黑体" w:hAnsi="黑体" w:eastAsia="黑体" w:cs="黑体"/>
          <w:color w:val="000000" w:themeColor="text1"/>
          <w:kern w:val="0"/>
          <w:sz w:val="28"/>
          <w:szCs w:val="28"/>
          <w14:textFill>
            <w14:solidFill>
              <w14:schemeClr w14:val="tx1"/>
            </w14:solidFill>
          </w14:textFill>
        </w:rPr>
        <w:t>比选时不保证最低价中选，但充分注意合理的最低报价。</w:t>
      </w:r>
      <w:r>
        <w:rPr>
          <w:rFonts w:hint="eastAsia" w:ascii="黑体" w:hAnsi="黑体" w:eastAsia="黑体" w:cs="黑体"/>
          <w:color w:val="000000" w:themeColor="text1"/>
          <w:kern w:val="0"/>
          <w:sz w:val="28"/>
          <w:szCs w:val="28"/>
          <w:lang w:val="en-US" w:eastAsia="zh-CN"/>
          <w14:textFill>
            <w14:solidFill>
              <w14:schemeClr w14:val="tx1"/>
            </w14:solidFill>
          </w14:textFill>
        </w:rPr>
        <w:t>原则上不进行二次议价！</w:t>
      </w:r>
    </w:p>
    <w:p w14:paraId="7995931D">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1</w:t>
      </w:r>
      <w:r>
        <w:rPr>
          <w:rFonts w:hint="eastAsia" w:ascii="黑体" w:hAnsi="黑体" w:eastAsia="黑体" w:cs="黑体"/>
          <w:color w:val="000000" w:themeColor="text1"/>
          <w:kern w:val="0"/>
          <w:sz w:val="28"/>
          <w:szCs w:val="28"/>
          <w:lang w:val="en-US" w:eastAsia="zh-CN"/>
          <w14:textFill>
            <w14:solidFill>
              <w14:schemeClr w14:val="tx1"/>
            </w14:solidFill>
          </w14:textFill>
        </w:rPr>
        <w:t>3</w:t>
      </w:r>
      <w:r>
        <w:rPr>
          <w:rFonts w:hint="eastAsia" w:ascii="黑体" w:hAnsi="黑体" w:eastAsia="黑体" w:cs="黑体"/>
          <w:color w:val="000000" w:themeColor="text1"/>
          <w:kern w:val="0"/>
          <w:sz w:val="28"/>
          <w:szCs w:val="28"/>
          <w:lang w:eastAsia="zh-CN"/>
          <w14:textFill>
            <w14:solidFill>
              <w14:schemeClr w14:val="tx1"/>
            </w14:solidFill>
          </w14:textFill>
        </w:rPr>
        <w:t>.</w:t>
      </w:r>
      <w:r>
        <w:rPr>
          <w:rFonts w:hint="eastAsia" w:ascii="黑体" w:hAnsi="黑体" w:eastAsia="黑体" w:cs="黑体"/>
          <w:color w:val="000000" w:themeColor="text1"/>
          <w:kern w:val="0"/>
          <w:sz w:val="28"/>
          <w:szCs w:val="28"/>
          <w14:textFill>
            <w14:solidFill>
              <w14:schemeClr w14:val="tx1"/>
            </w14:solidFill>
          </w14:textFill>
        </w:rPr>
        <w:t>交送报价文件前，供应商方可自愿前来我公司进行实地考查、技术交流或咨询。</w:t>
      </w:r>
    </w:p>
    <w:p w14:paraId="33534D67">
      <w:pPr>
        <w:pageBreakBefore w:val="0"/>
        <w:kinsoku/>
        <w:wordWrap/>
        <w:overflowPunct/>
        <w:topLinePunct w:val="0"/>
        <w:bidi w:val="0"/>
        <w:spacing w:line="500" w:lineRule="exact"/>
        <w:rPr>
          <w:rFonts w:hint="default"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联系人：</w:t>
      </w:r>
      <w:r>
        <w:rPr>
          <w:rFonts w:hint="eastAsia" w:ascii="黑体" w:hAnsi="黑体" w:eastAsia="黑体" w:cs="黑体"/>
          <w:color w:val="000000" w:themeColor="text1"/>
          <w:kern w:val="0"/>
          <w:sz w:val="28"/>
          <w:szCs w:val="28"/>
          <w:lang w:val="en-US" w:eastAsia="zh-CN"/>
          <w14:textFill>
            <w14:solidFill>
              <w14:schemeClr w14:val="tx1"/>
            </w14:solidFill>
          </w14:textFill>
        </w:rPr>
        <w:t>张志伟</w:t>
      </w:r>
      <w:r>
        <w:rPr>
          <w:rFonts w:hint="eastAsia" w:ascii="黑体" w:hAnsi="黑体" w:eastAsia="黑体" w:cs="黑体"/>
          <w:color w:val="000000" w:themeColor="text1"/>
          <w:sz w:val="28"/>
          <w:szCs w:val="28"/>
          <w:lang w:val="en-US" w:eastAsia="zh-CN"/>
          <w14:textFill>
            <w14:solidFill>
              <w14:schemeClr w14:val="tx1"/>
            </w14:solidFill>
          </w14:textFill>
        </w:rPr>
        <w:t>13890269931</w:t>
      </w:r>
    </w:p>
    <w:p w14:paraId="1BE1B4C8">
      <w:pPr>
        <w:pageBreakBefore w:val="0"/>
        <w:kinsoku/>
        <w:wordWrap/>
        <w:overflowPunct/>
        <w:topLinePunct w:val="0"/>
        <w:bidi w:val="0"/>
        <w:adjustRightInd w:val="0"/>
        <w:spacing w:line="500" w:lineRule="exact"/>
        <w:jc w:val="left"/>
        <w:rPr>
          <w:rFonts w:hint="eastAsia"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 xml:space="preserve">地 址：四川省德阳市什邡市洛水镇          邮 编：618401           </w:t>
      </w:r>
    </w:p>
    <w:p w14:paraId="253395D7">
      <w:pPr>
        <w:pageBreakBefore w:val="0"/>
        <w:kinsoku/>
        <w:wordWrap/>
        <w:overflowPunct/>
        <w:topLinePunct w:val="0"/>
        <w:bidi w:val="0"/>
        <w:adjustRightInd w:val="0"/>
        <w:spacing w:line="500" w:lineRule="exact"/>
        <w:ind w:firstLine="5460" w:firstLineChars="1950"/>
        <w:jc w:val="left"/>
        <w:rPr>
          <w:rFonts w:hint="eastAsia" w:ascii="黑体" w:hAnsi="黑体" w:eastAsia="黑体" w:cs="黑体"/>
          <w:color w:val="000000" w:themeColor="text1"/>
          <w:kern w:val="0"/>
          <w:sz w:val="28"/>
          <w:szCs w:val="28"/>
          <w14:textFill>
            <w14:solidFill>
              <w14:schemeClr w14:val="tx1"/>
            </w14:solidFill>
          </w14:textFill>
        </w:rPr>
      </w:pPr>
    </w:p>
    <w:p w14:paraId="1F6C5919">
      <w:pPr>
        <w:pageBreakBefore w:val="0"/>
        <w:kinsoku/>
        <w:wordWrap/>
        <w:overflowPunct/>
        <w:topLinePunct w:val="0"/>
        <w:bidi w:val="0"/>
        <w:adjustRightInd w:val="0"/>
        <w:spacing w:line="500" w:lineRule="exact"/>
        <w:ind w:firstLine="4480" w:firstLineChars="1600"/>
        <w:jc w:val="left"/>
        <w:rPr>
          <w:rFonts w:hint="eastAsia"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四川宏达股份有限公司</w:t>
      </w:r>
    </w:p>
    <w:p w14:paraId="0EE0F5A4">
      <w:pPr>
        <w:pageBreakBefore w:val="0"/>
        <w:kinsoku/>
        <w:wordWrap/>
        <w:overflowPunct/>
        <w:topLinePunct w:val="0"/>
        <w:bidi w:val="0"/>
        <w:spacing w:line="500" w:lineRule="exact"/>
        <w:ind w:firstLine="5040" w:firstLineChars="1800"/>
        <w:rPr>
          <w:rFonts w:hint="eastAsia"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202</w:t>
      </w:r>
      <w:r>
        <w:rPr>
          <w:rFonts w:hint="eastAsia" w:ascii="黑体" w:hAnsi="黑体" w:eastAsia="黑体" w:cs="黑体"/>
          <w:color w:val="000000" w:themeColor="text1"/>
          <w:kern w:val="0"/>
          <w:sz w:val="28"/>
          <w:szCs w:val="28"/>
          <w:lang w:val="en-US" w:eastAsia="zh-CN"/>
          <w14:textFill>
            <w14:solidFill>
              <w14:schemeClr w14:val="tx1"/>
            </w14:solidFill>
          </w14:textFill>
        </w:rPr>
        <w:t>6</w:t>
      </w:r>
      <w:r>
        <w:rPr>
          <w:rFonts w:hint="eastAsia" w:ascii="黑体" w:hAnsi="黑体" w:eastAsia="黑体" w:cs="黑体"/>
          <w:color w:val="000000" w:themeColor="text1"/>
          <w:kern w:val="0"/>
          <w:sz w:val="28"/>
          <w:szCs w:val="28"/>
          <w14:textFill>
            <w14:solidFill>
              <w14:schemeClr w14:val="tx1"/>
            </w14:solidFill>
          </w14:textFill>
        </w:rPr>
        <w:t>年</w:t>
      </w:r>
      <w:r>
        <w:rPr>
          <w:rFonts w:hint="eastAsia" w:ascii="黑体" w:hAnsi="黑体" w:eastAsia="黑体" w:cs="黑体"/>
          <w:color w:val="000000" w:themeColor="text1"/>
          <w:kern w:val="0"/>
          <w:sz w:val="28"/>
          <w:szCs w:val="28"/>
          <w:lang w:val="en-US" w:eastAsia="zh-CN"/>
          <w14:textFill>
            <w14:solidFill>
              <w14:schemeClr w14:val="tx1"/>
            </w14:solidFill>
          </w14:textFill>
        </w:rPr>
        <w:t>5</w:t>
      </w:r>
      <w:r>
        <w:rPr>
          <w:rFonts w:hint="eastAsia" w:ascii="黑体" w:hAnsi="黑体" w:eastAsia="黑体" w:cs="黑体"/>
          <w:color w:val="000000" w:themeColor="text1"/>
          <w:kern w:val="0"/>
          <w:sz w:val="28"/>
          <w:szCs w:val="28"/>
          <w14:textFill>
            <w14:solidFill>
              <w14:schemeClr w14:val="tx1"/>
            </w14:solidFill>
          </w14:textFill>
        </w:rPr>
        <w:t>月</w:t>
      </w:r>
      <w:r>
        <w:rPr>
          <w:rFonts w:hint="eastAsia" w:ascii="黑体" w:hAnsi="黑体" w:eastAsia="黑体" w:cs="黑体"/>
          <w:color w:val="000000" w:themeColor="text1"/>
          <w:kern w:val="0"/>
          <w:sz w:val="28"/>
          <w:szCs w:val="28"/>
          <w:lang w:val="en-US" w:eastAsia="zh-CN"/>
          <w14:textFill>
            <w14:solidFill>
              <w14:schemeClr w14:val="tx1"/>
            </w14:solidFill>
          </w14:textFill>
        </w:rPr>
        <w:t>7</w:t>
      </w:r>
      <w:r>
        <w:rPr>
          <w:rFonts w:hint="eastAsia" w:ascii="黑体" w:hAnsi="黑体" w:eastAsia="黑体" w:cs="黑体"/>
          <w:color w:val="000000" w:themeColor="text1"/>
          <w:kern w:val="0"/>
          <w:sz w:val="28"/>
          <w:szCs w:val="28"/>
          <w14:textFill>
            <w14:solidFill>
              <w14:schemeClr w14:val="tx1"/>
            </w14:solidFill>
          </w14:textFill>
        </w:rPr>
        <w:t>日</w:t>
      </w:r>
    </w:p>
    <w:p w14:paraId="775FDB78">
      <w:pPr>
        <w:spacing w:line="440" w:lineRule="exact"/>
        <w:jc w:val="center"/>
        <w:rPr>
          <w:rFonts w:hint="eastAsia" w:ascii="黑体" w:hAnsi="黑体" w:eastAsia="黑体"/>
          <w:b/>
          <w:color w:val="000000" w:themeColor="text1"/>
          <w:sz w:val="36"/>
          <w:szCs w:val="36"/>
          <w14:textFill>
            <w14:solidFill>
              <w14:schemeClr w14:val="tx1"/>
            </w14:solidFill>
          </w14:textFill>
        </w:rPr>
      </w:pPr>
      <w:bookmarkStart w:id="1" w:name="_Toc275014947"/>
      <w:bookmarkStart w:id="2" w:name="_Toc275019290"/>
      <w:bookmarkStart w:id="3" w:name="_Hlk155791057"/>
      <w:bookmarkStart w:id="4" w:name="_Toc275019684"/>
      <w:bookmarkStart w:id="5" w:name="_Toc275019836"/>
      <w:bookmarkStart w:id="6" w:name="_Toc268793030"/>
      <w:bookmarkStart w:id="7" w:name="_Toc303149804"/>
      <w:bookmarkStart w:id="8" w:name="_Toc274236999"/>
      <w:bookmarkStart w:id="9" w:name="_Toc238797630"/>
      <w:bookmarkStart w:id="10" w:name="_Toc269113527"/>
      <w:bookmarkStart w:id="11" w:name="_Toc238552273"/>
      <w:bookmarkStart w:id="12" w:name="_Toc16684"/>
      <w:bookmarkStart w:id="13" w:name="_Toc274596702"/>
      <w:bookmarkStart w:id="14" w:name="_Toc318986166"/>
    </w:p>
    <w:p w14:paraId="10DCE4F8">
      <w:pPr>
        <w:spacing w:line="440" w:lineRule="exact"/>
        <w:jc w:val="center"/>
        <w:rPr>
          <w:rFonts w:hint="eastAsia"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 xml:space="preserve">第二章 </w:t>
      </w:r>
    </w:p>
    <w:bookmarkEnd w:id="1"/>
    <w:bookmarkEnd w:id="2"/>
    <w:bookmarkEnd w:id="3"/>
    <w:bookmarkEnd w:id="4"/>
    <w:bookmarkEnd w:id="5"/>
    <w:bookmarkEnd w:id="6"/>
    <w:bookmarkEnd w:id="7"/>
    <w:bookmarkEnd w:id="8"/>
    <w:bookmarkEnd w:id="9"/>
    <w:bookmarkEnd w:id="10"/>
    <w:bookmarkEnd w:id="11"/>
    <w:bookmarkEnd w:id="12"/>
    <w:bookmarkEnd w:id="13"/>
    <w:bookmarkEnd w:id="14"/>
    <w:p w14:paraId="31E57D1C">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3F82193A">
      <w:pPr>
        <w:spacing w:line="440" w:lineRule="exact"/>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购销合同</w:t>
      </w:r>
    </w:p>
    <w:p w14:paraId="3F1DB2D5">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买方：四川宏达股份有限公司</w:t>
      </w:r>
    </w:p>
    <w:p w14:paraId="63FC19E2">
      <w:pPr>
        <w:keepNext w:val="0"/>
        <w:keepLines w:val="0"/>
        <w:pageBreakBefore w:val="0"/>
        <w:widowControl w:val="0"/>
        <w:kinsoku/>
        <w:wordWrap/>
        <w:overflowPunct/>
        <w:topLinePunct w:val="0"/>
        <w:autoSpaceDE/>
        <w:autoSpaceDN/>
        <w:bidi w:val="0"/>
        <w:adjustRightInd/>
        <w:snapToGrid/>
        <w:spacing w:line="400" w:lineRule="exact"/>
        <w:ind w:right="480"/>
        <w:textAlignment w:val="auto"/>
        <w:rPr>
          <w:rFonts w:ascii="黑体" w:hAnsi="黑体" w:eastAsia="黑体"/>
          <w:bCs/>
          <w:color w:val="000000" w:themeColor="text1"/>
          <w:sz w:val="24"/>
          <w:szCs w:val="24"/>
          <w:u w:val="single"/>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 xml:space="preserve">卖方：           </w:t>
      </w:r>
    </w:p>
    <w:p w14:paraId="2AAE66E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根据《中华人民共和国民法典》及有关法律法规的规定，本着平等互利、诚实守信的原则，经买卖双方协商一致，就买方向卖方购买液氨事宜达成本合同，具体内容如下：</w:t>
      </w:r>
    </w:p>
    <w:p w14:paraId="1C1C5847">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 xml:space="preserve">第一条 </w:t>
      </w:r>
      <w:r>
        <w:rPr>
          <w:rFonts w:hint="eastAsia" w:ascii="黑体" w:hAnsi="黑体" w:eastAsia="黑体"/>
          <w:bCs/>
          <w:color w:val="000000" w:themeColor="text1"/>
          <w:sz w:val="24"/>
          <w:szCs w:val="24"/>
          <w14:textFill>
            <w14:solidFill>
              <w14:schemeClr w14:val="tx1"/>
            </w14:solidFill>
          </w14:textFill>
        </w:rPr>
        <w:t>标的物基本信息</w:t>
      </w:r>
    </w:p>
    <w:tbl>
      <w:tblPr>
        <w:tblStyle w:val="4"/>
        <w:tblW w:w="53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8"/>
        <w:gridCol w:w="1485"/>
        <w:gridCol w:w="1195"/>
        <w:gridCol w:w="1069"/>
        <w:gridCol w:w="649"/>
        <w:gridCol w:w="1161"/>
        <w:gridCol w:w="1266"/>
        <w:gridCol w:w="1429"/>
      </w:tblGrid>
      <w:tr w14:paraId="0641B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 w:type="pct"/>
            <w:tcBorders>
              <w:left w:val="single" w:color="auto" w:sz="4" w:space="0"/>
            </w:tcBorders>
            <w:vAlign w:val="center"/>
          </w:tcPr>
          <w:p w14:paraId="5E00A1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名称</w:t>
            </w:r>
          </w:p>
        </w:tc>
        <w:tc>
          <w:tcPr>
            <w:tcW w:w="821" w:type="pct"/>
            <w:vAlign w:val="center"/>
          </w:tcPr>
          <w:p w14:paraId="461929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品种规格</w:t>
            </w:r>
          </w:p>
        </w:tc>
        <w:tc>
          <w:tcPr>
            <w:tcW w:w="661" w:type="pct"/>
            <w:tcBorders>
              <w:bottom w:val="single" w:color="auto" w:sz="4" w:space="0"/>
            </w:tcBorders>
            <w:vAlign w:val="center"/>
          </w:tcPr>
          <w:p w14:paraId="017AD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数量(吨)</w:t>
            </w:r>
          </w:p>
        </w:tc>
        <w:tc>
          <w:tcPr>
            <w:tcW w:w="591" w:type="pct"/>
            <w:vAlign w:val="center"/>
          </w:tcPr>
          <w:p w14:paraId="488B95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到厂单价</w:t>
            </w:r>
          </w:p>
          <w:p w14:paraId="454CF5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（元/吨）</w:t>
            </w:r>
          </w:p>
        </w:tc>
        <w:tc>
          <w:tcPr>
            <w:tcW w:w="359" w:type="pct"/>
            <w:tcBorders>
              <w:right w:val="single" w:color="auto" w:sz="4" w:space="0"/>
            </w:tcBorders>
            <w:vAlign w:val="center"/>
          </w:tcPr>
          <w:p w14:paraId="092AD3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税率</w:t>
            </w:r>
          </w:p>
        </w:tc>
        <w:tc>
          <w:tcPr>
            <w:tcW w:w="642" w:type="pct"/>
            <w:tcBorders>
              <w:bottom w:val="single" w:color="000000" w:sz="4" w:space="0"/>
              <w:right w:val="single" w:color="auto" w:sz="4" w:space="0"/>
            </w:tcBorders>
            <w:vAlign w:val="center"/>
          </w:tcPr>
          <w:p w14:paraId="0F62E8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税额（元）</w:t>
            </w:r>
          </w:p>
        </w:tc>
        <w:tc>
          <w:tcPr>
            <w:tcW w:w="700" w:type="pct"/>
            <w:tcBorders>
              <w:right w:val="single" w:color="auto" w:sz="4" w:space="0"/>
            </w:tcBorders>
            <w:vAlign w:val="center"/>
          </w:tcPr>
          <w:p w14:paraId="7C6B7F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不含税金额（元）</w:t>
            </w:r>
          </w:p>
        </w:tc>
        <w:tc>
          <w:tcPr>
            <w:tcW w:w="786" w:type="pct"/>
            <w:tcBorders>
              <w:right w:val="single" w:color="auto" w:sz="4" w:space="0"/>
            </w:tcBorders>
            <w:vAlign w:val="center"/>
          </w:tcPr>
          <w:p w14:paraId="08FD5C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含税金额</w:t>
            </w:r>
          </w:p>
          <w:p w14:paraId="67B075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（元）</w:t>
            </w:r>
          </w:p>
        </w:tc>
      </w:tr>
      <w:tr w14:paraId="6BC42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 w:type="pct"/>
            <w:tcBorders>
              <w:left w:val="single" w:color="auto" w:sz="4" w:space="0"/>
            </w:tcBorders>
            <w:vAlign w:val="center"/>
          </w:tcPr>
          <w:p w14:paraId="54F569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rPr>
              <w:t>液氨</w:t>
            </w:r>
          </w:p>
        </w:tc>
        <w:tc>
          <w:tcPr>
            <w:tcW w:w="821" w:type="pct"/>
            <w:vAlign w:val="center"/>
          </w:tcPr>
          <w:p w14:paraId="0BAFAB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rPr>
              <w:t>NH</w:t>
            </w:r>
            <w:r>
              <w:rPr>
                <w:rFonts w:hint="eastAsia" w:ascii="黑体" w:hAnsi="黑体" w:eastAsia="黑体" w:cs="黑体"/>
                <w:bCs/>
                <w:color w:val="auto"/>
                <w:sz w:val="21"/>
                <w:szCs w:val="21"/>
                <w:vertAlign w:val="subscript"/>
              </w:rPr>
              <w:t>3</w:t>
            </w:r>
            <w:r>
              <w:rPr>
                <w:rFonts w:hint="eastAsia" w:ascii="黑体" w:hAnsi="黑体" w:eastAsia="黑体" w:cs="黑体"/>
                <w:bCs/>
                <w:color w:val="auto"/>
                <w:sz w:val="21"/>
                <w:szCs w:val="21"/>
              </w:rPr>
              <w:t>≥99.</w:t>
            </w:r>
            <w:r>
              <w:rPr>
                <w:rFonts w:hint="eastAsia" w:ascii="黑体" w:hAnsi="黑体" w:eastAsia="黑体" w:cs="黑体"/>
                <w:bCs/>
                <w:color w:val="auto"/>
                <w:sz w:val="21"/>
                <w:szCs w:val="21"/>
                <w:lang w:val="en-US" w:eastAsia="zh-CN"/>
              </w:rPr>
              <w:t>0</w:t>
            </w:r>
            <w:r>
              <w:rPr>
                <w:rFonts w:hint="eastAsia" w:ascii="黑体" w:hAnsi="黑体" w:eastAsia="黑体" w:cs="黑体"/>
                <w:bCs/>
                <w:color w:val="auto"/>
                <w:sz w:val="21"/>
                <w:szCs w:val="21"/>
              </w:rPr>
              <w:t>%</w:t>
            </w:r>
          </w:p>
        </w:tc>
        <w:tc>
          <w:tcPr>
            <w:tcW w:w="661" w:type="pct"/>
            <w:tcBorders>
              <w:bottom w:val="single" w:color="auto" w:sz="4" w:space="0"/>
            </w:tcBorders>
            <w:vAlign w:val="center"/>
          </w:tcPr>
          <w:p w14:paraId="0BA2B2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lang w:val="en-US" w:eastAsia="zh-CN"/>
              </w:rPr>
            </w:pPr>
            <w:r>
              <w:rPr>
                <w:rFonts w:hint="eastAsia" w:ascii="黑体" w:hAnsi="黑体" w:eastAsia="黑体" w:cs="黑体"/>
                <w:bCs/>
                <w:color w:val="auto"/>
                <w:sz w:val="21"/>
                <w:szCs w:val="21"/>
                <w:lang w:val="en-US" w:eastAsia="zh-CN"/>
              </w:rPr>
              <w:t>2400</w:t>
            </w:r>
          </w:p>
        </w:tc>
        <w:tc>
          <w:tcPr>
            <w:tcW w:w="591" w:type="pct"/>
            <w:vAlign w:val="center"/>
          </w:tcPr>
          <w:p w14:paraId="10231F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lang w:val="en-US" w:eastAsia="zh-CN"/>
              </w:rPr>
            </w:pPr>
            <w:bookmarkStart w:id="21" w:name="_GoBack"/>
            <w:bookmarkEnd w:id="21"/>
          </w:p>
        </w:tc>
        <w:tc>
          <w:tcPr>
            <w:tcW w:w="359" w:type="pct"/>
            <w:tcBorders>
              <w:right w:val="single" w:color="auto" w:sz="4" w:space="0"/>
            </w:tcBorders>
            <w:vAlign w:val="center"/>
          </w:tcPr>
          <w:p w14:paraId="010CB9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rPr>
              <w:t>13%</w:t>
            </w:r>
          </w:p>
        </w:tc>
        <w:tc>
          <w:tcPr>
            <w:tcW w:w="642" w:type="pct"/>
            <w:tcBorders>
              <w:bottom w:val="single" w:color="000000" w:sz="4" w:space="0"/>
              <w:right w:val="single" w:color="auto" w:sz="4" w:space="0"/>
            </w:tcBorders>
            <w:vAlign w:val="center"/>
          </w:tcPr>
          <w:p w14:paraId="363851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lang w:val="en-US" w:eastAsia="zh-CN"/>
              </w:rPr>
            </w:pPr>
          </w:p>
        </w:tc>
        <w:tc>
          <w:tcPr>
            <w:tcW w:w="700" w:type="pct"/>
            <w:tcBorders>
              <w:right w:val="single" w:color="auto" w:sz="4" w:space="0"/>
            </w:tcBorders>
            <w:vAlign w:val="center"/>
          </w:tcPr>
          <w:p w14:paraId="3B99D9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lang w:val="en-US"/>
              </w:rPr>
            </w:pPr>
          </w:p>
        </w:tc>
        <w:tc>
          <w:tcPr>
            <w:tcW w:w="786" w:type="pct"/>
            <w:tcBorders>
              <w:right w:val="single" w:color="auto" w:sz="4" w:space="0"/>
            </w:tcBorders>
            <w:vAlign w:val="center"/>
          </w:tcPr>
          <w:p w14:paraId="0E4EC4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p>
        </w:tc>
      </w:tr>
      <w:tr w14:paraId="27DA3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5000" w:type="pct"/>
            <w:gridSpan w:val="8"/>
            <w:tcBorders>
              <w:right w:val="single" w:color="auto" w:sz="4" w:space="0"/>
            </w:tcBorders>
            <w:vAlign w:val="center"/>
          </w:tcPr>
          <w:p w14:paraId="60BAFE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rPr>
              <w:t>含税总金额（大写）：万元整。该价款为一次性包干总价，系卖方履行本合同项下的所有内容而能获得的全部价款，包括但不限于货款、运费、保险费、装卸费、杂费、税金等，除此之外，不做任何调整，如有遗漏，均视为卖方的自愿让利行为。</w:t>
            </w:r>
          </w:p>
        </w:tc>
      </w:tr>
    </w:tbl>
    <w:p w14:paraId="0C19D9C3">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000000" w:themeColor="text1"/>
          <w:sz w:val="24"/>
          <w:szCs w:val="24"/>
          <w14:textFill>
            <w14:solidFill>
              <w14:schemeClr w14:val="tx1"/>
            </w14:solidFill>
          </w14:textFill>
        </w:rPr>
      </w:pPr>
      <w:r>
        <w:rPr>
          <w:rFonts w:hint="eastAsia" w:ascii="黑体" w:hAnsi="黑体" w:eastAsia="黑体"/>
          <w:b/>
          <w:bCs w:val="0"/>
          <w:color w:val="000000" w:themeColor="text1"/>
          <w:sz w:val="24"/>
          <w:szCs w:val="24"/>
          <w14:textFill>
            <w14:solidFill>
              <w14:schemeClr w14:val="tx1"/>
            </w14:solidFill>
          </w14:textFill>
        </w:rPr>
        <w:t>第二条 质量标准及要求</w:t>
      </w:r>
    </w:p>
    <w:p w14:paraId="2489875D">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1</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质量要求：</w:t>
      </w:r>
      <w:r>
        <w:rPr>
          <w:rFonts w:hint="eastAsia" w:ascii="黑体" w:hAnsi="黑体" w:eastAsia="黑体"/>
          <w:bCs/>
          <w:color w:val="000000" w:themeColor="text1"/>
          <w:szCs w:val="21"/>
          <w14:textFill>
            <w14:solidFill>
              <w14:schemeClr w14:val="tx1"/>
            </w14:solidFill>
          </w14:textFill>
        </w:rPr>
        <w:t>NH</w:t>
      </w:r>
      <w:r>
        <w:rPr>
          <w:rFonts w:hint="eastAsia" w:ascii="黑体" w:hAnsi="黑体" w:eastAsia="黑体"/>
          <w:bCs/>
          <w:color w:val="000000" w:themeColor="text1"/>
          <w:szCs w:val="21"/>
          <w:vertAlign w:val="subscript"/>
          <w14:textFill>
            <w14:solidFill>
              <w14:schemeClr w14:val="tx1"/>
            </w14:solidFill>
          </w14:textFill>
        </w:rPr>
        <w:t>3</w:t>
      </w:r>
      <w:r>
        <w:rPr>
          <w:rFonts w:hint="eastAsia" w:ascii="黑体" w:hAnsi="黑体" w:eastAsia="黑体"/>
          <w:bCs/>
          <w:color w:val="000000" w:themeColor="text1"/>
          <w:sz w:val="24"/>
          <w:szCs w:val="24"/>
          <w14:textFill>
            <w14:solidFill>
              <w14:schemeClr w14:val="tx1"/>
            </w14:solidFill>
          </w14:textFill>
        </w:rPr>
        <w:t>≥</w:t>
      </w:r>
      <w:r>
        <w:rPr>
          <w:rFonts w:ascii="黑体" w:hAnsi="黑体" w:eastAsia="黑体"/>
          <w:bCs/>
          <w:color w:val="000000" w:themeColor="text1"/>
          <w:sz w:val="24"/>
          <w:szCs w:val="24"/>
          <w14:textFill>
            <w14:solidFill>
              <w14:schemeClr w14:val="tx1"/>
            </w14:solidFill>
          </w14:textFill>
        </w:rPr>
        <w:t>9</w:t>
      </w:r>
      <w:r>
        <w:rPr>
          <w:rFonts w:hint="eastAsia" w:ascii="黑体" w:hAnsi="黑体" w:eastAsia="黑体"/>
          <w:bCs/>
          <w:color w:val="000000" w:themeColor="text1"/>
          <w:sz w:val="24"/>
          <w:szCs w:val="24"/>
          <w14:textFill>
            <w14:solidFill>
              <w14:schemeClr w14:val="tx1"/>
            </w14:solidFill>
          </w14:textFill>
        </w:rPr>
        <w:t>9</w:t>
      </w:r>
      <w:r>
        <w:rPr>
          <w:rFonts w:ascii="黑体" w:hAnsi="黑体" w:eastAsia="黑体"/>
          <w:bCs/>
          <w:color w:val="000000" w:themeColor="text1"/>
          <w:sz w:val="24"/>
          <w:szCs w:val="24"/>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0</w:t>
      </w:r>
      <w:r>
        <w:rPr>
          <w:rFonts w:ascii="黑体" w:hAnsi="黑体" w:eastAsia="黑体"/>
          <w:bCs/>
          <w:color w:val="000000" w:themeColor="text1"/>
          <w:sz w:val="24"/>
          <w:szCs w:val="24"/>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w:t>
      </w:r>
    </w:p>
    <w:p w14:paraId="64C583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2</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检测依据:按</w:t>
      </w:r>
      <w:r>
        <w:rPr>
          <w:rFonts w:ascii="黑体" w:hAnsi="黑体" w:eastAsia="黑体"/>
          <w:bCs/>
          <w:color w:val="000000" w:themeColor="text1"/>
          <w:sz w:val="24"/>
          <w:szCs w:val="24"/>
          <w14:textFill>
            <w14:solidFill>
              <w14:schemeClr w14:val="tx1"/>
            </w14:solidFill>
          </w14:textFill>
        </w:rPr>
        <w:t>GB/T53</w:t>
      </w:r>
      <w:r>
        <w:rPr>
          <w:rFonts w:hint="eastAsia" w:ascii="黑体" w:hAnsi="黑体" w:eastAsia="黑体"/>
          <w:bCs/>
          <w:color w:val="000000" w:themeColor="text1"/>
          <w:sz w:val="24"/>
          <w:szCs w:val="24"/>
          <w14:textFill>
            <w14:solidFill>
              <w14:schemeClr w14:val="tx1"/>
            </w14:solidFill>
          </w14:textFill>
        </w:rPr>
        <w:t>6-</w:t>
      </w:r>
      <w:r>
        <w:rPr>
          <w:rFonts w:ascii="黑体" w:hAnsi="黑体" w:eastAsia="黑体"/>
          <w:bCs/>
          <w:color w:val="000000" w:themeColor="text1"/>
          <w:sz w:val="24"/>
          <w:szCs w:val="24"/>
          <w14:textFill>
            <w14:solidFill>
              <w14:schemeClr w14:val="tx1"/>
            </w14:solidFill>
          </w14:textFill>
        </w:rPr>
        <w:t>201</w:t>
      </w:r>
      <w:r>
        <w:rPr>
          <w:rFonts w:hint="eastAsia" w:ascii="黑体" w:hAnsi="黑体" w:eastAsia="黑体"/>
          <w:bCs/>
          <w:color w:val="000000" w:themeColor="text1"/>
          <w:sz w:val="24"/>
          <w:szCs w:val="24"/>
          <w14:textFill>
            <w14:solidFill>
              <w14:schemeClr w14:val="tx1"/>
            </w14:solidFill>
          </w14:textFill>
        </w:rPr>
        <w:t>7标准检测。</w:t>
      </w:r>
    </w:p>
    <w:p w14:paraId="7831C40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黑体" w:hAnsi="黑体" w:eastAsia="黑体"/>
          <w:b/>
          <w:bCs w:val="0"/>
          <w:color w:val="000000" w:themeColor="text1"/>
          <w:sz w:val="24"/>
          <w:szCs w:val="24"/>
          <w14:textFill>
            <w14:solidFill>
              <w14:schemeClr w14:val="tx1"/>
            </w14:solidFill>
          </w14:textFill>
        </w:rPr>
      </w:pPr>
      <w:r>
        <w:rPr>
          <w:rFonts w:hint="eastAsia" w:ascii="黑体" w:hAnsi="黑体" w:eastAsia="黑体"/>
          <w:b/>
          <w:bCs w:val="0"/>
          <w:color w:val="000000" w:themeColor="text1"/>
          <w:sz w:val="24"/>
          <w:szCs w:val="24"/>
          <w14:textFill>
            <w14:solidFill>
              <w14:schemeClr w14:val="tx1"/>
            </w14:solidFill>
          </w14:textFill>
        </w:rPr>
        <w:t>第三条 交货地点及方式</w:t>
      </w:r>
    </w:p>
    <w:p w14:paraId="1AD037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1</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交货地点：买方</w:t>
      </w:r>
      <w:r>
        <w:rPr>
          <w:rFonts w:hint="eastAsia" w:ascii="黑体" w:hAnsi="黑体" w:eastAsia="黑体"/>
          <w:bCs/>
          <w:color w:val="000000" w:themeColor="text1"/>
          <w:sz w:val="24"/>
          <w:szCs w:val="24"/>
          <w:lang w:eastAsia="zh-CN"/>
          <w14:textFill>
            <w14:solidFill>
              <w14:schemeClr w14:val="tx1"/>
            </w14:solidFill>
          </w14:textFill>
        </w:rPr>
        <w:t>什邡磷化工分公司</w:t>
      </w:r>
      <w:r>
        <w:rPr>
          <w:rFonts w:hint="eastAsia" w:ascii="黑体" w:hAnsi="黑体" w:eastAsia="黑体"/>
          <w:bCs/>
          <w:color w:val="000000" w:themeColor="text1"/>
          <w:sz w:val="24"/>
          <w:szCs w:val="24"/>
          <w14:textFill>
            <w14:solidFill>
              <w14:schemeClr w14:val="tx1"/>
            </w14:solidFill>
          </w14:textFill>
        </w:rPr>
        <w:t>氨站（什邡市洛水镇）。</w:t>
      </w:r>
    </w:p>
    <w:p w14:paraId="073D1D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2</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交货方式：卖方</w:t>
      </w:r>
      <w:r>
        <w:rPr>
          <w:rFonts w:hint="eastAsia" w:ascii="黑体" w:hAnsi="黑体" w:eastAsia="黑体"/>
          <w:bCs/>
          <w:color w:val="000000" w:themeColor="text1"/>
          <w:sz w:val="24"/>
          <w:szCs w:val="24"/>
          <w:lang w:val="en-US" w:eastAsia="zh-CN"/>
          <w14:textFill>
            <w14:solidFill>
              <w14:schemeClr w14:val="tx1"/>
            </w14:solidFill>
          </w14:textFill>
        </w:rPr>
        <w:t>于合同期内，按合同总量均衡送货（日均按120吨/天）至</w:t>
      </w:r>
      <w:r>
        <w:rPr>
          <w:rFonts w:hint="eastAsia" w:ascii="黑体" w:hAnsi="黑体" w:eastAsia="黑体"/>
          <w:bCs/>
          <w:color w:val="000000" w:themeColor="text1"/>
          <w:sz w:val="24"/>
          <w:szCs w:val="24"/>
          <w14:textFill>
            <w14:solidFill>
              <w14:schemeClr w14:val="tx1"/>
            </w14:solidFill>
          </w14:textFill>
        </w:rPr>
        <w:t>买方指定地点。</w:t>
      </w:r>
    </w:p>
    <w:p w14:paraId="027453FB">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第四条 运输方式</w:t>
      </w:r>
    </w:p>
    <w:p w14:paraId="2477C2F9">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汽车运输，卖方应保证运输方式符合交通部规定的特种全封闭危险品罐装汽车运输规范及国家其他有关运输危险货物规定的要求，并承担因此产生的全部责任。由卖方负责货物装卸、装卸过程中的人员安全责任以及标的物交付之前的货损风险。</w:t>
      </w:r>
    </w:p>
    <w:p w14:paraId="600F85EB">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000000" w:themeColor="text1"/>
          <w:sz w:val="24"/>
          <w:szCs w:val="24"/>
          <w14:textFill>
            <w14:solidFill>
              <w14:schemeClr w14:val="tx1"/>
            </w14:solidFill>
          </w14:textFill>
        </w:rPr>
      </w:pPr>
      <w:r>
        <w:rPr>
          <w:rFonts w:hint="eastAsia" w:ascii="黑体" w:hAnsi="黑体" w:eastAsia="黑体"/>
          <w:b/>
          <w:bCs w:val="0"/>
          <w:color w:val="000000" w:themeColor="text1"/>
          <w:sz w:val="24"/>
          <w:szCs w:val="24"/>
          <w14:textFill>
            <w14:solidFill>
              <w14:schemeClr w14:val="tx1"/>
            </w14:solidFill>
          </w14:textFill>
        </w:rPr>
        <w:t>第五条 标的物验收及异议处理</w:t>
      </w:r>
    </w:p>
    <w:p w14:paraId="1086CA69">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1.</w:t>
      </w:r>
      <w:r>
        <w:rPr>
          <w:rFonts w:hint="eastAsia" w:ascii="黑体" w:hAnsi="黑体" w:eastAsia="黑体"/>
          <w:bCs/>
          <w:color w:val="000000" w:themeColor="text1"/>
          <w:sz w:val="24"/>
          <w:szCs w:val="24"/>
          <w14:textFill>
            <w14:solidFill>
              <w14:schemeClr w14:val="tx1"/>
            </w14:solidFill>
          </w14:textFill>
        </w:rPr>
        <w:t>标的物数量验收以买方地磅计量为准。</w:t>
      </w:r>
    </w:p>
    <w:p w14:paraId="2F128685">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2</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标的物质量验收以买方检验报告为准。在收货时由买方负责取样，卖方负责监督，如有异议，买卖双方在现场提出；样品由买卖双方代表共同签字认可（如卖方未派人监督取样、制样，则视为卖方认可买方所取样品）。检验报告结果由买方口头、电话通知卖方或由卖方自行前往买方查阅检验报告。</w:t>
      </w:r>
    </w:p>
    <w:p w14:paraId="76C385B5">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3</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卖方异议处置：如卖方对买方出具的检验报告有异议，卖方应于检验报告出具后2日内提出书面异议，异议处置的流程和要求按买方现行有效的《原燃料质量异议处置管理制度》执行，</w:t>
      </w:r>
      <w:bookmarkStart w:id="15" w:name="_Hlk63678961"/>
      <w:r>
        <w:rPr>
          <w:rFonts w:hint="eastAsia" w:ascii="黑体" w:hAnsi="黑体" w:eastAsia="黑体"/>
          <w:bCs/>
          <w:color w:val="000000" w:themeColor="text1"/>
          <w:sz w:val="24"/>
          <w:szCs w:val="24"/>
          <w14:textFill>
            <w14:solidFill>
              <w14:schemeClr w14:val="tx1"/>
            </w14:solidFill>
          </w14:textFill>
        </w:rPr>
        <w:t>在签署本合同前买方已将该制度告知卖方</w:t>
      </w:r>
      <w:bookmarkEnd w:id="15"/>
      <w:r>
        <w:rPr>
          <w:rFonts w:hint="eastAsia" w:ascii="黑体" w:hAnsi="黑体" w:eastAsia="黑体"/>
          <w:bCs/>
          <w:color w:val="000000" w:themeColor="text1"/>
          <w:sz w:val="24"/>
          <w:szCs w:val="24"/>
          <w14:textFill>
            <w14:solidFill>
              <w14:schemeClr w14:val="tx1"/>
            </w14:solidFill>
          </w14:textFill>
        </w:rPr>
        <w:t>，卖方已知晓</w:t>
      </w:r>
      <w:bookmarkStart w:id="16" w:name="_Hlk63678996"/>
      <w:r>
        <w:rPr>
          <w:rFonts w:hint="eastAsia" w:ascii="黑体" w:hAnsi="黑体" w:eastAsia="黑体"/>
          <w:bCs/>
          <w:color w:val="000000" w:themeColor="text1"/>
          <w:sz w:val="24"/>
          <w:szCs w:val="24"/>
          <w14:textFill>
            <w14:solidFill>
              <w14:schemeClr w14:val="tx1"/>
            </w14:solidFill>
          </w14:textFill>
        </w:rPr>
        <w:t>并承诺遵守</w:t>
      </w:r>
      <w:bookmarkEnd w:id="16"/>
      <w:r>
        <w:rPr>
          <w:rFonts w:hint="eastAsia" w:ascii="黑体" w:hAnsi="黑体" w:eastAsia="黑体"/>
          <w:bCs/>
          <w:color w:val="000000" w:themeColor="text1"/>
          <w:sz w:val="24"/>
          <w:szCs w:val="24"/>
          <w14:textFill>
            <w14:solidFill>
              <w14:schemeClr w14:val="tx1"/>
            </w14:solidFill>
          </w14:textFill>
        </w:rPr>
        <w:t>其全部内容。卖方逾期未提出异议的，视为卖方认同买方的检验结果。</w:t>
      </w:r>
    </w:p>
    <w:p w14:paraId="3E837E30">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000000" w:themeColor="text1"/>
          <w:sz w:val="24"/>
          <w:szCs w:val="24"/>
          <w14:textFill>
            <w14:solidFill>
              <w14:schemeClr w14:val="tx1"/>
            </w14:solidFill>
          </w14:textFill>
        </w:rPr>
      </w:pPr>
      <w:r>
        <w:rPr>
          <w:rFonts w:hint="eastAsia" w:ascii="黑体" w:hAnsi="黑体" w:eastAsia="黑体"/>
          <w:b/>
          <w:bCs w:val="0"/>
          <w:color w:val="000000" w:themeColor="text1"/>
          <w:sz w:val="24"/>
          <w:szCs w:val="24"/>
          <w14:textFill>
            <w14:solidFill>
              <w14:schemeClr w14:val="tx1"/>
            </w14:solidFill>
          </w14:textFill>
        </w:rPr>
        <w:t>第六条 结算依据及标准</w:t>
      </w:r>
    </w:p>
    <w:p w14:paraId="660645A8">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1</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以买方的检验报告和实收数量为结算依据。</w:t>
      </w:r>
    </w:p>
    <w:p w14:paraId="7BD24A06">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2</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按</w:t>
      </w:r>
      <w:r>
        <w:rPr>
          <w:rFonts w:hint="eastAsia" w:ascii="黑体" w:hAnsi="黑体" w:eastAsia="黑体"/>
          <w:bCs/>
          <w:color w:val="000000" w:themeColor="text1"/>
          <w:sz w:val="24"/>
          <w:szCs w:val="24"/>
          <w:lang w:val="en-US" w:eastAsia="zh-CN"/>
          <w14:textFill>
            <w14:solidFill>
              <w14:schemeClr w14:val="tx1"/>
            </w14:solidFill>
          </w14:textFill>
        </w:rPr>
        <w:t>买方</w:t>
      </w:r>
      <w:r>
        <w:rPr>
          <w:rFonts w:hint="eastAsia" w:ascii="黑体" w:hAnsi="黑体" w:eastAsia="黑体"/>
          <w:bCs/>
          <w:color w:val="000000" w:themeColor="text1"/>
          <w:sz w:val="24"/>
          <w:szCs w:val="24"/>
          <w14:textFill>
            <w14:solidFill>
              <w14:schemeClr w14:val="tx1"/>
            </w14:solidFill>
          </w14:textFill>
        </w:rPr>
        <w:t>现行有效的《结算办法》进行结算。</w:t>
      </w:r>
      <w:bookmarkStart w:id="17" w:name="_Hlk63678974"/>
      <w:r>
        <w:rPr>
          <w:rFonts w:hint="eastAsia" w:ascii="黑体" w:hAnsi="黑体" w:eastAsia="黑体"/>
          <w:bCs/>
          <w:color w:val="000000" w:themeColor="text1"/>
          <w:sz w:val="24"/>
          <w:szCs w:val="24"/>
          <w14:textFill>
            <w14:solidFill>
              <w14:schemeClr w14:val="tx1"/>
            </w14:solidFill>
          </w14:textFill>
        </w:rPr>
        <w:t>《结算办法》</w:t>
      </w:r>
      <w:bookmarkEnd w:id="17"/>
      <w:r>
        <w:rPr>
          <w:rFonts w:hint="eastAsia" w:ascii="黑体" w:hAnsi="黑体" w:eastAsia="黑体"/>
          <w:bCs/>
          <w:color w:val="000000" w:themeColor="text1"/>
          <w:sz w:val="24"/>
          <w:szCs w:val="24"/>
          <w14:textFill>
            <w14:solidFill>
              <w14:schemeClr w14:val="tx1"/>
            </w14:solidFill>
          </w14:textFill>
        </w:rPr>
        <w:t>中质量指标在财务结算时数据保留三位小数，三位小数点后四舍五入。在签署本合同前买方已将《结算办法》告知卖方，卖方已知晓并承诺遵守《结算办法》的全部内容。</w:t>
      </w:r>
    </w:p>
    <w:p w14:paraId="11766108">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000000" w:themeColor="text1"/>
          <w:sz w:val="24"/>
          <w:szCs w:val="24"/>
          <w14:textFill>
            <w14:solidFill>
              <w14:schemeClr w14:val="tx1"/>
            </w14:solidFill>
          </w14:textFill>
        </w:rPr>
      </w:pPr>
      <w:r>
        <w:rPr>
          <w:rFonts w:hint="eastAsia" w:ascii="黑体" w:hAnsi="黑体" w:eastAsia="黑体"/>
          <w:b/>
          <w:bCs w:val="0"/>
          <w:color w:val="000000" w:themeColor="text1"/>
          <w:sz w:val="24"/>
          <w:szCs w:val="24"/>
          <w14:textFill>
            <w14:solidFill>
              <w14:schemeClr w14:val="tx1"/>
            </w14:solidFill>
          </w14:textFill>
        </w:rPr>
        <w:t>第七条 付款方式及发票</w:t>
      </w:r>
    </w:p>
    <w:p w14:paraId="3696872A">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1</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付款方式：先货后款，现汇支付。</w:t>
      </w:r>
    </w:p>
    <w:p w14:paraId="346B1941">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2</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发票：卖方应向买方出具合法有效的符合买方要求的全额增值税专用发票（税率13%）。</w:t>
      </w:r>
    </w:p>
    <w:p w14:paraId="06948BBA">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000000" w:themeColor="text1"/>
          <w:sz w:val="24"/>
          <w:szCs w:val="24"/>
          <w14:textFill>
            <w14:solidFill>
              <w14:schemeClr w14:val="tx1"/>
            </w14:solidFill>
          </w14:textFill>
        </w:rPr>
      </w:pPr>
      <w:r>
        <w:rPr>
          <w:rFonts w:hint="eastAsia" w:ascii="黑体" w:hAnsi="黑体" w:eastAsia="黑体"/>
          <w:b/>
          <w:bCs w:val="0"/>
          <w:color w:val="000000" w:themeColor="text1"/>
          <w:sz w:val="24"/>
          <w:szCs w:val="24"/>
          <w14:textFill>
            <w14:solidFill>
              <w14:schemeClr w14:val="tx1"/>
            </w14:solidFill>
          </w14:textFill>
        </w:rPr>
        <w:t>第八条 违约责任</w:t>
      </w:r>
    </w:p>
    <w:p w14:paraId="4CC4B44B">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1</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卖方应具备合法的经营资质，并向买方主动提供相应证件。如因弄虚作假造成的一切法律责任和经济纠纷由卖方承担。</w:t>
      </w:r>
    </w:p>
    <w:p w14:paraId="01B9DC02">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2</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卖方必须保证所供货物整车均匀，质量一致，如卖方弄虚作假，买方按该车的最低品位进行结算。给买方造成损失的，卖方承担相应的经济责任与法律责任。</w:t>
      </w:r>
    </w:p>
    <w:p w14:paraId="325F9CA4">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3</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运输要求及安全规定：卖方委托的运输车辆必须符合国家有关运输危险货物规定的要求，具备有效齐全的证照及相关手续，应配备有效资质的押运人员。在运输及卸车过程中，所发生的安全、环保事故（包括人身伤害、财产损失和环保污染事故等），由卖方承担全部责任及损失。若因此给买方或第三方造成经济损失，由卖方全额赔偿。</w:t>
      </w:r>
    </w:p>
    <w:p w14:paraId="2737B7F1">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4</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卖方应严格遵守买方《四川宏达股份有限公司</w:t>
      </w:r>
      <w:r>
        <w:rPr>
          <w:rFonts w:hint="eastAsia" w:ascii="黑体" w:hAnsi="黑体" w:eastAsia="黑体"/>
          <w:bCs/>
          <w:color w:val="000000" w:themeColor="text1"/>
          <w:sz w:val="24"/>
          <w:szCs w:val="24"/>
          <w:lang w:eastAsia="zh-CN"/>
          <w14:textFill>
            <w14:solidFill>
              <w14:schemeClr w14:val="tx1"/>
            </w14:solidFill>
          </w14:textFill>
        </w:rPr>
        <w:t>什邡磷化工分公司</w:t>
      </w:r>
      <w:r>
        <w:rPr>
          <w:rFonts w:hint="eastAsia" w:ascii="黑体" w:hAnsi="黑体" w:eastAsia="黑体"/>
          <w:bCs/>
          <w:color w:val="000000" w:themeColor="text1"/>
          <w:sz w:val="24"/>
          <w:szCs w:val="24"/>
          <w14:textFill>
            <w14:solidFill>
              <w14:schemeClr w14:val="tx1"/>
            </w14:solidFill>
          </w14:textFill>
        </w:rPr>
        <w:t>液氨站氨车接卸管理制度》，在签署本合同前已知晓其全部内容，否则将取消相关驾、押人员的运输资格，造成事故后果的由卖方承担全部责任和损失。</w:t>
      </w:r>
    </w:p>
    <w:p w14:paraId="194647EE">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第九条 争议解决方式</w:t>
      </w:r>
    </w:p>
    <w:p w14:paraId="205BDB03">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因履行本合同而产生争议或纠纷，买卖双方应尽量协商解决，协商不成的，应向买方住所地有管辖权的人民法院提起诉讼。</w:t>
      </w:r>
    </w:p>
    <w:p w14:paraId="3E3F8C9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黑体" w:hAnsi="黑体" w:eastAsia="黑体"/>
          <w:b/>
          <w:bCs w:val="0"/>
          <w:color w:val="000000" w:themeColor="text1"/>
          <w:sz w:val="24"/>
          <w:szCs w:val="24"/>
          <w14:textFill>
            <w14:solidFill>
              <w14:schemeClr w14:val="tx1"/>
            </w14:solidFill>
          </w14:textFill>
        </w:rPr>
      </w:pPr>
      <w:r>
        <w:rPr>
          <w:rFonts w:hint="eastAsia" w:ascii="黑体" w:hAnsi="黑体" w:eastAsia="黑体"/>
          <w:b/>
          <w:bCs w:val="0"/>
          <w:color w:val="000000" w:themeColor="text1"/>
          <w:sz w:val="24"/>
          <w:szCs w:val="24"/>
          <w14:textFill>
            <w14:solidFill>
              <w14:schemeClr w14:val="tx1"/>
            </w14:solidFill>
          </w14:textFill>
        </w:rPr>
        <w:t>第</w:t>
      </w:r>
      <w:r>
        <w:rPr>
          <w:rFonts w:hint="eastAsia" w:ascii="黑体" w:hAnsi="黑体" w:eastAsia="黑体"/>
          <w:b/>
          <w:bCs w:val="0"/>
          <w:color w:val="000000" w:themeColor="text1"/>
          <w:sz w:val="24"/>
          <w:szCs w:val="24"/>
          <w:lang w:val="en-US" w:eastAsia="zh-CN"/>
          <w14:textFill>
            <w14:solidFill>
              <w14:schemeClr w14:val="tx1"/>
            </w14:solidFill>
          </w14:textFill>
        </w:rPr>
        <w:t>十</w:t>
      </w:r>
      <w:r>
        <w:rPr>
          <w:rFonts w:hint="eastAsia" w:ascii="黑体" w:hAnsi="黑体" w:eastAsia="黑体"/>
          <w:b/>
          <w:bCs w:val="0"/>
          <w:color w:val="000000" w:themeColor="text1"/>
          <w:sz w:val="24"/>
          <w:szCs w:val="24"/>
          <w14:textFill>
            <w14:solidFill>
              <w14:schemeClr w14:val="tx1"/>
            </w14:solidFill>
          </w14:textFill>
        </w:rPr>
        <w:t>条 通知与送达</w:t>
      </w:r>
    </w:p>
    <w:p w14:paraId="75A5A052">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双方以本合同载明的通讯联络方式作为通知的依据，双方员工通过未载明的微信账号发送通知的，应出具证明劳动关系的相应材料。双方通讯方式变更的，应提前三天书面通知对方，否则按原通讯方式送达仍视为有效送达。</w:t>
      </w:r>
    </w:p>
    <w:p w14:paraId="663CD6B3">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000000" w:themeColor="text1"/>
          <w:sz w:val="24"/>
          <w:szCs w:val="24"/>
          <w14:textFill>
            <w14:solidFill>
              <w14:schemeClr w14:val="tx1"/>
            </w14:solidFill>
          </w14:textFill>
        </w:rPr>
      </w:pPr>
      <w:r>
        <w:rPr>
          <w:rFonts w:hint="eastAsia" w:ascii="黑体" w:hAnsi="黑体" w:eastAsia="黑体"/>
          <w:b/>
          <w:bCs w:val="0"/>
          <w:color w:val="000000" w:themeColor="text1"/>
          <w:sz w:val="24"/>
          <w:szCs w:val="24"/>
          <w14:textFill>
            <w14:solidFill>
              <w14:schemeClr w14:val="tx1"/>
            </w14:solidFill>
          </w14:textFill>
        </w:rPr>
        <w:t>第十一条 合同有效期限</w:t>
      </w:r>
    </w:p>
    <w:p w14:paraId="3FE5341D">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sz w:val="24"/>
          <w:szCs w:val="24"/>
        </w:rPr>
      </w:pPr>
      <w:r>
        <w:rPr>
          <w:rFonts w:hint="eastAsia" w:ascii="黑体" w:hAnsi="黑体" w:eastAsia="黑体"/>
          <w:bCs/>
          <w:color w:val="000000" w:themeColor="text1"/>
          <w:sz w:val="24"/>
          <w:szCs w:val="24"/>
          <w14:textFill>
            <w14:solidFill>
              <w14:schemeClr w14:val="tx1"/>
            </w14:solidFill>
          </w14:textFill>
        </w:rPr>
        <w:t>本合同有效期自202</w:t>
      </w:r>
      <w:r>
        <w:rPr>
          <w:rFonts w:hint="eastAsia" w:ascii="黑体" w:hAnsi="黑体" w:eastAsia="黑体"/>
          <w:bCs/>
          <w:color w:val="000000" w:themeColor="text1"/>
          <w:sz w:val="24"/>
          <w:szCs w:val="24"/>
          <w:lang w:val="en-US" w:eastAsia="zh-CN"/>
          <w14:textFill>
            <w14:solidFill>
              <w14:schemeClr w14:val="tx1"/>
            </w14:solidFill>
          </w14:textFill>
        </w:rPr>
        <w:t>6</w:t>
      </w:r>
      <w:r>
        <w:rPr>
          <w:rFonts w:hint="eastAsia" w:ascii="黑体" w:hAnsi="黑体" w:eastAsia="黑体"/>
          <w:bCs/>
          <w:color w:val="000000" w:themeColor="text1"/>
          <w:sz w:val="24"/>
          <w:szCs w:val="24"/>
          <w14:textFill>
            <w14:solidFill>
              <w14:schemeClr w14:val="tx1"/>
            </w14:solidFill>
          </w14:textFill>
        </w:rPr>
        <w:t>年</w:t>
      </w:r>
      <w:r>
        <w:rPr>
          <w:rFonts w:hint="eastAsia" w:ascii="黑体" w:hAnsi="黑体" w:eastAsia="黑体"/>
          <w:bCs/>
          <w:color w:val="000000" w:themeColor="text1"/>
          <w:sz w:val="24"/>
          <w:szCs w:val="24"/>
          <w:lang w:val="en-US" w:eastAsia="zh-CN"/>
          <w14:textFill>
            <w14:solidFill>
              <w14:schemeClr w14:val="tx1"/>
            </w14:solidFill>
          </w14:textFill>
        </w:rPr>
        <w:t>5</w:t>
      </w:r>
      <w:r>
        <w:rPr>
          <w:rFonts w:hint="eastAsia" w:ascii="黑体" w:hAnsi="黑体" w:eastAsia="黑体"/>
          <w:bCs/>
          <w:color w:val="000000" w:themeColor="text1"/>
          <w:sz w:val="24"/>
          <w:szCs w:val="24"/>
          <w14:textFill>
            <w14:solidFill>
              <w14:schemeClr w14:val="tx1"/>
            </w14:solidFill>
          </w14:textFill>
        </w:rPr>
        <w:t>月</w:t>
      </w:r>
      <w:r>
        <w:rPr>
          <w:rFonts w:hint="eastAsia" w:ascii="黑体" w:hAnsi="黑体" w:eastAsia="黑体"/>
          <w:bCs/>
          <w:color w:val="000000" w:themeColor="text1"/>
          <w:sz w:val="24"/>
          <w:szCs w:val="24"/>
          <w:lang w:val="en-US" w:eastAsia="zh-CN"/>
          <w14:textFill>
            <w14:solidFill>
              <w14:schemeClr w14:val="tx1"/>
            </w14:solidFill>
          </w14:textFill>
        </w:rPr>
        <w:t>12</w:t>
      </w:r>
      <w:r>
        <w:rPr>
          <w:rFonts w:hint="eastAsia" w:ascii="黑体" w:hAnsi="黑体" w:eastAsia="黑体"/>
          <w:bCs/>
          <w:color w:val="000000" w:themeColor="text1"/>
          <w:sz w:val="24"/>
          <w:szCs w:val="24"/>
          <w14:textFill>
            <w14:solidFill>
              <w14:schemeClr w14:val="tx1"/>
            </w14:solidFill>
          </w14:textFill>
        </w:rPr>
        <w:t>日起至202</w:t>
      </w:r>
      <w:r>
        <w:rPr>
          <w:rFonts w:hint="eastAsia" w:ascii="黑体" w:hAnsi="黑体" w:eastAsia="黑体"/>
          <w:bCs/>
          <w:color w:val="000000" w:themeColor="text1"/>
          <w:sz w:val="24"/>
          <w:szCs w:val="24"/>
          <w:lang w:val="en-US" w:eastAsia="zh-CN"/>
          <w14:textFill>
            <w14:solidFill>
              <w14:schemeClr w14:val="tx1"/>
            </w14:solidFill>
          </w14:textFill>
        </w:rPr>
        <w:t>6</w:t>
      </w:r>
      <w:r>
        <w:rPr>
          <w:rFonts w:hint="eastAsia" w:ascii="黑体" w:hAnsi="黑体" w:eastAsia="黑体"/>
          <w:bCs/>
          <w:color w:val="000000" w:themeColor="text1"/>
          <w:sz w:val="24"/>
          <w:szCs w:val="24"/>
          <w14:textFill>
            <w14:solidFill>
              <w14:schemeClr w14:val="tx1"/>
            </w14:solidFill>
          </w14:textFill>
        </w:rPr>
        <w:t>年</w:t>
      </w:r>
      <w:r>
        <w:rPr>
          <w:rFonts w:hint="eastAsia" w:ascii="黑体" w:hAnsi="黑体" w:eastAsia="黑体"/>
          <w:bCs/>
          <w:color w:val="000000" w:themeColor="text1"/>
          <w:sz w:val="24"/>
          <w:szCs w:val="24"/>
          <w:lang w:val="en-US" w:eastAsia="zh-CN"/>
          <w14:textFill>
            <w14:solidFill>
              <w14:schemeClr w14:val="tx1"/>
            </w14:solidFill>
          </w14:textFill>
        </w:rPr>
        <w:t>5</w:t>
      </w:r>
      <w:r>
        <w:rPr>
          <w:rFonts w:hint="eastAsia" w:ascii="黑体" w:hAnsi="黑体" w:eastAsia="黑体"/>
          <w:bCs/>
          <w:color w:val="000000" w:themeColor="text1"/>
          <w:sz w:val="24"/>
          <w:szCs w:val="24"/>
          <w14:textFill>
            <w14:solidFill>
              <w14:schemeClr w14:val="tx1"/>
            </w14:solidFill>
          </w14:textFill>
        </w:rPr>
        <w:t>月</w:t>
      </w:r>
      <w:r>
        <w:rPr>
          <w:rFonts w:hint="eastAsia" w:ascii="黑体" w:hAnsi="黑体" w:eastAsia="黑体"/>
          <w:bCs/>
          <w:color w:val="000000" w:themeColor="text1"/>
          <w:sz w:val="24"/>
          <w:szCs w:val="24"/>
          <w:lang w:val="en-US" w:eastAsia="zh-CN"/>
          <w14:textFill>
            <w14:solidFill>
              <w14:schemeClr w14:val="tx1"/>
            </w14:solidFill>
          </w14:textFill>
        </w:rPr>
        <w:t>31</w:t>
      </w:r>
      <w:r>
        <w:rPr>
          <w:rFonts w:hint="eastAsia" w:ascii="黑体" w:hAnsi="黑体" w:eastAsia="黑体"/>
          <w:bCs/>
          <w:color w:val="000000" w:themeColor="text1"/>
          <w:sz w:val="24"/>
          <w:szCs w:val="24"/>
          <w14:textFill>
            <w14:solidFill>
              <w14:schemeClr w14:val="tx1"/>
            </w14:solidFill>
          </w14:textFill>
        </w:rPr>
        <w:t>日止。</w:t>
      </w:r>
      <w:r>
        <w:rPr>
          <w:rFonts w:hint="eastAsia" w:ascii="黑体" w:hAnsi="黑体" w:eastAsia="黑体"/>
          <w:bCs/>
          <w:sz w:val="24"/>
          <w:szCs w:val="24"/>
        </w:rPr>
        <w:t>合同有效期限届满或合同约定供货数量完成本合同自动终止，若双方有意向继续合作的，由双方协商一致另行签订书面合同。</w:t>
      </w:r>
    </w:p>
    <w:p w14:paraId="7E1ABD73">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000000" w:themeColor="text1"/>
          <w:sz w:val="24"/>
          <w:szCs w:val="24"/>
          <w14:textFill>
            <w14:solidFill>
              <w14:schemeClr w14:val="tx1"/>
            </w14:solidFill>
          </w14:textFill>
        </w:rPr>
      </w:pPr>
      <w:r>
        <w:rPr>
          <w:rFonts w:hint="eastAsia" w:ascii="黑体" w:hAnsi="黑体" w:eastAsia="黑体"/>
          <w:b/>
          <w:bCs w:val="0"/>
          <w:color w:val="000000" w:themeColor="text1"/>
          <w:sz w:val="24"/>
          <w:szCs w:val="24"/>
          <w14:textFill>
            <w14:solidFill>
              <w14:schemeClr w14:val="tx1"/>
            </w14:solidFill>
          </w14:textFill>
        </w:rPr>
        <w:t>第十二条 合同生效及份数</w:t>
      </w:r>
    </w:p>
    <w:p w14:paraId="50E281F3">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cs="黑体"/>
          <w:bCs/>
          <w:kern w:val="2"/>
          <w:sz w:val="24"/>
          <w:szCs w:val="24"/>
          <w:lang w:val="en-US" w:eastAsia="zh-CN" w:bidi="ar-SA"/>
        </w:rPr>
        <w:t>本合同自买卖双方加盖公章/合同专用章后生效。本合同一式肆份，买卖双方各执贰份，具有同等法律效力。</w:t>
      </w:r>
    </w:p>
    <w:p w14:paraId="3D1CA03E">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第十三条  其它约定事项</w:t>
      </w:r>
    </w:p>
    <w:p w14:paraId="30E198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1</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lang w:val="en-US" w:eastAsia="zh-CN"/>
          <w14:textFill>
            <w14:solidFill>
              <w14:schemeClr w14:val="tx1"/>
            </w14:solidFill>
          </w14:textFill>
        </w:rPr>
        <w:t>本合同约定价格在合同期内为不变价。</w:t>
      </w:r>
    </w:p>
    <w:p w14:paraId="5F1E40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2.</w:t>
      </w:r>
      <w:r>
        <w:rPr>
          <w:rFonts w:hint="eastAsia" w:ascii="黑体" w:hAnsi="黑体" w:eastAsia="黑体"/>
          <w:bCs/>
          <w:color w:val="000000" w:themeColor="text1"/>
          <w:sz w:val="24"/>
          <w:szCs w:val="24"/>
          <w14:textFill>
            <w14:solidFill>
              <w14:schemeClr w14:val="tx1"/>
            </w14:solidFill>
          </w14:textFill>
        </w:rPr>
        <w:t>买方收取卖方履约保证金</w:t>
      </w:r>
      <w:r>
        <w:rPr>
          <w:rFonts w:hint="eastAsia" w:ascii="黑体" w:hAnsi="黑体" w:eastAsia="黑体"/>
          <w:bCs/>
          <w:color w:val="000000" w:themeColor="text1"/>
          <w:sz w:val="24"/>
          <w:szCs w:val="24"/>
          <w:lang w:val="en-US" w:eastAsia="zh-CN"/>
          <w14:textFill>
            <w14:solidFill>
              <w14:schemeClr w14:val="tx1"/>
            </w14:solidFill>
          </w14:textFill>
        </w:rPr>
        <w:t>20</w:t>
      </w:r>
      <w:r>
        <w:rPr>
          <w:rFonts w:hint="eastAsia" w:ascii="黑体" w:hAnsi="黑体" w:eastAsia="黑体"/>
          <w:bCs/>
          <w:color w:val="000000" w:themeColor="text1"/>
          <w:sz w:val="24"/>
          <w:szCs w:val="24"/>
          <w14:textFill>
            <w14:solidFill>
              <w14:schemeClr w14:val="tx1"/>
            </w14:solidFill>
          </w14:textFill>
        </w:rPr>
        <w:t>万元。</w:t>
      </w:r>
    </w:p>
    <w:p w14:paraId="4E668F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①</w:t>
      </w:r>
      <w:r>
        <w:rPr>
          <w:rFonts w:hint="eastAsia" w:ascii="黑体" w:hAnsi="黑体" w:eastAsia="黑体"/>
          <w:bCs/>
          <w:color w:val="000000" w:themeColor="text1"/>
          <w:sz w:val="24"/>
          <w:szCs w:val="24"/>
          <w:lang w:val="en-US" w:eastAsia="zh-CN"/>
          <w14:textFill>
            <w14:solidFill>
              <w14:schemeClr w14:val="tx1"/>
            </w14:solidFill>
          </w14:textFill>
        </w:rPr>
        <w:t>非买方原因，卖方于合同期内的供货总数量＜合同数量的90%，合同期内所供液氨的合同单价下调100元/吨结算，</w:t>
      </w:r>
      <w:r>
        <w:rPr>
          <w:rFonts w:hint="eastAsia" w:ascii="黑体" w:hAnsi="黑体" w:eastAsia="黑体"/>
          <w:bCs/>
          <w:color w:val="000000" w:themeColor="text1"/>
          <w:sz w:val="24"/>
          <w:szCs w:val="24"/>
          <w14:textFill>
            <w14:solidFill>
              <w14:schemeClr w14:val="tx1"/>
            </w14:solidFill>
          </w14:textFill>
        </w:rPr>
        <w:t>履约保证金不足以支付违约金的，以卖方货款补齐；</w:t>
      </w:r>
    </w:p>
    <w:p w14:paraId="7D0687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②若卖方在签订合同后恶意不执行合同，买方除不退还卖方履约保证金外，并将卖方列入买方合作黑名单，永不合作</w:t>
      </w:r>
      <w:r>
        <w:rPr>
          <w:rFonts w:hint="eastAsia" w:ascii="黑体" w:hAnsi="黑体" w:eastAsia="黑体"/>
          <w:bCs/>
          <w:color w:val="000000" w:themeColor="text1"/>
          <w:sz w:val="24"/>
          <w:szCs w:val="24"/>
          <w:lang w:val="en-US" w:eastAsia="zh-CN"/>
          <w14:textFill>
            <w14:solidFill>
              <w14:schemeClr w14:val="tx1"/>
            </w14:solidFill>
          </w14:textFill>
        </w:rPr>
        <w:t>；</w:t>
      </w:r>
    </w:p>
    <w:p w14:paraId="3B7009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③本合同执行完毕</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lang w:val="en-US" w:eastAsia="zh-CN"/>
          <w14:textFill>
            <w14:solidFill>
              <w14:schemeClr w14:val="tx1"/>
            </w14:solidFill>
          </w14:textFill>
        </w:rPr>
        <w:t>卖方</w:t>
      </w:r>
      <w:r>
        <w:rPr>
          <w:rFonts w:hint="eastAsia" w:ascii="黑体" w:hAnsi="黑体" w:eastAsia="黑体"/>
          <w:bCs/>
          <w:color w:val="000000" w:themeColor="text1"/>
          <w:sz w:val="24"/>
          <w:szCs w:val="24"/>
          <w14:textFill>
            <w14:solidFill>
              <w14:schemeClr w14:val="tx1"/>
            </w14:solidFill>
          </w14:textFill>
        </w:rPr>
        <w:t>无违约行为，</w:t>
      </w:r>
      <w:r>
        <w:rPr>
          <w:rFonts w:hint="eastAsia" w:ascii="黑体" w:hAnsi="黑体" w:eastAsia="黑体"/>
          <w:bCs/>
          <w:color w:val="000000" w:themeColor="text1"/>
          <w:sz w:val="24"/>
          <w:szCs w:val="24"/>
          <w:lang w:val="en-US" w:eastAsia="zh-CN"/>
          <w14:textFill>
            <w14:solidFill>
              <w14:schemeClr w14:val="tx1"/>
            </w14:solidFill>
          </w14:textFill>
        </w:rPr>
        <w:t>买方在十个工作日内全额</w:t>
      </w:r>
      <w:r>
        <w:rPr>
          <w:rFonts w:hint="eastAsia" w:ascii="黑体" w:hAnsi="黑体" w:eastAsia="黑体"/>
          <w:bCs/>
          <w:color w:val="000000" w:themeColor="text1"/>
          <w:sz w:val="24"/>
          <w:szCs w:val="24"/>
          <w14:textFill>
            <w14:solidFill>
              <w14:schemeClr w14:val="tx1"/>
            </w14:solidFill>
          </w14:textFill>
        </w:rPr>
        <w:t>退还履约保证金。</w:t>
      </w:r>
    </w:p>
    <w:p w14:paraId="320FC963">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3.</w:t>
      </w:r>
      <w:r>
        <w:rPr>
          <w:rFonts w:hint="eastAsia" w:ascii="黑体" w:hAnsi="黑体" w:eastAsia="黑体"/>
          <w:bCs/>
          <w:sz w:val="24"/>
          <w:szCs w:val="24"/>
        </w:rPr>
        <w:t>买方的真实意思表示以买方用印公章/合同专用章后的合同为准。本合同项下加盖的其他买方印章及买方员工签字无效，对买方不具有约束力。若由此给卖方造成损失的，买方不承担任何责任</w:t>
      </w:r>
      <w:r>
        <w:rPr>
          <w:rFonts w:hint="eastAsia" w:ascii="黑体" w:hAnsi="黑体" w:eastAsia="黑体"/>
          <w:bCs/>
          <w:sz w:val="24"/>
          <w:szCs w:val="24"/>
          <w:lang w:eastAsia="zh-CN"/>
        </w:rPr>
        <w:t>。</w:t>
      </w:r>
    </w:p>
    <w:p w14:paraId="3025D87E">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4</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卖方车辆进出买方厂区时应遵守买方《公司（厂）内部交通安全管理规定》和《公司（厂）内部环境和职业健康安全告知书》，在签署本合同前已知晓其全部内容。</w:t>
      </w:r>
    </w:p>
    <w:p w14:paraId="7D00C1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（以下无正文）</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3"/>
        <w:gridCol w:w="4546"/>
      </w:tblGrid>
      <w:tr w14:paraId="74D3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2" w:type="pct"/>
            <w:tcBorders>
              <w:top w:val="single" w:color="auto" w:sz="4" w:space="0"/>
              <w:left w:val="single" w:color="auto" w:sz="4" w:space="0"/>
              <w:bottom w:val="single" w:color="auto" w:sz="4" w:space="0"/>
              <w:right w:val="single" w:color="auto" w:sz="4" w:space="0"/>
            </w:tcBorders>
          </w:tcPr>
          <w:p w14:paraId="693DF684">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买方（盖章）：四川宏达股份有限公司</w:t>
            </w:r>
          </w:p>
        </w:tc>
        <w:tc>
          <w:tcPr>
            <w:tcW w:w="2668" w:type="pct"/>
            <w:tcBorders>
              <w:top w:val="single" w:color="auto" w:sz="4" w:space="0"/>
              <w:left w:val="single" w:color="auto" w:sz="4" w:space="0"/>
              <w:bottom w:val="single" w:color="auto" w:sz="4" w:space="0"/>
              <w:right w:val="single" w:color="auto" w:sz="4" w:space="0"/>
            </w:tcBorders>
          </w:tcPr>
          <w:p w14:paraId="1727D936">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卖方（盖章）：</w:t>
            </w:r>
          </w:p>
        </w:tc>
      </w:tr>
      <w:tr w14:paraId="61B3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2" w:type="pct"/>
            <w:tcBorders>
              <w:top w:val="single" w:color="auto" w:sz="4" w:space="0"/>
              <w:left w:val="single" w:color="auto" w:sz="4" w:space="0"/>
              <w:bottom w:val="single" w:color="auto" w:sz="4" w:space="0"/>
              <w:right w:val="single" w:color="auto" w:sz="4" w:space="0"/>
            </w:tcBorders>
          </w:tcPr>
          <w:p w14:paraId="270AE920">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法定代表人或委托代理人（签字）：</w:t>
            </w:r>
          </w:p>
        </w:tc>
        <w:tc>
          <w:tcPr>
            <w:tcW w:w="2668" w:type="pct"/>
            <w:tcBorders>
              <w:top w:val="single" w:color="auto" w:sz="4" w:space="0"/>
              <w:left w:val="single" w:color="auto" w:sz="4" w:space="0"/>
              <w:bottom w:val="single" w:color="auto" w:sz="4" w:space="0"/>
              <w:right w:val="single" w:color="auto" w:sz="4" w:space="0"/>
            </w:tcBorders>
          </w:tcPr>
          <w:p w14:paraId="673F2CEA">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法定代表人或委托代理人（签字）：</w:t>
            </w:r>
          </w:p>
          <w:p w14:paraId="580EEC9C">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p>
        </w:tc>
      </w:tr>
      <w:tr w14:paraId="2979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2" w:type="pct"/>
            <w:tcBorders>
              <w:top w:val="single" w:color="auto" w:sz="4" w:space="0"/>
              <w:left w:val="single" w:color="auto" w:sz="4" w:space="0"/>
              <w:bottom w:val="single" w:color="auto" w:sz="4" w:space="0"/>
              <w:right w:val="single" w:color="auto" w:sz="4" w:space="0"/>
            </w:tcBorders>
          </w:tcPr>
          <w:p w14:paraId="3F3074E6">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联系人：罗兵</w:t>
            </w:r>
          </w:p>
        </w:tc>
        <w:tc>
          <w:tcPr>
            <w:tcW w:w="2668" w:type="pct"/>
            <w:tcBorders>
              <w:top w:val="single" w:color="auto" w:sz="4" w:space="0"/>
              <w:left w:val="single" w:color="auto" w:sz="4" w:space="0"/>
              <w:bottom w:val="single" w:color="auto" w:sz="4" w:space="0"/>
              <w:right w:val="single" w:color="auto" w:sz="4" w:space="0"/>
            </w:tcBorders>
          </w:tcPr>
          <w:p w14:paraId="0F9A5F16">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联系人：</w:t>
            </w:r>
          </w:p>
        </w:tc>
      </w:tr>
      <w:tr w14:paraId="7F4A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2" w:type="pct"/>
            <w:tcBorders>
              <w:top w:val="single" w:color="auto" w:sz="4" w:space="0"/>
              <w:left w:val="single" w:color="auto" w:sz="4" w:space="0"/>
              <w:bottom w:val="single" w:color="auto" w:sz="4" w:space="0"/>
              <w:right w:val="single" w:color="auto" w:sz="4" w:space="0"/>
            </w:tcBorders>
          </w:tcPr>
          <w:p w14:paraId="787D7422">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联系电话：</w:t>
            </w:r>
          </w:p>
        </w:tc>
        <w:tc>
          <w:tcPr>
            <w:tcW w:w="2668" w:type="pct"/>
            <w:tcBorders>
              <w:top w:val="single" w:color="auto" w:sz="4" w:space="0"/>
              <w:left w:val="single" w:color="auto" w:sz="4" w:space="0"/>
              <w:bottom w:val="single" w:color="auto" w:sz="4" w:space="0"/>
              <w:right w:val="single" w:color="auto" w:sz="4" w:space="0"/>
            </w:tcBorders>
          </w:tcPr>
          <w:p w14:paraId="7DD9B33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联系电话：</w:t>
            </w:r>
          </w:p>
        </w:tc>
      </w:tr>
      <w:tr w14:paraId="3162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2" w:type="pct"/>
            <w:tcBorders>
              <w:top w:val="single" w:color="auto" w:sz="4" w:space="0"/>
              <w:left w:val="single" w:color="auto" w:sz="4" w:space="0"/>
              <w:bottom w:val="single" w:color="auto" w:sz="4" w:space="0"/>
              <w:right w:val="single" w:color="auto" w:sz="4" w:space="0"/>
            </w:tcBorders>
          </w:tcPr>
          <w:p w14:paraId="2AEA2FB0">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通讯地址：四川省什邡市师古镇慈山村</w:t>
            </w:r>
          </w:p>
        </w:tc>
        <w:tc>
          <w:tcPr>
            <w:tcW w:w="2668" w:type="pct"/>
            <w:tcBorders>
              <w:top w:val="single" w:color="auto" w:sz="4" w:space="0"/>
              <w:left w:val="single" w:color="auto" w:sz="4" w:space="0"/>
              <w:bottom w:val="single" w:color="auto" w:sz="4" w:space="0"/>
              <w:right w:val="single" w:color="auto" w:sz="4" w:space="0"/>
            </w:tcBorders>
          </w:tcPr>
          <w:p w14:paraId="57B8957F">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通讯地址：</w:t>
            </w:r>
          </w:p>
        </w:tc>
      </w:tr>
      <w:tr w14:paraId="5076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2" w:type="pct"/>
            <w:tcBorders>
              <w:top w:val="single" w:color="auto" w:sz="4" w:space="0"/>
              <w:left w:val="single" w:color="auto" w:sz="4" w:space="0"/>
              <w:bottom w:val="single" w:color="auto" w:sz="4" w:space="0"/>
              <w:right w:val="single" w:color="auto" w:sz="4" w:space="0"/>
            </w:tcBorders>
          </w:tcPr>
          <w:p w14:paraId="57671F89">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开户行：中国银行什邡支行</w:t>
            </w:r>
          </w:p>
        </w:tc>
        <w:tc>
          <w:tcPr>
            <w:tcW w:w="2668" w:type="pct"/>
            <w:tcBorders>
              <w:top w:val="single" w:color="auto" w:sz="4" w:space="0"/>
              <w:left w:val="single" w:color="auto" w:sz="4" w:space="0"/>
              <w:bottom w:val="single" w:color="auto" w:sz="4" w:space="0"/>
              <w:right w:val="single" w:color="auto" w:sz="4" w:space="0"/>
            </w:tcBorders>
          </w:tcPr>
          <w:p w14:paraId="18C1FAB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开户行：</w:t>
            </w:r>
          </w:p>
        </w:tc>
      </w:tr>
      <w:tr w14:paraId="5322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2" w:type="pct"/>
            <w:tcBorders>
              <w:top w:val="single" w:color="auto" w:sz="4" w:space="0"/>
              <w:left w:val="single" w:color="auto" w:sz="4" w:space="0"/>
              <w:bottom w:val="single" w:color="auto" w:sz="4" w:space="0"/>
              <w:right w:val="single" w:color="auto" w:sz="4" w:space="0"/>
            </w:tcBorders>
          </w:tcPr>
          <w:p w14:paraId="14AE4521">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帐号：121203636202</w:t>
            </w:r>
          </w:p>
        </w:tc>
        <w:tc>
          <w:tcPr>
            <w:tcW w:w="2668" w:type="pct"/>
            <w:tcBorders>
              <w:top w:val="single" w:color="auto" w:sz="4" w:space="0"/>
              <w:left w:val="single" w:color="auto" w:sz="4" w:space="0"/>
              <w:bottom w:val="single" w:color="auto" w:sz="4" w:space="0"/>
              <w:right w:val="single" w:color="auto" w:sz="4" w:space="0"/>
            </w:tcBorders>
          </w:tcPr>
          <w:p w14:paraId="1FB1226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帐号：</w:t>
            </w:r>
          </w:p>
        </w:tc>
      </w:tr>
      <w:tr w14:paraId="27F7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2" w:type="pct"/>
            <w:tcBorders>
              <w:top w:val="single" w:color="auto" w:sz="4" w:space="0"/>
              <w:left w:val="single" w:color="auto" w:sz="4" w:space="0"/>
              <w:bottom w:val="single" w:color="auto" w:sz="4" w:space="0"/>
              <w:right w:val="single" w:color="auto" w:sz="4" w:space="0"/>
            </w:tcBorders>
          </w:tcPr>
          <w:p w14:paraId="752950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税号：91510600205363163Y</w:t>
            </w:r>
          </w:p>
        </w:tc>
        <w:tc>
          <w:tcPr>
            <w:tcW w:w="2668" w:type="pct"/>
            <w:tcBorders>
              <w:top w:val="single" w:color="auto" w:sz="4" w:space="0"/>
              <w:left w:val="single" w:color="auto" w:sz="4" w:space="0"/>
              <w:bottom w:val="single" w:color="auto" w:sz="4" w:space="0"/>
              <w:right w:val="single" w:color="auto" w:sz="4" w:space="0"/>
            </w:tcBorders>
          </w:tcPr>
          <w:p w14:paraId="47060BD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税号:</w:t>
            </w:r>
          </w:p>
        </w:tc>
      </w:tr>
      <w:tr w14:paraId="1FA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2" w:type="pct"/>
            <w:tcBorders>
              <w:top w:val="single" w:color="auto" w:sz="4" w:space="0"/>
              <w:left w:val="single" w:color="auto" w:sz="4" w:space="0"/>
              <w:bottom w:val="single" w:color="auto" w:sz="4" w:space="0"/>
              <w:right w:val="single" w:color="auto" w:sz="4" w:space="0"/>
            </w:tcBorders>
          </w:tcPr>
          <w:p w14:paraId="449B200D">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签订地点：什邡市洛水镇</w:t>
            </w:r>
          </w:p>
        </w:tc>
        <w:tc>
          <w:tcPr>
            <w:tcW w:w="2668" w:type="pct"/>
            <w:tcBorders>
              <w:top w:val="single" w:color="auto" w:sz="4" w:space="0"/>
              <w:left w:val="single" w:color="auto" w:sz="4" w:space="0"/>
              <w:bottom w:val="single" w:color="auto" w:sz="4" w:space="0"/>
              <w:right w:val="single" w:color="auto" w:sz="4" w:space="0"/>
            </w:tcBorders>
          </w:tcPr>
          <w:p w14:paraId="589218A6">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签订日期：</w:t>
            </w:r>
            <w:r>
              <w:rPr>
                <w:rFonts w:ascii="黑体" w:hAnsi="黑体" w:eastAsia="黑体"/>
                <w:bCs/>
                <w:color w:val="000000" w:themeColor="text1"/>
                <w:sz w:val="24"/>
                <w:szCs w:val="24"/>
                <w14:textFill>
                  <w14:solidFill>
                    <w14:schemeClr w14:val="tx1"/>
                  </w14:solidFill>
                </w14:textFill>
              </w:rPr>
              <w:t>202</w:t>
            </w:r>
            <w:r>
              <w:rPr>
                <w:rFonts w:hint="eastAsia" w:ascii="黑体" w:hAnsi="黑体" w:eastAsia="黑体"/>
                <w:bCs/>
                <w:color w:val="000000" w:themeColor="text1"/>
                <w:sz w:val="24"/>
                <w:szCs w:val="24"/>
                <w:lang w:val="en-US" w:eastAsia="zh-CN"/>
                <w14:textFill>
                  <w14:solidFill>
                    <w14:schemeClr w14:val="tx1"/>
                  </w14:solidFill>
                </w14:textFill>
              </w:rPr>
              <w:t>6</w:t>
            </w:r>
            <w:r>
              <w:rPr>
                <w:rFonts w:ascii="黑体" w:hAnsi="黑体" w:eastAsia="黑体"/>
                <w:bCs/>
                <w:color w:val="000000" w:themeColor="text1"/>
                <w:sz w:val="24"/>
                <w:szCs w:val="24"/>
                <w14:textFill>
                  <w14:solidFill>
                    <w14:schemeClr w14:val="tx1"/>
                  </w14:solidFill>
                </w14:textFill>
              </w:rPr>
              <w:t>年</w:t>
            </w:r>
            <w:r>
              <w:rPr>
                <w:rFonts w:hint="eastAsia" w:ascii="黑体" w:hAnsi="黑体" w:eastAsia="黑体"/>
                <w:bCs/>
                <w:color w:val="000000" w:themeColor="text1"/>
                <w:sz w:val="24"/>
                <w:szCs w:val="24"/>
                <w:lang w:val="en-US" w:eastAsia="zh-CN"/>
                <w14:textFill>
                  <w14:solidFill>
                    <w14:schemeClr w14:val="tx1"/>
                  </w14:solidFill>
                </w14:textFill>
              </w:rPr>
              <w:t>5</w:t>
            </w:r>
            <w:r>
              <w:rPr>
                <w:rFonts w:ascii="黑体" w:hAnsi="黑体" w:eastAsia="黑体"/>
                <w:bCs/>
                <w:color w:val="000000" w:themeColor="text1"/>
                <w:sz w:val="24"/>
                <w:szCs w:val="24"/>
                <w14:textFill>
                  <w14:solidFill>
                    <w14:schemeClr w14:val="tx1"/>
                  </w14:solidFill>
                </w14:textFill>
              </w:rPr>
              <w:t>月</w:t>
            </w:r>
            <w:r>
              <w:rPr>
                <w:rFonts w:hint="eastAsia" w:ascii="黑体" w:hAnsi="黑体" w:eastAsia="黑体"/>
                <w:bCs/>
                <w:color w:val="000000" w:themeColor="text1"/>
                <w:sz w:val="24"/>
                <w:szCs w:val="24"/>
                <w:lang w:val="en-US" w:eastAsia="zh-CN"/>
                <w14:textFill>
                  <w14:solidFill>
                    <w14:schemeClr w14:val="tx1"/>
                  </w14:solidFill>
                </w14:textFill>
              </w:rPr>
              <w:t>12</w:t>
            </w:r>
            <w:r>
              <w:rPr>
                <w:rFonts w:ascii="黑体" w:hAnsi="黑体" w:eastAsia="黑体"/>
                <w:bCs/>
                <w:color w:val="000000" w:themeColor="text1"/>
                <w:sz w:val="24"/>
                <w:szCs w:val="24"/>
                <w14:textFill>
                  <w14:solidFill>
                    <w14:schemeClr w14:val="tx1"/>
                  </w14:solidFill>
                </w14:textFill>
              </w:rPr>
              <w:t>日</w:t>
            </w:r>
          </w:p>
        </w:tc>
      </w:tr>
    </w:tbl>
    <w:p w14:paraId="1F7B63B1">
      <w:pPr>
        <w:spacing w:line="300" w:lineRule="exact"/>
        <w:rPr>
          <w:rFonts w:ascii="黑体" w:hAnsi="黑体" w:eastAsia="黑体"/>
          <w:bCs/>
          <w:sz w:val="24"/>
          <w:szCs w:val="24"/>
        </w:rPr>
      </w:pPr>
    </w:p>
    <w:p w14:paraId="1426958C">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sz w:val="36"/>
          <w:szCs w:val="36"/>
        </w:rPr>
      </w:pPr>
      <w:r>
        <w:rPr>
          <w:rFonts w:hint="eastAsia" w:ascii="黑体" w:hAnsi="黑体" w:eastAsia="黑体" w:cs="黑体"/>
          <w:b/>
          <w:bCs/>
          <w:sz w:val="36"/>
          <w:szCs w:val="36"/>
        </w:rPr>
        <w:t xml:space="preserve">第三章 </w:t>
      </w:r>
    </w:p>
    <w:p w14:paraId="7135951B">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sz w:val="36"/>
          <w:szCs w:val="36"/>
        </w:rPr>
      </w:pPr>
      <w:r>
        <w:rPr>
          <w:rFonts w:hint="eastAsia" w:ascii="黑体" w:hAnsi="黑体" w:eastAsia="黑体" w:cs="黑体"/>
          <w:b/>
          <w:bCs/>
          <w:sz w:val="36"/>
          <w:szCs w:val="36"/>
        </w:rPr>
        <w:t>报价文件格式</w:t>
      </w:r>
    </w:p>
    <w:p w14:paraId="4F6B17EC">
      <w:pPr>
        <w:keepNext w:val="0"/>
        <w:keepLines w:val="0"/>
        <w:pageBreakBefore w:val="0"/>
        <w:widowControl/>
        <w:tabs>
          <w:tab w:val="left" w:pos="2980"/>
          <w:tab w:val="left" w:pos="3828"/>
          <w:tab w:val="center" w:pos="4422"/>
        </w:tabs>
        <w:kinsoku/>
        <w:wordWrap/>
        <w:overflowPunct/>
        <w:topLinePunct w:val="0"/>
        <w:autoSpaceDE w:val="0"/>
        <w:autoSpaceDN w:val="0"/>
        <w:bidi w:val="0"/>
        <w:adjustRightInd/>
        <w:snapToGrid/>
        <w:spacing w:line="640" w:lineRule="exact"/>
        <w:textAlignment w:val="bottom"/>
        <w:rPr>
          <w:rFonts w:hint="eastAsia" w:ascii="黑体" w:hAnsi="黑体" w:eastAsia="黑体" w:cs="黑体"/>
          <w:sz w:val="36"/>
          <w:szCs w:val="36"/>
        </w:rPr>
      </w:pPr>
    </w:p>
    <w:p w14:paraId="3B652883">
      <w:pPr>
        <w:keepNext w:val="0"/>
        <w:keepLines w:val="0"/>
        <w:pageBreakBefore w:val="0"/>
        <w:widowControl/>
        <w:tabs>
          <w:tab w:val="left" w:pos="2980"/>
          <w:tab w:val="left" w:pos="3828"/>
          <w:tab w:val="center" w:pos="4422"/>
        </w:tabs>
        <w:kinsoku/>
        <w:wordWrap/>
        <w:overflowPunct/>
        <w:topLinePunct w:val="0"/>
        <w:autoSpaceDE w:val="0"/>
        <w:autoSpaceDN w:val="0"/>
        <w:bidi w:val="0"/>
        <w:adjustRightInd/>
        <w:snapToGrid/>
        <w:spacing w:line="640" w:lineRule="exact"/>
        <w:jc w:val="center"/>
        <w:textAlignment w:val="bottom"/>
        <w:rPr>
          <w:rFonts w:hint="eastAsia" w:ascii="黑体" w:hAnsi="黑体" w:eastAsia="黑体" w:cs="黑体"/>
          <w:sz w:val="36"/>
          <w:szCs w:val="36"/>
          <w:lang w:val="en-US" w:eastAsia="zh-CN"/>
        </w:rPr>
      </w:pPr>
    </w:p>
    <w:p w14:paraId="73059AA2">
      <w:pPr>
        <w:keepNext w:val="0"/>
        <w:keepLines w:val="0"/>
        <w:pageBreakBefore w:val="0"/>
        <w:widowControl/>
        <w:tabs>
          <w:tab w:val="left" w:pos="2980"/>
          <w:tab w:val="left" w:pos="3828"/>
          <w:tab w:val="center" w:pos="4422"/>
        </w:tabs>
        <w:kinsoku/>
        <w:wordWrap/>
        <w:overflowPunct/>
        <w:topLinePunct w:val="0"/>
        <w:autoSpaceDE w:val="0"/>
        <w:autoSpaceDN w:val="0"/>
        <w:bidi w:val="0"/>
        <w:adjustRightInd/>
        <w:snapToGrid/>
        <w:spacing w:line="640" w:lineRule="exact"/>
        <w:jc w:val="center"/>
        <w:textAlignment w:val="bottom"/>
        <w:rPr>
          <w:rFonts w:hint="eastAsia" w:ascii="黑体" w:hAnsi="黑体" w:eastAsia="黑体" w:cs="黑体"/>
          <w:sz w:val="36"/>
          <w:szCs w:val="36"/>
        </w:rPr>
      </w:pPr>
      <w:r>
        <w:rPr>
          <w:rFonts w:hint="eastAsia" w:ascii="黑体" w:hAnsi="黑体" w:eastAsia="黑体" w:cs="黑体"/>
          <w:sz w:val="36"/>
          <w:szCs w:val="36"/>
          <w:lang w:val="en-US" w:eastAsia="zh-CN"/>
        </w:rPr>
        <w:t>液氨</w:t>
      </w:r>
      <w:r>
        <w:rPr>
          <w:rFonts w:hint="eastAsia" w:ascii="黑体" w:hAnsi="黑体" w:eastAsia="黑体" w:cs="黑体"/>
          <w:sz w:val="36"/>
          <w:szCs w:val="36"/>
        </w:rPr>
        <w:t>采购</w:t>
      </w:r>
    </w:p>
    <w:p w14:paraId="55C952BB">
      <w:pPr>
        <w:keepNext w:val="0"/>
        <w:keepLines w:val="0"/>
        <w:pageBreakBefore w:val="0"/>
        <w:kinsoku/>
        <w:wordWrap/>
        <w:overflowPunct/>
        <w:topLinePunct w:val="0"/>
        <w:bidi w:val="0"/>
        <w:adjustRightInd/>
        <w:snapToGrid/>
        <w:spacing w:line="640" w:lineRule="exact"/>
        <w:ind w:firstLine="720" w:firstLineChars="200"/>
        <w:jc w:val="center"/>
        <w:rPr>
          <w:rFonts w:hint="eastAsia" w:ascii="黑体" w:hAnsi="黑体" w:eastAsia="黑体" w:cs="黑体"/>
          <w:sz w:val="36"/>
          <w:szCs w:val="36"/>
        </w:rPr>
      </w:pPr>
    </w:p>
    <w:p w14:paraId="05BD47EF">
      <w:pPr>
        <w:keepNext w:val="0"/>
        <w:keepLines w:val="0"/>
        <w:pageBreakBefore w:val="0"/>
        <w:kinsoku/>
        <w:wordWrap/>
        <w:overflowPunct/>
        <w:topLinePunct w:val="0"/>
        <w:bidi w:val="0"/>
        <w:adjustRightInd/>
        <w:snapToGrid/>
        <w:spacing w:line="640" w:lineRule="exact"/>
        <w:ind w:firstLine="720" w:firstLineChars="200"/>
        <w:jc w:val="center"/>
        <w:rPr>
          <w:rFonts w:hint="eastAsia" w:ascii="黑体" w:hAnsi="黑体" w:eastAsia="黑体" w:cs="黑体"/>
          <w:sz w:val="36"/>
          <w:szCs w:val="36"/>
        </w:rPr>
      </w:pPr>
    </w:p>
    <w:p w14:paraId="700C743F">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sz w:val="36"/>
          <w:szCs w:val="36"/>
        </w:rPr>
      </w:pPr>
      <w:r>
        <w:rPr>
          <w:rFonts w:hint="eastAsia" w:ascii="黑体" w:hAnsi="黑体" w:eastAsia="黑体" w:cs="黑体"/>
          <w:sz w:val="36"/>
          <w:szCs w:val="36"/>
        </w:rPr>
        <w:t>响应性文件</w:t>
      </w:r>
    </w:p>
    <w:p w14:paraId="63EDA8D1">
      <w:pPr>
        <w:keepNext w:val="0"/>
        <w:keepLines w:val="0"/>
        <w:pageBreakBefore w:val="0"/>
        <w:kinsoku/>
        <w:wordWrap/>
        <w:overflowPunct/>
        <w:topLinePunct w:val="0"/>
        <w:bidi w:val="0"/>
        <w:adjustRightInd/>
        <w:snapToGrid/>
        <w:spacing w:line="640" w:lineRule="exact"/>
        <w:ind w:firstLine="720" w:firstLineChars="200"/>
        <w:jc w:val="center"/>
        <w:rPr>
          <w:rFonts w:hint="eastAsia" w:ascii="黑体" w:hAnsi="黑体" w:eastAsia="黑体" w:cs="黑体"/>
          <w:sz w:val="36"/>
          <w:szCs w:val="36"/>
        </w:rPr>
      </w:pPr>
    </w:p>
    <w:p w14:paraId="1F02520A">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sz w:val="36"/>
          <w:szCs w:val="36"/>
        </w:rPr>
      </w:pPr>
    </w:p>
    <w:p w14:paraId="3F9EDCB5">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sz w:val="36"/>
          <w:szCs w:val="36"/>
        </w:rPr>
      </w:pPr>
    </w:p>
    <w:p w14:paraId="7DC0962A">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sz w:val="36"/>
          <w:szCs w:val="36"/>
        </w:rPr>
      </w:pPr>
    </w:p>
    <w:p w14:paraId="32FC2F64">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sz w:val="36"/>
          <w:szCs w:val="36"/>
        </w:rPr>
      </w:pPr>
    </w:p>
    <w:p w14:paraId="4D4A3928">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sz w:val="36"/>
          <w:szCs w:val="36"/>
        </w:rPr>
      </w:pPr>
    </w:p>
    <w:p w14:paraId="35F781D0">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sz w:val="36"/>
          <w:szCs w:val="36"/>
        </w:rPr>
      </w:pPr>
      <w:r>
        <w:rPr>
          <w:rFonts w:hint="eastAsia" w:ascii="黑体" w:hAnsi="黑体" w:eastAsia="黑体" w:cs="黑体"/>
          <w:sz w:val="36"/>
          <w:szCs w:val="36"/>
        </w:rPr>
        <w:t>供应商名称：</w:t>
      </w:r>
      <w:r>
        <w:rPr>
          <w:rFonts w:hint="eastAsia" w:ascii="黑体" w:hAnsi="黑体" w:eastAsia="黑体" w:cs="黑体"/>
          <w:sz w:val="36"/>
          <w:szCs w:val="36"/>
          <w:u w:val="single"/>
        </w:rPr>
        <w:t xml:space="preserve">                    </w:t>
      </w:r>
      <w:r>
        <w:rPr>
          <w:rFonts w:hint="eastAsia" w:ascii="黑体" w:hAnsi="黑体" w:eastAsia="黑体" w:cs="黑体"/>
          <w:sz w:val="36"/>
          <w:szCs w:val="36"/>
        </w:rPr>
        <w:t>（盖单位章）</w:t>
      </w:r>
    </w:p>
    <w:p w14:paraId="1D977549">
      <w:pPr>
        <w:keepNext w:val="0"/>
        <w:keepLines w:val="0"/>
        <w:pageBreakBefore w:val="0"/>
        <w:kinsoku/>
        <w:wordWrap/>
        <w:overflowPunct/>
        <w:topLinePunct w:val="0"/>
        <w:bidi w:val="0"/>
        <w:adjustRightInd/>
        <w:snapToGrid/>
        <w:spacing w:line="640" w:lineRule="exact"/>
        <w:ind w:firstLine="1446" w:firstLineChars="400"/>
        <w:rPr>
          <w:rFonts w:hint="eastAsia" w:ascii="黑体" w:hAnsi="黑体" w:eastAsia="黑体" w:cs="黑体"/>
          <w:b/>
          <w:sz w:val="36"/>
          <w:szCs w:val="36"/>
          <w:u w:val="single"/>
        </w:rPr>
      </w:pPr>
    </w:p>
    <w:p w14:paraId="751A539D">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sz w:val="36"/>
          <w:szCs w:val="36"/>
        </w:rPr>
      </w:pPr>
    </w:p>
    <w:p w14:paraId="4CFF7A10">
      <w:pPr>
        <w:keepNext w:val="0"/>
        <w:keepLines w:val="0"/>
        <w:pageBreakBefore w:val="0"/>
        <w:kinsoku/>
        <w:wordWrap/>
        <w:overflowPunct/>
        <w:topLinePunct w:val="0"/>
        <w:bidi w:val="0"/>
        <w:adjustRightInd/>
        <w:snapToGrid/>
        <w:spacing w:line="640" w:lineRule="exact"/>
        <w:ind w:firstLine="1285" w:firstLineChars="400"/>
        <w:rPr>
          <w:rFonts w:hint="eastAsia" w:ascii="黑体" w:hAnsi="黑体" w:eastAsia="黑体" w:cs="黑体"/>
          <w:b/>
          <w:kern w:val="0"/>
          <w:sz w:val="32"/>
          <w:szCs w:val="32"/>
        </w:rPr>
      </w:pPr>
      <w:r>
        <w:rPr>
          <w:rFonts w:hint="eastAsia" w:ascii="黑体" w:hAnsi="黑体" w:eastAsia="黑体" w:cs="黑体"/>
          <w:b/>
          <w:bCs/>
          <w:sz w:val="32"/>
          <w:szCs w:val="32"/>
        </w:rPr>
        <w:br w:type="page"/>
      </w:r>
    </w:p>
    <w:p w14:paraId="2BC049C1">
      <w:pPr>
        <w:keepNext/>
        <w:keepLines/>
        <w:pageBreakBefore w:val="0"/>
        <w:tabs>
          <w:tab w:val="left" w:pos="215"/>
          <w:tab w:val="center" w:pos="4535"/>
        </w:tabs>
        <w:kinsoku/>
        <w:wordWrap/>
        <w:overflowPunct/>
        <w:topLinePunct w:val="0"/>
        <w:autoSpaceDE w:val="0"/>
        <w:autoSpaceDN w:val="0"/>
        <w:bidi w:val="0"/>
        <w:adjustRightInd w:val="0"/>
        <w:spacing w:before="340" w:after="330" w:line="500" w:lineRule="exact"/>
        <w:jc w:val="center"/>
        <w:rPr>
          <w:rFonts w:hint="eastAsia" w:ascii="黑体" w:hAnsi="黑体" w:eastAsia="黑体" w:cs="黑体"/>
          <w:b/>
          <w:bCs/>
          <w:kern w:val="44"/>
          <w:sz w:val="36"/>
          <w:szCs w:val="36"/>
          <w:lang w:val="en-US" w:eastAsia="zh-CN"/>
        </w:rPr>
      </w:pPr>
      <w:bookmarkStart w:id="18" w:name="_Toc4384"/>
      <w:bookmarkStart w:id="19" w:name="_Toc30198"/>
      <w:bookmarkStart w:id="20" w:name="_Toc9978"/>
      <w:r>
        <w:rPr>
          <w:rFonts w:hint="eastAsia" w:ascii="黑体" w:hAnsi="黑体" w:eastAsia="黑体" w:cs="黑体"/>
          <w:b/>
          <w:bCs/>
          <w:kern w:val="44"/>
          <w:sz w:val="36"/>
          <w:szCs w:val="36"/>
        </w:rPr>
        <w:t xml:space="preserve">一、报 价 </w:t>
      </w:r>
      <w:bookmarkEnd w:id="18"/>
      <w:bookmarkEnd w:id="19"/>
      <w:bookmarkEnd w:id="20"/>
      <w:r>
        <w:rPr>
          <w:rFonts w:hint="eastAsia" w:ascii="黑体" w:hAnsi="黑体" w:eastAsia="黑体" w:cs="黑体"/>
          <w:b/>
          <w:bCs/>
          <w:kern w:val="44"/>
          <w:sz w:val="36"/>
          <w:szCs w:val="36"/>
          <w:lang w:val="en-US" w:eastAsia="zh-CN"/>
        </w:rPr>
        <w:t>单</w:t>
      </w:r>
    </w:p>
    <w:p w14:paraId="47B82AE4">
      <w:pPr>
        <w:pageBreakBefore w:val="0"/>
        <w:widowControl/>
        <w:kinsoku/>
        <w:wordWrap/>
        <w:overflowPunct/>
        <w:topLinePunct w:val="0"/>
        <w:bidi w:val="0"/>
        <w:adjustRightInd w:val="0"/>
        <w:snapToGrid w:val="0"/>
        <w:spacing w:line="500" w:lineRule="exact"/>
        <w:rPr>
          <w:rFonts w:hint="eastAsia" w:ascii="黑体" w:hAnsi="黑体" w:eastAsia="黑体" w:cs="黑体"/>
          <w:kern w:val="0"/>
          <w:sz w:val="28"/>
          <w:szCs w:val="28"/>
        </w:rPr>
      </w:pPr>
      <w:r>
        <w:rPr>
          <w:rFonts w:hint="eastAsia" w:ascii="黑体" w:hAnsi="黑体" w:eastAsia="黑体" w:cs="黑体"/>
          <w:kern w:val="0"/>
          <w:sz w:val="28"/>
          <w:szCs w:val="28"/>
        </w:rPr>
        <w:t>四川宏达股份有限公司：</w:t>
      </w:r>
    </w:p>
    <w:p w14:paraId="2D369D05">
      <w:pPr>
        <w:pageBreakBefore w:val="0"/>
        <w:widowControl/>
        <w:kinsoku/>
        <w:wordWrap/>
        <w:overflowPunct/>
        <w:topLinePunct w:val="0"/>
        <w:bidi w:val="0"/>
        <w:adjustRightInd w:val="0"/>
        <w:snapToGrid w:val="0"/>
        <w:spacing w:line="500" w:lineRule="exact"/>
        <w:ind w:left="105" w:leftChars="50" w:firstLine="420" w:firstLineChars="150"/>
        <w:rPr>
          <w:rFonts w:hint="eastAsia" w:ascii="黑体" w:hAnsi="黑体" w:eastAsia="黑体" w:cs="黑体"/>
          <w:kern w:val="0"/>
          <w:sz w:val="28"/>
          <w:szCs w:val="28"/>
        </w:rPr>
      </w:pPr>
      <w:r>
        <w:rPr>
          <w:rFonts w:hint="eastAsia" w:ascii="黑体" w:hAnsi="黑体" w:eastAsia="黑体" w:cs="黑体"/>
          <w:kern w:val="0"/>
          <w:sz w:val="28"/>
          <w:szCs w:val="28"/>
        </w:rPr>
        <w:t>我方已仔细研究了贵公司</w:t>
      </w:r>
      <w:r>
        <w:rPr>
          <w:rFonts w:hint="eastAsia" w:ascii="黑体" w:hAnsi="黑体" w:eastAsia="黑体" w:cs="黑体"/>
          <w:kern w:val="0"/>
          <w:sz w:val="28"/>
          <w:szCs w:val="28"/>
          <w:u w:val="none"/>
          <w:lang w:val="en-US" w:eastAsia="zh-CN"/>
        </w:rPr>
        <w:t>液氨</w:t>
      </w:r>
      <w:r>
        <w:rPr>
          <w:rFonts w:hint="eastAsia" w:ascii="黑体" w:hAnsi="黑体" w:eastAsia="黑体" w:cs="黑体"/>
          <w:kern w:val="0"/>
          <w:sz w:val="28"/>
          <w:szCs w:val="28"/>
        </w:rPr>
        <w:t>采购比选文件(编号：</w:t>
      </w:r>
      <w:r>
        <w:rPr>
          <w:rFonts w:hint="eastAsia" w:ascii="黑体" w:hAnsi="黑体" w:eastAsia="黑体" w:cs="黑体"/>
          <w:color w:val="FF0000"/>
          <w:kern w:val="0"/>
          <w:sz w:val="28"/>
          <w:szCs w:val="28"/>
          <w:u w:val="none"/>
        </w:rPr>
        <w:t>FF-202</w:t>
      </w:r>
      <w:r>
        <w:rPr>
          <w:rFonts w:hint="eastAsia" w:ascii="黑体" w:hAnsi="黑体" w:eastAsia="黑体" w:cs="黑体"/>
          <w:color w:val="FF0000"/>
          <w:kern w:val="0"/>
          <w:sz w:val="28"/>
          <w:szCs w:val="28"/>
          <w:u w:val="none"/>
          <w:lang w:val="en-US" w:eastAsia="zh-CN"/>
        </w:rPr>
        <w:t>604</w:t>
      </w:r>
      <w:r>
        <w:rPr>
          <w:rFonts w:hint="eastAsia" w:ascii="黑体" w:hAnsi="黑体" w:eastAsia="黑体" w:cs="黑体"/>
          <w:color w:val="FF0000"/>
          <w:kern w:val="0"/>
          <w:sz w:val="28"/>
          <w:szCs w:val="28"/>
          <w:u w:val="none"/>
        </w:rPr>
        <w:t>-</w:t>
      </w:r>
      <w:r>
        <w:rPr>
          <w:rFonts w:hint="eastAsia" w:ascii="黑体" w:hAnsi="黑体" w:eastAsia="黑体" w:cs="黑体"/>
          <w:color w:val="FF0000"/>
          <w:kern w:val="0"/>
          <w:sz w:val="28"/>
          <w:szCs w:val="28"/>
          <w:u w:val="none"/>
          <w:lang w:val="en-US" w:eastAsia="zh-CN"/>
        </w:rPr>
        <w:t>021</w:t>
      </w:r>
      <w:r>
        <w:rPr>
          <w:rFonts w:hint="eastAsia" w:ascii="黑体" w:hAnsi="黑体" w:eastAsia="黑体" w:cs="黑体"/>
          <w:kern w:val="0"/>
          <w:sz w:val="28"/>
          <w:szCs w:val="28"/>
        </w:rPr>
        <w:t>包括附件的全部内容)，并根据我方实际情况作如下报价：</w:t>
      </w:r>
    </w:p>
    <w:tbl>
      <w:tblPr>
        <w:tblStyle w:val="4"/>
        <w:tblW w:w="8076" w:type="dxa"/>
        <w:tblInd w:w="259" w:type="dxa"/>
        <w:tblLayout w:type="fixed"/>
        <w:tblCellMar>
          <w:top w:w="0" w:type="dxa"/>
          <w:left w:w="108" w:type="dxa"/>
          <w:bottom w:w="0" w:type="dxa"/>
          <w:right w:w="108" w:type="dxa"/>
        </w:tblCellMar>
      </w:tblPr>
      <w:tblGrid>
        <w:gridCol w:w="996"/>
        <w:gridCol w:w="2172"/>
        <w:gridCol w:w="2028"/>
        <w:gridCol w:w="2880"/>
      </w:tblGrid>
      <w:tr w14:paraId="5AD230E6">
        <w:tblPrEx>
          <w:tblCellMar>
            <w:top w:w="0" w:type="dxa"/>
            <w:left w:w="108" w:type="dxa"/>
            <w:bottom w:w="0" w:type="dxa"/>
            <w:right w:w="108" w:type="dxa"/>
          </w:tblCellMar>
        </w:tblPrEx>
        <w:trPr>
          <w:cantSplit/>
          <w:trHeight w:val="594" w:hRule="atLeast"/>
        </w:trPr>
        <w:tc>
          <w:tcPr>
            <w:tcW w:w="996" w:type="dxa"/>
            <w:tcBorders>
              <w:top w:val="single" w:color="auto" w:sz="4" w:space="0"/>
              <w:left w:val="single" w:color="auto" w:sz="4" w:space="0"/>
              <w:right w:val="single" w:color="auto" w:sz="4" w:space="0"/>
            </w:tcBorders>
            <w:noWrap w:val="0"/>
            <w:vAlign w:val="center"/>
          </w:tcPr>
          <w:p w14:paraId="75FD44CA">
            <w:pPr>
              <w:spacing w:line="440" w:lineRule="exact"/>
              <w:jc w:val="center"/>
              <w:rPr>
                <w:rFonts w:ascii="黑体" w:hAnsi="黑体" w:eastAsia="黑体"/>
                <w:sz w:val="28"/>
                <w:szCs w:val="28"/>
              </w:rPr>
            </w:pPr>
            <w:r>
              <w:rPr>
                <w:rFonts w:hint="eastAsia" w:ascii="黑体" w:hAnsi="黑体" w:eastAsia="黑体"/>
                <w:sz w:val="28"/>
                <w:szCs w:val="28"/>
              </w:rPr>
              <w:t>名称</w:t>
            </w:r>
          </w:p>
        </w:tc>
        <w:tc>
          <w:tcPr>
            <w:tcW w:w="2172" w:type="dxa"/>
            <w:tcBorders>
              <w:top w:val="single" w:color="auto" w:sz="4" w:space="0"/>
              <w:left w:val="nil"/>
              <w:right w:val="single" w:color="auto" w:sz="4" w:space="0"/>
            </w:tcBorders>
            <w:noWrap w:val="0"/>
            <w:vAlign w:val="center"/>
          </w:tcPr>
          <w:p w14:paraId="31AEEE54">
            <w:pPr>
              <w:spacing w:line="440" w:lineRule="exact"/>
              <w:jc w:val="center"/>
              <w:rPr>
                <w:rFonts w:ascii="黑体" w:hAnsi="黑体" w:eastAsia="黑体"/>
                <w:sz w:val="28"/>
                <w:szCs w:val="28"/>
              </w:rPr>
            </w:pPr>
            <w:r>
              <w:rPr>
                <w:rFonts w:hint="eastAsia" w:ascii="黑体" w:hAnsi="黑体" w:eastAsia="黑体"/>
                <w:sz w:val="28"/>
                <w:szCs w:val="28"/>
              </w:rPr>
              <w:t>质量要求</w:t>
            </w:r>
          </w:p>
        </w:tc>
        <w:tc>
          <w:tcPr>
            <w:tcW w:w="2028" w:type="dxa"/>
            <w:tcBorders>
              <w:top w:val="single" w:color="auto" w:sz="4" w:space="0"/>
              <w:left w:val="single" w:color="auto" w:sz="4" w:space="0"/>
              <w:right w:val="single" w:color="auto" w:sz="4" w:space="0"/>
            </w:tcBorders>
            <w:shd w:val="clear" w:color="auto" w:fill="auto"/>
            <w:noWrap w:val="0"/>
            <w:vAlign w:val="center"/>
          </w:tcPr>
          <w:p w14:paraId="56ADB2A5">
            <w:pPr>
              <w:spacing w:line="440" w:lineRule="exact"/>
              <w:jc w:val="center"/>
              <w:rPr>
                <w:rFonts w:hint="eastAsia" w:ascii="黑体" w:hAnsi="黑体" w:eastAsia="黑体" w:cstheme="minorBidi"/>
                <w:kern w:val="2"/>
                <w:sz w:val="28"/>
                <w:szCs w:val="28"/>
                <w:lang w:val="en-US" w:eastAsia="zh-CN" w:bidi="ar-SA"/>
              </w:rPr>
            </w:pPr>
            <w:r>
              <w:rPr>
                <w:rFonts w:hint="eastAsia" w:ascii="黑体" w:hAnsi="黑体" w:eastAsia="黑体"/>
                <w:sz w:val="28"/>
                <w:szCs w:val="28"/>
              </w:rPr>
              <w:t>数量（吨）</w:t>
            </w:r>
          </w:p>
        </w:tc>
        <w:tc>
          <w:tcPr>
            <w:tcW w:w="2880" w:type="dxa"/>
            <w:tcBorders>
              <w:top w:val="single" w:color="auto" w:sz="4" w:space="0"/>
              <w:left w:val="single" w:color="auto" w:sz="4" w:space="0"/>
              <w:right w:val="single" w:color="auto" w:sz="4" w:space="0"/>
            </w:tcBorders>
            <w:noWrap w:val="0"/>
            <w:vAlign w:val="center"/>
          </w:tcPr>
          <w:p w14:paraId="0DB287D9">
            <w:pPr>
              <w:spacing w:line="440" w:lineRule="exact"/>
              <w:jc w:val="center"/>
              <w:rPr>
                <w:rFonts w:hint="default" w:ascii="黑体" w:hAnsi="黑体" w:eastAsia="黑体"/>
                <w:sz w:val="28"/>
                <w:szCs w:val="28"/>
                <w:lang w:val="en-US" w:eastAsia="zh-CN"/>
              </w:rPr>
            </w:pPr>
            <w:r>
              <w:rPr>
                <w:rFonts w:hint="eastAsia" w:ascii="黑体" w:hAnsi="黑体" w:eastAsia="黑体"/>
                <w:sz w:val="28"/>
                <w:szCs w:val="28"/>
                <w:lang w:val="en-US" w:eastAsia="zh-CN"/>
              </w:rPr>
              <w:t>到厂单价</w:t>
            </w:r>
            <w:r>
              <w:rPr>
                <w:rFonts w:hint="eastAsia" w:ascii="黑体" w:hAnsi="黑体" w:eastAsia="黑体"/>
                <w:sz w:val="28"/>
                <w:szCs w:val="28"/>
                <w:lang w:eastAsia="zh-CN"/>
              </w:rPr>
              <w:t>（元/吨）</w:t>
            </w:r>
            <w:r>
              <w:rPr>
                <w:rFonts w:hint="eastAsia" w:ascii="黑体" w:hAnsi="黑体" w:eastAsia="黑体"/>
                <w:sz w:val="28"/>
                <w:szCs w:val="28"/>
                <w:lang w:val="en-US" w:eastAsia="zh-CN"/>
              </w:rPr>
              <w:t>）</w:t>
            </w:r>
          </w:p>
        </w:tc>
      </w:tr>
      <w:tr w14:paraId="0DDF8FE5">
        <w:tblPrEx>
          <w:tblCellMar>
            <w:top w:w="0" w:type="dxa"/>
            <w:left w:w="108" w:type="dxa"/>
            <w:bottom w:w="0" w:type="dxa"/>
            <w:right w:w="108" w:type="dxa"/>
          </w:tblCellMar>
        </w:tblPrEx>
        <w:trPr>
          <w:cantSplit/>
          <w:trHeight w:val="470"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14:paraId="1829C695">
            <w:pPr>
              <w:spacing w:line="440" w:lineRule="exact"/>
              <w:jc w:val="center"/>
              <w:rPr>
                <w:rFonts w:hint="default" w:ascii="黑体" w:hAnsi="黑体" w:eastAsia="黑体"/>
                <w:sz w:val="28"/>
                <w:szCs w:val="28"/>
                <w:lang w:val="en-US" w:eastAsia="zh-CN"/>
              </w:rPr>
            </w:pPr>
            <w:r>
              <w:rPr>
                <w:rFonts w:hint="eastAsia" w:ascii="黑体" w:hAnsi="黑体" w:eastAsia="黑体"/>
                <w:sz w:val="28"/>
                <w:szCs w:val="28"/>
                <w:lang w:val="en-US" w:eastAsia="zh-CN"/>
              </w:rPr>
              <w:t>液氨</w:t>
            </w:r>
          </w:p>
        </w:tc>
        <w:tc>
          <w:tcPr>
            <w:tcW w:w="2172" w:type="dxa"/>
            <w:tcBorders>
              <w:top w:val="single" w:color="auto" w:sz="4" w:space="0"/>
              <w:left w:val="single" w:color="auto" w:sz="4" w:space="0"/>
              <w:bottom w:val="single" w:color="auto" w:sz="4" w:space="0"/>
              <w:right w:val="single" w:color="auto" w:sz="4" w:space="0"/>
            </w:tcBorders>
            <w:noWrap w:val="0"/>
            <w:vAlign w:val="center"/>
          </w:tcPr>
          <w:p w14:paraId="551560EA">
            <w:pPr>
              <w:spacing w:line="440" w:lineRule="exact"/>
              <w:jc w:val="center"/>
              <w:rPr>
                <w:rFonts w:ascii="黑体" w:hAnsi="黑体" w:eastAsia="黑体"/>
                <w:sz w:val="28"/>
                <w:szCs w:val="28"/>
                <w:lang w:eastAsia="zh-CN"/>
              </w:rPr>
            </w:pPr>
            <w:r>
              <w:rPr>
                <w:rFonts w:hint="eastAsia" w:ascii="黑体" w:hAnsi="黑体" w:eastAsia="黑体" w:cs="黑体"/>
                <w:bCs/>
                <w:color w:val="000000" w:themeColor="text1"/>
                <w:sz w:val="28"/>
                <w:szCs w:val="28"/>
                <w14:textFill>
                  <w14:solidFill>
                    <w14:schemeClr w14:val="tx1"/>
                  </w14:solidFill>
                </w14:textFill>
              </w:rPr>
              <w:t>NH</w:t>
            </w:r>
            <w:r>
              <w:rPr>
                <w:rFonts w:hint="eastAsia" w:ascii="黑体" w:hAnsi="黑体" w:eastAsia="黑体" w:cs="黑体"/>
                <w:bCs/>
                <w:color w:val="000000" w:themeColor="text1"/>
                <w:sz w:val="28"/>
                <w:szCs w:val="28"/>
                <w:vertAlign w:val="subscript"/>
                <w14:textFill>
                  <w14:solidFill>
                    <w14:schemeClr w14:val="tx1"/>
                  </w14:solidFill>
                </w14:textFill>
              </w:rPr>
              <w:t>3</w:t>
            </w:r>
            <w:r>
              <w:rPr>
                <w:rFonts w:hint="eastAsia" w:ascii="黑体" w:hAnsi="黑体" w:eastAsia="黑体" w:cs="黑体"/>
                <w:bCs/>
                <w:color w:val="000000" w:themeColor="text1"/>
                <w:sz w:val="28"/>
                <w:szCs w:val="28"/>
                <w14:textFill>
                  <w14:solidFill>
                    <w14:schemeClr w14:val="tx1"/>
                  </w14:solidFill>
                </w14:textFill>
              </w:rPr>
              <w:t>≥99.</w:t>
            </w:r>
            <w:r>
              <w:rPr>
                <w:rFonts w:hint="eastAsia" w:ascii="黑体" w:hAnsi="黑体" w:eastAsia="黑体" w:cs="黑体"/>
                <w:bCs/>
                <w:color w:val="000000" w:themeColor="text1"/>
                <w:sz w:val="28"/>
                <w:szCs w:val="28"/>
                <w:lang w:val="en-US" w:eastAsia="zh-CN"/>
                <w14:textFill>
                  <w14:solidFill>
                    <w14:schemeClr w14:val="tx1"/>
                  </w14:solidFill>
                </w14:textFill>
              </w:rPr>
              <w:t>0</w:t>
            </w:r>
            <w:r>
              <w:rPr>
                <w:rFonts w:hint="eastAsia" w:ascii="黑体" w:hAnsi="黑体" w:eastAsia="黑体" w:cs="黑体"/>
                <w:bCs/>
                <w:color w:val="000000" w:themeColor="text1"/>
                <w:sz w:val="28"/>
                <w:szCs w:val="28"/>
                <w14:textFill>
                  <w14:solidFill>
                    <w14:schemeClr w14:val="tx1"/>
                  </w14:solidFill>
                </w14:textFill>
              </w:rPr>
              <w:t>%</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0654B3">
            <w:pPr>
              <w:spacing w:line="440" w:lineRule="exact"/>
              <w:jc w:val="center"/>
              <w:rPr>
                <w:rFonts w:hint="eastAsia" w:ascii="黑体" w:hAnsi="黑体" w:eastAsia="黑体" w:cstheme="minorBidi"/>
                <w:kern w:val="2"/>
                <w:sz w:val="28"/>
                <w:szCs w:val="28"/>
                <w:lang w:val="en-US" w:eastAsia="zh-CN" w:bidi="ar-SA"/>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6698F65E">
            <w:pPr>
              <w:spacing w:line="440" w:lineRule="exact"/>
              <w:jc w:val="center"/>
              <w:rPr>
                <w:rFonts w:ascii="黑体" w:hAnsi="黑体" w:eastAsia="黑体"/>
                <w:sz w:val="28"/>
                <w:szCs w:val="28"/>
                <w:lang w:eastAsia="zh-CN"/>
              </w:rPr>
            </w:pPr>
          </w:p>
        </w:tc>
      </w:tr>
    </w:tbl>
    <w:p w14:paraId="5FBA43CD">
      <w:pPr>
        <w:pStyle w:val="10"/>
        <w:kinsoku/>
        <w:autoSpaceDE/>
        <w:autoSpaceDN/>
        <w:adjustRightInd/>
        <w:spacing w:before="120" w:line="500" w:lineRule="exact"/>
        <w:textAlignment w:val="auto"/>
        <w:rPr>
          <w:rFonts w:ascii="黑体" w:hAnsi="黑体" w:eastAsia="黑体" w:cs="Segoe UI"/>
          <w:color w:val="4E5463"/>
          <w:sz w:val="28"/>
          <w:szCs w:val="28"/>
          <w:lang w:eastAsia="zh-CN"/>
        </w:rPr>
      </w:pPr>
      <w:r>
        <w:rPr>
          <w:rFonts w:hint="eastAsia" w:ascii="黑体" w:hAnsi="黑体" w:eastAsia="黑体" w:cs="Segoe UI"/>
          <w:color w:val="4E5463"/>
          <w:sz w:val="28"/>
          <w:szCs w:val="28"/>
          <w:lang w:eastAsia="zh-CN"/>
        </w:rPr>
        <w:t>备注：</w:t>
      </w:r>
    </w:p>
    <w:p w14:paraId="772CC6CC">
      <w:pPr>
        <w:pStyle w:val="3"/>
        <w:spacing w:before="0" w:beforeAutospacing="0" w:after="0" w:afterAutospacing="0"/>
        <w:ind w:firstLine="560" w:firstLineChars="200"/>
        <w:rPr>
          <w:rFonts w:hint="default" w:ascii="黑体" w:hAnsi="黑体" w:eastAsia="黑体" w:cs="黑体"/>
          <w:bCs/>
          <w:sz w:val="28"/>
          <w:szCs w:val="28"/>
          <w:lang w:val="en-US" w:eastAsia="zh-CN"/>
        </w:rPr>
      </w:pPr>
      <w:r>
        <w:rPr>
          <w:rFonts w:hint="eastAsia" w:ascii="黑体" w:hAnsi="黑体" w:eastAsia="黑体" w:cs="黑体"/>
          <w:bCs/>
          <w:sz w:val="28"/>
          <w:szCs w:val="28"/>
        </w:rPr>
        <w:t>1.</w:t>
      </w:r>
      <w:r>
        <w:rPr>
          <w:rFonts w:hint="eastAsia" w:ascii="黑体" w:hAnsi="黑体" w:eastAsia="黑体" w:cs="黑体"/>
          <w:bCs/>
          <w:sz w:val="28"/>
          <w:szCs w:val="28"/>
          <w:lang w:val="en-US" w:eastAsia="zh-CN"/>
        </w:rPr>
        <w:t>本报价单中到厂单价在交货期内为不变价。</w:t>
      </w:r>
    </w:p>
    <w:p w14:paraId="4A003423">
      <w:pPr>
        <w:pStyle w:val="3"/>
        <w:spacing w:before="0" w:beforeAutospacing="0" w:after="0" w:afterAutospacing="0"/>
        <w:ind w:firstLine="560" w:firstLineChars="200"/>
        <w:rPr>
          <w:rFonts w:ascii="黑体" w:hAnsi="黑体" w:eastAsia="黑体" w:cs="黑体"/>
          <w:sz w:val="28"/>
          <w:szCs w:val="28"/>
        </w:rPr>
      </w:pPr>
      <w:r>
        <w:rPr>
          <w:rFonts w:hint="eastAsia" w:ascii="黑体" w:hAnsi="黑体" w:eastAsia="黑体" w:cs="黑体"/>
          <w:sz w:val="28"/>
          <w:szCs w:val="28"/>
        </w:rPr>
        <w:t>2.交</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货</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期：</w:t>
      </w:r>
      <w:r>
        <w:rPr>
          <w:rFonts w:hint="eastAsia" w:ascii="黑体" w:hAnsi="黑体" w:eastAsia="黑体"/>
          <w:bCs/>
          <w:color w:val="000000" w:themeColor="text1"/>
          <w:sz w:val="28"/>
          <w:szCs w:val="28"/>
          <w14:textFill>
            <w14:solidFill>
              <w14:schemeClr w14:val="tx1"/>
            </w14:solidFill>
          </w14:textFill>
        </w:rPr>
        <w:t>202</w:t>
      </w:r>
      <w:r>
        <w:rPr>
          <w:rFonts w:hint="eastAsia" w:ascii="黑体" w:hAnsi="黑体" w:eastAsia="黑体"/>
          <w:bCs/>
          <w:color w:val="000000" w:themeColor="text1"/>
          <w:sz w:val="28"/>
          <w:szCs w:val="28"/>
          <w:lang w:val="en-US" w:eastAsia="zh-CN"/>
          <w14:textFill>
            <w14:solidFill>
              <w14:schemeClr w14:val="tx1"/>
            </w14:solidFill>
          </w14:textFill>
        </w:rPr>
        <w:t>6</w:t>
      </w:r>
      <w:r>
        <w:rPr>
          <w:rFonts w:hint="eastAsia" w:ascii="黑体" w:hAnsi="黑体" w:eastAsia="黑体"/>
          <w:bCs/>
          <w:color w:val="000000" w:themeColor="text1"/>
          <w:sz w:val="28"/>
          <w:szCs w:val="28"/>
          <w14:textFill>
            <w14:solidFill>
              <w14:schemeClr w14:val="tx1"/>
            </w14:solidFill>
          </w14:textFill>
        </w:rPr>
        <w:t>年</w:t>
      </w:r>
      <w:r>
        <w:rPr>
          <w:rFonts w:hint="eastAsia" w:ascii="黑体" w:hAnsi="黑体" w:eastAsia="黑体"/>
          <w:bCs/>
          <w:color w:val="000000" w:themeColor="text1"/>
          <w:sz w:val="28"/>
          <w:szCs w:val="28"/>
          <w:lang w:val="en-US" w:eastAsia="zh-CN"/>
          <w14:textFill>
            <w14:solidFill>
              <w14:schemeClr w14:val="tx1"/>
            </w14:solidFill>
          </w14:textFill>
        </w:rPr>
        <w:t>5</w:t>
      </w:r>
      <w:r>
        <w:rPr>
          <w:rFonts w:hint="eastAsia" w:ascii="黑体" w:hAnsi="黑体" w:eastAsia="黑体"/>
          <w:bCs/>
          <w:color w:val="000000" w:themeColor="text1"/>
          <w:sz w:val="28"/>
          <w:szCs w:val="28"/>
          <w14:textFill>
            <w14:solidFill>
              <w14:schemeClr w14:val="tx1"/>
            </w14:solidFill>
          </w14:textFill>
        </w:rPr>
        <w:t>月</w:t>
      </w:r>
      <w:r>
        <w:rPr>
          <w:rFonts w:hint="eastAsia" w:ascii="黑体" w:hAnsi="黑体" w:eastAsia="黑体"/>
          <w:bCs/>
          <w:color w:val="000000" w:themeColor="text1"/>
          <w:sz w:val="28"/>
          <w:szCs w:val="28"/>
          <w:lang w:val="en-US" w:eastAsia="zh-CN"/>
          <w14:textFill>
            <w14:solidFill>
              <w14:schemeClr w14:val="tx1"/>
            </w14:solidFill>
          </w14:textFill>
        </w:rPr>
        <w:t>12</w:t>
      </w:r>
      <w:r>
        <w:rPr>
          <w:rFonts w:hint="eastAsia" w:ascii="黑体" w:hAnsi="黑体" w:eastAsia="黑体"/>
          <w:bCs/>
          <w:color w:val="000000" w:themeColor="text1"/>
          <w:sz w:val="28"/>
          <w:szCs w:val="28"/>
          <w14:textFill>
            <w14:solidFill>
              <w14:schemeClr w14:val="tx1"/>
            </w14:solidFill>
          </w14:textFill>
        </w:rPr>
        <w:t>日起至202</w:t>
      </w:r>
      <w:r>
        <w:rPr>
          <w:rFonts w:hint="eastAsia" w:ascii="黑体" w:hAnsi="黑体" w:eastAsia="黑体"/>
          <w:bCs/>
          <w:color w:val="000000" w:themeColor="text1"/>
          <w:sz w:val="28"/>
          <w:szCs w:val="28"/>
          <w:lang w:val="en-US" w:eastAsia="zh-CN"/>
          <w14:textFill>
            <w14:solidFill>
              <w14:schemeClr w14:val="tx1"/>
            </w14:solidFill>
          </w14:textFill>
        </w:rPr>
        <w:t>6</w:t>
      </w:r>
      <w:r>
        <w:rPr>
          <w:rFonts w:hint="eastAsia" w:ascii="黑体" w:hAnsi="黑体" w:eastAsia="黑体"/>
          <w:bCs/>
          <w:color w:val="000000" w:themeColor="text1"/>
          <w:sz w:val="28"/>
          <w:szCs w:val="28"/>
          <w14:textFill>
            <w14:solidFill>
              <w14:schemeClr w14:val="tx1"/>
            </w14:solidFill>
          </w14:textFill>
        </w:rPr>
        <w:t>年</w:t>
      </w:r>
      <w:r>
        <w:rPr>
          <w:rFonts w:hint="eastAsia" w:ascii="黑体" w:hAnsi="黑体" w:eastAsia="黑体"/>
          <w:bCs/>
          <w:color w:val="000000" w:themeColor="text1"/>
          <w:sz w:val="28"/>
          <w:szCs w:val="28"/>
          <w:lang w:val="en-US" w:eastAsia="zh-CN"/>
          <w14:textFill>
            <w14:solidFill>
              <w14:schemeClr w14:val="tx1"/>
            </w14:solidFill>
          </w14:textFill>
        </w:rPr>
        <w:t>5</w:t>
      </w:r>
      <w:r>
        <w:rPr>
          <w:rFonts w:hint="eastAsia" w:ascii="黑体" w:hAnsi="黑体" w:eastAsia="黑体"/>
          <w:bCs/>
          <w:color w:val="000000" w:themeColor="text1"/>
          <w:sz w:val="28"/>
          <w:szCs w:val="28"/>
          <w14:textFill>
            <w14:solidFill>
              <w14:schemeClr w14:val="tx1"/>
            </w14:solidFill>
          </w14:textFill>
        </w:rPr>
        <w:t>月</w:t>
      </w:r>
      <w:r>
        <w:rPr>
          <w:rFonts w:hint="eastAsia" w:ascii="黑体" w:hAnsi="黑体" w:eastAsia="黑体"/>
          <w:bCs/>
          <w:color w:val="000000" w:themeColor="text1"/>
          <w:sz w:val="28"/>
          <w:szCs w:val="28"/>
          <w:lang w:val="en-US" w:eastAsia="zh-CN"/>
          <w14:textFill>
            <w14:solidFill>
              <w14:schemeClr w14:val="tx1"/>
            </w14:solidFill>
          </w14:textFill>
        </w:rPr>
        <w:t>31</w:t>
      </w:r>
      <w:r>
        <w:rPr>
          <w:rFonts w:hint="eastAsia" w:ascii="黑体" w:hAnsi="黑体" w:eastAsia="黑体"/>
          <w:bCs/>
          <w:color w:val="000000" w:themeColor="text1"/>
          <w:sz w:val="28"/>
          <w:szCs w:val="28"/>
          <w14:textFill>
            <w14:solidFill>
              <w14:schemeClr w14:val="tx1"/>
            </w14:solidFill>
          </w14:textFill>
        </w:rPr>
        <w:t>日</w:t>
      </w:r>
      <w:r>
        <w:rPr>
          <w:rFonts w:hint="eastAsia" w:ascii="黑体" w:hAnsi="黑体" w:eastAsia="黑体" w:cs="黑体"/>
          <w:sz w:val="28"/>
          <w:szCs w:val="28"/>
        </w:rPr>
        <w:t>。</w:t>
      </w:r>
    </w:p>
    <w:p w14:paraId="663CA9DD">
      <w:pPr>
        <w:pStyle w:val="3"/>
        <w:spacing w:before="0" w:beforeAutospacing="0" w:after="0" w:afterAutospacing="0"/>
        <w:ind w:firstLine="560" w:firstLineChars="200"/>
        <w:rPr>
          <w:rFonts w:hint="eastAsia" w:ascii="黑体" w:hAnsi="黑体" w:eastAsia="黑体" w:cs="黑体"/>
          <w:sz w:val="28"/>
          <w:szCs w:val="28"/>
        </w:rPr>
      </w:pPr>
      <w:r>
        <w:rPr>
          <w:rFonts w:hint="eastAsia" w:ascii="黑体" w:hAnsi="黑体" w:eastAsia="黑体" w:cs="黑体"/>
          <w:sz w:val="28"/>
          <w:szCs w:val="28"/>
        </w:rPr>
        <w:t>3.交货地点：宏达股份</w:t>
      </w:r>
      <w:r>
        <w:rPr>
          <w:rFonts w:hint="eastAsia" w:ascii="黑体" w:hAnsi="黑体" w:eastAsia="黑体" w:cs="黑体"/>
          <w:sz w:val="28"/>
          <w:szCs w:val="28"/>
          <w:lang w:eastAsia="zh-CN"/>
        </w:rPr>
        <w:t>什邡磷化工分公司</w:t>
      </w:r>
      <w:r>
        <w:rPr>
          <w:rFonts w:hint="eastAsia" w:ascii="黑体" w:hAnsi="黑体" w:eastAsia="黑体" w:cs="黑体"/>
          <w:sz w:val="28"/>
          <w:szCs w:val="28"/>
          <w:lang w:val="en-US" w:eastAsia="zh-CN"/>
        </w:rPr>
        <w:t>磷铵</w:t>
      </w:r>
      <w:r>
        <w:rPr>
          <w:rFonts w:hint="eastAsia" w:ascii="黑体" w:hAnsi="黑体" w:eastAsia="黑体" w:cs="黑体"/>
          <w:sz w:val="28"/>
          <w:szCs w:val="28"/>
        </w:rPr>
        <w:t>厂氨站（什邡市洛水镇）。</w:t>
      </w:r>
    </w:p>
    <w:p w14:paraId="25158CB5">
      <w:pPr>
        <w:pStyle w:val="3"/>
        <w:spacing w:before="0" w:beforeAutospacing="0" w:after="0" w:afterAutospacing="0"/>
        <w:ind w:firstLine="560" w:firstLineChars="200"/>
        <w:rPr>
          <w:rFonts w:hint="eastAsia" w:ascii="黑体" w:hAnsi="黑体" w:eastAsia="黑体" w:cs="黑体"/>
          <w:sz w:val="28"/>
          <w:szCs w:val="28"/>
          <w:shd w:val="clear" w:color="auto" w:fill="FAFAFA"/>
        </w:rPr>
      </w:pPr>
      <w:r>
        <w:rPr>
          <w:rFonts w:hint="eastAsia" w:ascii="黑体" w:hAnsi="黑体" w:eastAsia="黑体" w:cs="黑体"/>
          <w:sz w:val="28"/>
          <w:szCs w:val="28"/>
        </w:rPr>
        <w:t>4.</w:t>
      </w:r>
      <w:r>
        <w:rPr>
          <w:rFonts w:hint="eastAsia" w:ascii="黑体" w:hAnsi="黑体" w:eastAsia="黑体" w:cs="黑体"/>
          <w:sz w:val="28"/>
          <w:szCs w:val="28"/>
          <w:shd w:val="clear" w:color="auto" w:fill="FAFAFA"/>
        </w:rPr>
        <w:t>交货方式：卖方按买方需求通知及时送货到交货地点。</w:t>
      </w:r>
    </w:p>
    <w:p w14:paraId="0E4FA726">
      <w:pPr>
        <w:pStyle w:val="3"/>
        <w:spacing w:before="0" w:beforeAutospacing="0" w:after="0" w:afterAutospacing="0"/>
        <w:ind w:firstLine="560" w:firstLineChars="200"/>
        <w:rPr>
          <w:rFonts w:hint="eastAsia" w:ascii="黑体" w:hAnsi="黑体" w:eastAsia="黑体" w:cs="黑体"/>
          <w:sz w:val="28"/>
          <w:szCs w:val="28"/>
          <w:shd w:val="clear" w:color="auto" w:fill="FAFAFA"/>
        </w:rPr>
      </w:pPr>
      <w:r>
        <w:rPr>
          <w:rFonts w:hint="eastAsia" w:ascii="黑体" w:hAnsi="黑体" w:eastAsia="黑体" w:cs="黑体"/>
          <w:sz w:val="28"/>
          <w:szCs w:val="28"/>
          <w:shd w:val="clear" w:color="auto" w:fill="FAFAFA"/>
        </w:rPr>
        <w:t>5.</w:t>
      </w:r>
      <w:r>
        <w:rPr>
          <w:rFonts w:hint="eastAsia" w:ascii="黑体" w:hAnsi="黑体" w:eastAsia="黑体" w:cs="黑体"/>
          <w:bCs/>
          <w:sz w:val="28"/>
          <w:szCs w:val="28"/>
        </w:rPr>
        <w:t>付款方式：先货后款</w:t>
      </w:r>
      <w:r>
        <w:rPr>
          <w:rFonts w:hint="eastAsia" w:ascii="黑体" w:hAnsi="黑体" w:eastAsia="黑体" w:cs="黑体"/>
          <w:bCs/>
          <w:sz w:val="28"/>
          <w:szCs w:val="28"/>
          <w:lang w:eastAsia="zh-CN"/>
        </w:rPr>
        <w:t>，</w:t>
      </w:r>
      <w:r>
        <w:rPr>
          <w:rFonts w:hint="eastAsia" w:ascii="黑体" w:hAnsi="黑体" w:eastAsia="黑体" w:cs="黑体"/>
          <w:bCs/>
          <w:sz w:val="28"/>
          <w:szCs w:val="28"/>
          <w:lang w:val="en-US" w:eastAsia="zh-CN"/>
        </w:rPr>
        <w:t>现汇支付</w:t>
      </w:r>
      <w:r>
        <w:rPr>
          <w:rFonts w:hint="eastAsia" w:ascii="黑体" w:hAnsi="黑体" w:eastAsia="黑体" w:cs="黑体"/>
          <w:bCs/>
          <w:sz w:val="28"/>
          <w:szCs w:val="28"/>
        </w:rPr>
        <w:t>。</w:t>
      </w:r>
    </w:p>
    <w:p w14:paraId="30820D7B">
      <w:pPr>
        <w:pStyle w:val="3"/>
        <w:spacing w:before="0" w:beforeAutospacing="0" w:after="0" w:afterAutospacing="0"/>
        <w:ind w:firstLine="560" w:firstLineChars="200"/>
        <w:rPr>
          <w:rFonts w:hint="eastAsia" w:ascii="黑体" w:hAnsi="黑体" w:eastAsia="黑体" w:cs="黑体"/>
          <w:sz w:val="28"/>
          <w:szCs w:val="28"/>
        </w:rPr>
      </w:pPr>
      <w:r>
        <w:rPr>
          <w:rFonts w:hint="eastAsia" w:ascii="黑体" w:hAnsi="黑体" w:eastAsia="黑体" w:cs="黑体"/>
          <w:bCs/>
          <w:sz w:val="28"/>
          <w:szCs w:val="28"/>
        </w:rPr>
        <w:t>6.</w:t>
      </w:r>
      <w:r>
        <w:rPr>
          <w:rFonts w:hint="eastAsia" w:ascii="黑体" w:hAnsi="黑体" w:eastAsia="黑体" w:cs="黑体"/>
          <w:sz w:val="28"/>
          <w:szCs w:val="28"/>
        </w:rPr>
        <w:t>卖方开具全额增值税专用发票（税率13%）。</w:t>
      </w:r>
    </w:p>
    <w:p w14:paraId="5AD57609">
      <w:pPr>
        <w:pStyle w:val="3"/>
        <w:spacing w:before="0" w:beforeAutospacing="0" w:after="0" w:afterAutospacing="0"/>
        <w:ind w:firstLine="560" w:firstLineChars="200"/>
        <w:rPr>
          <w:rFonts w:ascii="黑体" w:hAnsi="黑体" w:eastAsia="黑体" w:cs="黑体"/>
          <w:bCs/>
          <w:sz w:val="28"/>
          <w:szCs w:val="28"/>
        </w:rPr>
      </w:pPr>
      <w:r>
        <w:rPr>
          <w:rFonts w:hint="eastAsia" w:ascii="黑体" w:hAnsi="黑体" w:eastAsia="黑体" w:cs="黑体"/>
          <w:bCs/>
          <w:sz w:val="28"/>
          <w:szCs w:val="28"/>
          <w:lang w:val="en-US" w:eastAsia="zh-CN"/>
        </w:rPr>
        <w:t>7.</w:t>
      </w:r>
      <w:r>
        <w:rPr>
          <w:rFonts w:hint="eastAsia" w:ascii="黑体" w:hAnsi="黑体" w:eastAsia="黑体" w:cs="黑体"/>
          <w:bCs/>
          <w:sz w:val="28"/>
          <w:szCs w:val="28"/>
        </w:rPr>
        <w:t>联系人及电话：</w:t>
      </w:r>
    </w:p>
    <w:p w14:paraId="1A7A3C1E">
      <w:pPr>
        <w:pStyle w:val="3"/>
        <w:kinsoku/>
        <w:adjustRightInd/>
        <w:spacing w:before="0" w:beforeAutospacing="0" w:after="0" w:afterAutospacing="0" w:line="500" w:lineRule="exact"/>
        <w:textAlignment w:val="auto"/>
        <w:rPr>
          <w:rFonts w:ascii="黑体" w:hAnsi="黑体" w:eastAsia="黑体" w:cs="Segoe UI"/>
          <w:color w:val="4E5463"/>
          <w:sz w:val="28"/>
          <w:szCs w:val="28"/>
        </w:rPr>
      </w:pPr>
      <w:r>
        <w:rPr>
          <w:rFonts w:hint="eastAsia" w:ascii="黑体" w:hAnsi="黑体" w:eastAsia="黑体" w:cs="Segoe UI"/>
          <w:color w:val="4E5463"/>
          <w:sz w:val="28"/>
          <w:szCs w:val="28"/>
        </w:rPr>
        <w:t xml:space="preserve">      </w:t>
      </w:r>
    </w:p>
    <w:p w14:paraId="21C6B032">
      <w:pPr>
        <w:pStyle w:val="3"/>
        <w:kinsoku/>
        <w:adjustRightInd/>
        <w:spacing w:before="0" w:beforeAutospacing="0" w:after="0" w:afterAutospacing="0" w:line="500" w:lineRule="exact"/>
        <w:ind w:firstLine="4760" w:firstLineChars="1700"/>
        <w:textAlignment w:val="auto"/>
        <w:rPr>
          <w:rFonts w:ascii="黑体" w:hAnsi="黑体" w:eastAsia="黑体" w:cs="Segoe UI"/>
          <w:color w:val="4E5463"/>
          <w:sz w:val="28"/>
          <w:szCs w:val="28"/>
        </w:rPr>
      </w:pPr>
    </w:p>
    <w:p w14:paraId="75C51E5D">
      <w:pPr>
        <w:pStyle w:val="3"/>
        <w:kinsoku/>
        <w:adjustRightInd/>
        <w:spacing w:before="0" w:beforeAutospacing="0" w:after="0" w:afterAutospacing="0" w:line="500" w:lineRule="exact"/>
        <w:ind w:firstLine="4779" w:firstLineChars="1700"/>
        <w:textAlignment w:val="auto"/>
        <w:rPr>
          <w:rFonts w:ascii="黑体" w:hAnsi="黑体" w:eastAsia="黑体" w:cs="Segoe UI"/>
          <w:b/>
          <w:color w:val="4E5463"/>
          <w:sz w:val="28"/>
          <w:szCs w:val="28"/>
        </w:rPr>
      </w:pPr>
      <w:r>
        <w:rPr>
          <w:rFonts w:hint="eastAsia" w:ascii="黑体" w:hAnsi="黑体" w:eastAsia="黑体" w:cs="Segoe UI"/>
          <w:b/>
          <w:color w:val="4E5463"/>
          <w:sz w:val="28"/>
          <w:szCs w:val="28"/>
        </w:rPr>
        <w:t>投标人名称（盖章）：</w:t>
      </w:r>
    </w:p>
    <w:p w14:paraId="4B8D9CBF">
      <w:pPr>
        <w:pStyle w:val="3"/>
        <w:kinsoku/>
        <w:adjustRightInd/>
        <w:spacing w:before="0" w:beforeAutospacing="0" w:after="0" w:afterAutospacing="0" w:line="500" w:lineRule="exact"/>
        <w:ind w:firstLine="4480" w:firstLineChars="1600"/>
        <w:textAlignment w:val="auto"/>
        <w:rPr>
          <w:rFonts w:hint="eastAsia" w:ascii="黑体" w:hAnsi="黑体" w:eastAsia="黑体" w:cs="Segoe UI"/>
          <w:color w:val="4E5463"/>
          <w:sz w:val="28"/>
          <w:szCs w:val="28"/>
        </w:rPr>
      </w:pPr>
    </w:p>
    <w:p w14:paraId="1B4D754F">
      <w:pPr>
        <w:pStyle w:val="3"/>
        <w:kinsoku/>
        <w:adjustRightInd/>
        <w:spacing w:before="0" w:beforeAutospacing="0" w:after="0" w:afterAutospacing="0" w:line="500" w:lineRule="exact"/>
        <w:ind w:firstLine="4779" w:firstLineChars="1700"/>
        <w:textAlignment w:val="auto"/>
        <w:rPr>
          <w:rFonts w:ascii="黑体" w:hAnsi="黑体" w:eastAsia="黑体" w:cs="Segoe UI"/>
          <w:b/>
          <w:color w:val="4E5463"/>
          <w:sz w:val="28"/>
          <w:szCs w:val="28"/>
        </w:rPr>
      </w:pPr>
      <w:r>
        <w:rPr>
          <w:rFonts w:hint="eastAsia" w:ascii="黑体" w:hAnsi="黑体" w:eastAsia="黑体" w:cs="Segoe UI"/>
          <w:b/>
          <w:color w:val="4E5463"/>
          <w:sz w:val="28"/>
          <w:szCs w:val="28"/>
        </w:rPr>
        <w:t>日期：    年   月   日</w:t>
      </w:r>
    </w:p>
    <w:p w14:paraId="571E6CF5">
      <w:pPr>
        <w:kinsoku/>
        <w:spacing w:line="360" w:lineRule="auto"/>
        <w:ind w:firstLine="562" w:firstLineChars="200"/>
        <w:jc w:val="center"/>
        <w:rPr>
          <w:rFonts w:ascii="黑体" w:hAnsi="黑体" w:eastAsia="黑体" w:cs="宋体"/>
          <w:b/>
          <w:bCs/>
          <w:color w:val="auto"/>
          <w:sz w:val="28"/>
          <w:szCs w:val="28"/>
          <w:lang w:eastAsia="zh-CN"/>
        </w:rPr>
      </w:pPr>
    </w:p>
    <w:p w14:paraId="4592266F">
      <w:pPr>
        <w:kinsoku/>
        <w:spacing w:line="360" w:lineRule="auto"/>
        <w:ind w:firstLine="562" w:firstLineChars="200"/>
        <w:jc w:val="center"/>
        <w:rPr>
          <w:rFonts w:ascii="黑体" w:hAnsi="黑体" w:eastAsia="黑体" w:cs="宋体"/>
          <w:b/>
          <w:bCs/>
          <w:color w:val="auto"/>
          <w:sz w:val="28"/>
          <w:szCs w:val="28"/>
          <w:lang w:eastAsia="zh-CN"/>
        </w:rPr>
      </w:pPr>
    </w:p>
    <w:p w14:paraId="3791A7FE">
      <w:pPr>
        <w:pageBreakBefore w:val="0"/>
        <w:widowControl/>
        <w:kinsoku/>
        <w:wordWrap/>
        <w:overflowPunct/>
        <w:topLinePunct w:val="0"/>
        <w:bidi w:val="0"/>
        <w:adjustRightInd w:val="0"/>
        <w:snapToGrid w:val="0"/>
        <w:spacing w:line="500" w:lineRule="exact"/>
        <w:ind w:firstLine="560" w:firstLineChars="200"/>
        <w:rPr>
          <w:rFonts w:hint="eastAsia" w:ascii="黑体" w:hAnsi="黑体" w:eastAsia="黑体" w:cs="黑体"/>
          <w:kern w:val="0"/>
          <w:sz w:val="28"/>
          <w:szCs w:val="28"/>
        </w:rPr>
      </w:pPr>
    </w:p>
    <w:p w14:paraId="76471A09">
      <w:pPr>
        <w:pStyle w:val="3"/>
        <w:spacing w:before="0" w:beforeAutospacing="0" w:after="0" w:afterAutospacing="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二、承 诺</w:t>
      </w:r>
    </w:p>
    <w:p w14:paraId="6E41EABE">
      <w:pPr>
        <w:pStyle w:val="3"/>
        <w:spacing w:before="0" w:beforeAutospacing="0" w:after="0" w:afterAutospacing="0"/>
        <w:ind w:firstLine="560" w:firstLineChars="200"/>
        <w:rPr>
          <w:rFonts w:hint="eastAsia" w:ascii="黑体" w:hAnsi="黑体" w:eastAsia="黑体" w:cs="黑体"/>
          <w:sz w:val="28"/>
          <w:szCs w:val="28"/>
          <w:lang w:eastAsia="zh-CN"/>
        </w:rPr>
      </w:pPr>
    </w:p>
    <w:p w14:paraId="1A43048D">
      <w:pPr>
        <w:pStyle w:val="3"/>
        <w:spacing w:before="0" w:beforeAutospacing="0" w:after="0" w:afterAutospacing="0"/>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四川宏达股份有限公司：</w:t>
      </w:r>
    </w:p>
    <w:p w14:paraId="1FCFA5F2">
      <w:pPr>
        <w:pStyle w:val="3"/>
        <w:spacing w:before="0" w:beforeAutospacing="0" w:after="0" w:afterAutospacing="0"/>
        <w:ind w:firstLine="560" w:firstLineChars="200"/>
        <w:rPr>
          <w:rFonts w:hint="eastAsia" w:ascii="黑体" w:hAnsi="黑体" w:eastAsia="黑体" w:cs="黑体"/>
          <w:sz w:val="28"/>
          <w:szCs w:val="28"/>
        </w:rPr>
      </w:pPr>
      <w:r>
        <w:rPr>
          <w:rFonts w:hint="eastAsia" w:ascii="黑体" w:hAnsi="黑体" w:eastAsia="黑体" w:cs="黑体"/>
          <w:sz w:val="28"/>
          <w:szCs w:val="28"/>
        </w:rPr>
        <w:t>我公司自愿参与四川宏达股份有限公司</w:t>
      </w:r>
      <w:r>
        <w:rPr>
          <w:rFonts w:hint="eastAsia" w:ascii="黑体" w:hAnsi="黑体" w:eastAsia="黑体" w:cs="黑体"/>
          <w:sz w:val="28"/>
          <w:szCs w:val="28"/>
          <w:lang w:val="en-US" w:eastAsia="zh-CN"/>
        </w:rPr>
        <w:t>磷铵厂液氨采购</w:t>
      </w:r>
      <w:r>
        <w:rPr>
          <w:rFonts w:hint="eastAsia" w:ascii="黑体" w:hAnsi="黑体" w:eastAsia="黑体" w:cs="黑体"/>
          <w:sz w:val="28"/>
          <w:szCs w:val="28"/>
        </w:rPr>
        <w:t>的投标，现郑重作出以下承诺：</w:t>
      </w:r>
    </w:p>
    <w:p w14:paraId="1D30D27F">
      <w:pPr>
        <w:pStyle w:val="3"/>
        <w:spacing w:before="0" w:beforeAutospacing="0" w:after="0" w:afterAutospacing="0"/>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①我公司具有良好的信誉、企业处于正常经营状态；</w:t>
      </w:r>
    </w:p>
    <w:p w14:paraId="73BD8DF3">
      <w:pPr>
        <w:pStyle w:val="3"/>
        <w:spacing w:before="0" w:beforeAutospacing="0" w:after="0" w:afterAutospacing="0"/>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②我公司完全按报价文件严格执行。</w:t>
      </w:r>
    </w:p>
    <w:p w14:paraId="5E33AE9D">
      <w:pPr>
        <w:pStyle w:val="3"/>
        <w:spacing w:before="0" w:beforeAutospacing="0" w:after="0" w:afterAutospacing="0"/>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③我公司将严格遵守投标的各项法律法规和程序，若有违规行为，愿意承担相应法律责任。</w:t>
      </w:r>
    </w:p>
    <w:p w14:paraId="7098D179">
      <w:pPr>
        <w:pStyle w:val="3"/>
        <w:spacing w:before="0" w:beforeAutospacing="0" w:after="0" w:afterAutospacing="0"/>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④若中</w:t>
      </w:r>
      <w:r>
        <w:rPr>
          <w:rFonts w:hint="eastAsia" w:ascii="黑体" w:hAnsi="黑体" w:eastAsia="黑体" w:cs="黑体"/>
          <w:sz w:val="28"/>
          <w:szCs w:val="28"/>
          <w:lang w:val="en-US" w:eastAsia="zh-CN"/>
        </w:rPr>
        <w:t>选</w:t>
      </w:r>
      <w:r>
        <w:rPr>
          <w:rFonts w:hint="eastAsia" w:ascii="黑体" w:hAnsi="黑体" w:eastAsia="黑体" w:cs="黑体"/>
          <w:sz w:val="28"/>
          <w:szCs w:val="28"/>
          <w:lang w:eastAsia="zh-CN"/>
        </w:rPr>
        <w:t>，我公司将按照合同约定的时间、地点和方式交付物资，确保项目顺利推进。</w:t>
      </w:r>
    </w:p>
    <w:p w14:paraId="51C2CFE0">
      <w:pPr>
        <w:pStyle w:val="3"/>
        <w:spacing w:before="0" w:beforeAutospacing="0" w:after="0" w:afterAutospacing="0"/>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⑤我公司保证所提供的所有资料真实、准确、有效，如有虚假，愿意接受相应处罚。 一旦我方中标，愿意按照招标文件和招标人的规定和要求签订购销合同，并信守合同、保证质量、如期交货。</w:t>
      </w:r>
    </w:p>
    <w:p w14:paraId="559BFFDF">
      <w:pPr>
        <w:pStyle w:val="3"/>
        <w:spacing w:before="0" w:beforeAutospacing="0" w:after="0" w:afterAutospacing="0"/>
        <w:ind w:firstLine="560" w:firstLineChars="200"/>
        <w:rPr>
          <w:rFonts w:hint="eastAsia" w:ascii="黑体" w:hAnsi="黑体" w:eastAsia="黑体" w:cs="黑体"/>
          <w:sz w:val="28"/>
          <w:szCs w:val="28"/>
          <w:lang w:eastAsia="zh-CN"/>
        </w:rPr>
      </w:pPr>
    </w:p>
    <w:p w14:paraId="7A3AD422">
      <w:pPr>
        <w:pStyle w:val="3"/>
        <w:spacing w:before="0" w:beforeAutospacing="0" w:after="0" w:afterAutospacing="0"/>
        <w:ind w:firstLine="560" w:firstLineChars="200"/>
        <w:rPr>
          <w:rFonts w:hint="eastAsia" w:ascii="黑体" w:hAnsi="黑体" w:eastAsia="黑体" w:cs="黑体"/>
          <w:sz w:val="28"/>
          <w:szCs w:val="28"/>
          <w:lang w:eastAsia="zh-CN"/>
        </w:rPr>
      </w:pPr>
    </w:p>
    <w:p w14:paraId="1FA9CA5B">
      <w:pPr>
        <w:pStyle w:val="3"/>
        <w:spacing w:before="0" w:beforeAutospacing="0" w:after="0" w:afterAutospacing="0"/>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投标</w:t>
      </w:r>
      <w:r>
        <w:rPr>
          <w:rFonts w:hint="eastAsia" w:ascii="黑体" w:hAnsi="黑体" w:eastAsia="黑体" w:cs="黑体"/>
          <w:sz w:val="28"/>
          <w:szCs w:val="28"/>
          <w:lang w:val="en-US" w:eastAsia="zh-CN"/>
        </w:rPr>
        <w:t>单位</w:t>
      </w:r>
      <w:r>
        <w:rPr>
          <w:rFonts w:hint="eastAsia" w:ascii="黑体" w:hAnsi="黑体" w:eastAsia="黑体" w:cs="黑体"/>
          <w:sz w:val="28"/>
          <w:szCs w:val="28"/>
          <w:lang w:eastAsia="zh-CN"/>
        </w:rPr>
        <w:t>名称（盖单位章）：</w:t>
      </w:r>
    </w:p>
    <w:p w14:paraId="07DC2246">
      <w:pPr>
        <w:pStyle w:val="3"/>
        <w:spacing w:before="0" w:beforeAutospacing="0" w:after="0" w:afterAutospacing="0"/>
        <w:ind w:firstLine="560" w:firstLineChars="200"/>
        <w:rPr>
          <w:rFonts w:hint="eastAsia" w:ascii="黑体" w:hAnsi="黑体" w:eastAsia="黑体" w:cs="黑体"/>
          <w:sz w:val="28"/>
          <w:szCs w:val="28"/>
          <w:lang w:eastAsia="zh-CN"/>
        </w:rPr>
      </w:pPr>
    </w:p>
    <w:p w14:paraId="4B95E76D">
      <w:pPr>
        <w:pStyle w:val="3"/>
        <w:spacing w:before="0" w:beforeAutospacing="0" w:after="0" w:afterAutospacing="0"/>
        <w:ind w:firstLine="2800" w:firstLineChars="1000"/>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日  期：      年    月     日</w:t>
      </w:r>
    </w:p>
    <w:p w14:paraId="62567312">
      <w:pPr>
        <w:kinsoku/>
        <w:ind w:firstLine="560" w:firstLineChars="200"/>
        <w:rPr>
          <w:rFonts w:hint="eastAsia" w:ascii="黑体" w:hAnsi="黑体" w:eastAsia="黑体" w:cs="Segoe UI"/>
          <w:color w:val="4E5463"/>
          <w:sz w:val="28"/>
          <w:szCs w:val="28"/>
          <w:lang w:eastAsia="zh-CN"/>
        </w:rPr>
      </w:pPr>
    </w:p>
    <w:p w14:paraId="00FDF1F2">
      <w:pPr>
        <w:kinsoku/>
        <w:ind w:firstLine="560" w:firstLineChars="200"/>
        <w:rPr>
          <w:rFonts w:hint="eastAsia" w:ascii="黑体" w:hAnsi="黑体" w:eastAsia="黑体" w:cs="Segoe UI"/>
          <w:color w:val="4E5463"/>
          <w:sz w:val="28"/>
          <w:szCs w:val="28"/>
          <w:lang w:eastAsia="zh-CN"/>
        </w:rPr>
      </w:pPr>
    </w:p>
    <w:p w14:paraId="2E4015B6">
      <w:pPr>
        <w:kinsoku/>
        <w:ind w:firstLine="560" w:firstLineChars="200"/>
        <w:rPr>
          <w:rFonts w:hint="eastAsia" w:ascii="黑体" w:hAnsi="黑体" w:eastAsia="黑体" w:cs="Segoe UI"/>
          <w:color w:val="4E5463"/>
          <w:sz w:val="28"/>
          <w:szCs w:val="28"/>
          <w:lang w:eastAsia="zh-CN"/>
        </w:rPr>
      </w:pPr>
    </w:p>
    <w:p w14:paraId="29EF6DCE">
      <w:pPr>
        <w:pStyle w:val="3"/>
        <w:numPr>
          <w:ilvl w:val="0"/>
          <w:numId w:val="1"/>
        </w:numPr>
        <w:spacing w:before="0" w:beforeAutospacing="0" w:after="0" w:afterAutospacing="0"/>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营业执照</w:t>
      </w:r>
    </w:p>
    <w:p w14:paraId="4D8D5438">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04EAD44B">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7EDA024D">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57AE0759">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04B733AC">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7899BAF0">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22EEB0C5">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06400C8A">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3F2A0630">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0FAB442D">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7B4746C8">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010E682A">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05110E57">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703B96B1">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2C3346E7">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70C189E6">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16C56E96">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6659F367">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5BBC4360">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3434DB76">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3C0A4EF3">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698A42B2">
      <w:pPr>
        <w:pStyle w:val="3"/>
        <w:spacing w:before="0" w:beforeAutospacing="0" w:after="0" w:afterAutospacing="0"/>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四</w:t>
      </w: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危险化学品经营许可证</w:t>
      </w:r>
    </w:p>
    <w:p w14:paraId="67C14E00">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1CAC81D8">
      <w:pPr>
        <w:pStyle w:val="3"/>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7EBA1">
    <w:pPr>
      <w:tabs>
        <w:tab w:val="left" w:pos="645"/>
      </w:tabs>
      <w:snapToGrid w:val="0"/>
      <w:ind w:right="360"/>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1144C">
    <w:pPr>
      <w:tabs>
        <w:tab w:val="center" w:pos="4153"/>
        <w:tab w:val="right" w:pos="8306"/>
      </w:tabs>
      <w:snapToGrid w:val="0"/>
      <w:ind w:right="360"/>
      <w:jc w:val="center"/>
      <w:rPr>
        <w:rFonts w:ascii="Calibri" w:hAnsi="Calibri"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EDB68">
    <w:pPr>
      <w:autoSpaceDE w:val="0"/>
      <w:autoSpaceDN w:val="0"/>
      <w:adjustRightInd w:val="0"/>
      <w:spacing w:before="100" w:after="100"/>
      <w:rPr>
        <w:rFonts w:ascii="Calibri" w:hAnsi="Calibri" w:eastAsia="宋体" w:cs="Times New Roman"/>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612F23"/>
    <w:multiLevelType w:val="singleLevel"/>
    <w:tmpl w:val="45612F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M2VlNzQ5NjExNTBhODlhNjBjOGIwNDY3NTY1MWIifQ=="/>
  </w:docVars>
  <w:rsids>
    <w:rsidRoot w:val="00427704"/>
    <w:rsid w:val="00310EB4"/>
    <w:rsid w:val="003F073B"/>
    <w:rsid w:val="00427704"/>
    <w:rsid w:val="005C6ADC"/>
    <w:rsid w:val="006209EC"/>
    <w:rsid w:val="00B84BC3"/>
    <w:rsid w:val="00C528D4"/>
    <w:rsid w:val="00D8723B"/>
    <w:rsid w:val="00E564EB"/>
    <w:rsid w:val="0297204E"/>
    <w:rsid w:val="047A39D5"/>
    <w:rsid w:val="04C42EA2"/>
    <w:rsid w:val="054144F3"/>
    <w:rsid w:val="059705B7"/>
    <w:rsid w:val="05CC0260"/>
    <w:rsid w:val="05D92791"/>
    <w:rsid w:val="05DD246D"/>
    <w:rsid w:val="064E5119"/>
    <w:rsid w:val="06BF7DC5"/>
    <w:rsid w:val="06DF3FC3"/>
    <w:rsid w:val="07634BF4"/>
    <w:rsid w:val="084542FA"/>
    <w:rsid w:val="0AB87005"/>
    <w:rsid w:val="0B8E5FB8"/>
    <w:rsid w:val="0C9513AC"/>
    <w:rsid w:val="0CCF0636"/>
    <w:rsid w:val="0D3C5D11"/>
    <w:rsid w:val="0E76345F"/>
    <w:rsid w:val="0EFA4090"/>
    <w:rsid w:val="0FA14CC1"/>
    <w:rsid w:val="10C5422A"/>
    <w:rsid w:val="116C0B49"/>
    <w:rsid w:val="12A903D2"/>
    <w:rsid w:val="12BC78CD"/>
    <w:rsid w:val="132316DC"/>
    <w:rsid w:val="137F4B64"/>
    <w:rsid w:val="14975EDD"/>
    <w:rsid w:val="151314EF"/>
    <w:rsid w:val="15CA5E26"/>
    <w:rsid w:val="192F2B88"/>
    <w:rsid w:val="19B47531"/>
    <w:rsid w:val="19E75211"/>
    <w:rsid w:val="1A4C59BC"/>
    <w:rsid w:val="1AFC2F3E"/>
    <w:rsid w:val="1B6B1E72"/>
    <w:rsid w:val="1BF63E31"/>
    <w:rsid w:val="1C024584"/>
    <w:rsid w:val="1E8E2B0B"/>
    <w:rsid w:val="1F9C4CF0"/>
    <w:rsid w:val="20FC3C98"/>
    <w:rsid w:val="21CD1190"/>
    <w:rsid w:val="21D267A7"/>
    <w:rsid w:val="220B1CB9"/>
    <w:rsid w:val="226D64CF"/>
    <w:rsid w:val="22A243CB"/>
    <w:rsid w:val="25D725DE"/>
    <w:rsid w:val="25E1345C"/>
    <w:rsid w:val="262A4E03"/>
    <w:rsid w:val="26751DF6"/>
    <w:rsid w:val="27CE2397"/>
    <w:rsid w:val="2A187669"/>
    <w:rsid w:val="2AEA4B61"/>
    <w:rsid w:val="2B9029EE"/>
    <w:rsid w:val="2C493B09"/>
    <w:rsid w:val="2D410C84"/>
    <w:rsid w:val="2DE7182C"/>
    <w:rsid w:val="2E052D2F"/>
    <w:rsid w:val="2E2A1718"/>
    <w:rsid w:val="2ECE6548"/>
    <w:rsid w:val="2FE029D7"/>
    <w:rsid w:val="30A65BBD"/>
    <w:rsid w:val="32340DB8"/>
    <w:rsid w:val="32493AA2"/>
    <w:rsid w:val="32CB34CA"/>
    <w:rsid w:val="337B4EF0"/>
    <w:rsid w:val="368A369C"/>
    <w:rsid w:val="38626B0D"/>
    <w:rsid w:val="388D1222"/>
    <w:rsid w:val="3A26548A"/>
    <w:rsid w:val="3A9643BE"/>
    <w:rsid w:val="3CDF2675"/>
    <w:rsid w:val="3D6C3AFB"/>
    <w:rsid w:val="3D9F4E7A"/>
    <w:rsid w:val="3DCB29A4"/>
    <w:rsid w:val="3DD82F3F"/>
    <w:rsid w:val="3FEE7FAB"/>
    <w:rsid w:val="4087107A"/>
    <w:rsid w:val="42B71375"/>
    <w:rsid w:val="44C77869"/>
    <w:rsid w:val="4554734F"/>
    <w:rsid w:val="45605CF4"/>
    <w:rsid w:val="48FC21D7"/>
    <w:rsid w:val="49221512"/>
    <w:rsid w:val="49957F36"/>
    <w:rsid w:val="49AD34D2"/>
    <w:rsid w:val="4A197850"/>
    <w:rsid w:val="4C575977"/>
    <w:rsid w:val="4DCA0C49"/>
    <w:rsid w:val="50630D8E"/>
    <w:rsid w:val="51C13FBE"/>
    <w:rsid w:val="523F3135"/>
    <w:rsid w:val="55342CF9"/>
    <w:rsid w:val="58150BC0"/>
    <w:rsid w:val="586E02D0"/>
    <w:rsid w:val="58A238DA"/>
    <w:rsid w:val="5AA443EC"/>
    <w:rsid w:val="5B2F1F99"/>
    <w:rsid w:val="5CF35248"/>
    <w:rsid w:val="5D415FB3"/>
    <w:rsid w:val="5DAF028C"/>
    <w:rsid w:val="5DD706C5"/>
    <w:rsid w:val="5DEE7F91"/>
    <w:rsid w:val="5E3C677A"/>
    <w:rsid w:val="5E4C2E61"/>
    <w:rsid w:val="604A33D1"/>
    <w:rsid w:val="605D1356"/>
    <w:rsid w:val="606F4BE5"/>
    <w:rsid w:val="61314591"/>
    <w:rsid w:val="613D2F35"/>
    <w:rsid w:val="628C20E3"/>
    <w:rsid w:val="62BB05B6"/>
    <w:rsid w:val="63352116"/>
    <w:rsid w:val="63FC0E86"/>
    <w:rsid w:val="666135E9"/>
    <w:rsid w:val="66D954AE"/>
    <w:rsid w:val="673152EA"/>
    <w:rsid w:val="67B0620F"/>
    <w:rsid w:val="69B31FE7"/>
    <w:rsid w:val="69C441F4"/>
    <w:rsid w:val="6B686E01"/>
    <w:rsid w:val="6D745F31"/>
    <w:rsid w:val="6DAF6F69"/>
    <w:rsid w:val="6EB9645C"/>
    <w:rsid w:val="6ED84C48"/>
    <w:rsid w:val="735A1725"/>
    <w:rsid w:val="74485A21"/>
    <w:rsid w:val="780B2B7B"/>
    <w:rsid w:val="78436C2C"/>
    <w:rsid w:val="7851759A"/>
    <w:rsid w:val="78725526"/>
    <w:rsid w:val="796B468C"/>
    <w:rsid w:val="7B18614D"/>
    <w:rsid w:val="7B4875C6"/>
    <w:rsid w:val="7BCE2CB0"/>
    <w:rsid w:val="7E8832BF"/>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autoSpaceDE/>
      <w:autoSpaceDN/>
      <w:spacing w:before="100" w:beforeAutospacing="1" w:after="100" w:afterAutospacing="1"/>
    </w:pPr>
    <w:rPr>
      <w:sz w:val="24"/>
      <w:szCs w:val="24"/>
      <w:lang w:eastAsia="zh-CN"/>
    </w:rPr>
  </w:style>
  <w:style w:type="character" w:customStyle="1" w:styleId="6">
    <w:name w:val="s23"/>
    <w:basedOn w:val="5"/>
    <w:qFormat/>
    <w:uiPriority w:val="0"/>
  </w:style>
  <w:style w:type="character" w:customStyle="1" w:styleId="7">
    <w:name w:val="s22"/>
    <w:basedOn w:val="5"/>
    <w:qFormat/>
    <w:uiPriority w:val="0"/>
  </w:style>
  <w:style w:type="paragraph" w:customStyle="1" w:styleId="8">
    <w:name w:val="列表段落1"/>
    <w:basedOn w:val="1"/>
    <w:qFormat/>
    <w:uiPriority w:val="34"/>
    <w:pPr>
      <w:widowControl/>
      <w:ind w:firstLine="420" w:firstLineChars="200"/>
      <w:jc w:val="left"/>
    </w:pPr>
    <w:rPr>
      <w:rFonts w:ascii="宋体" w:hAnsi="宋体" w:cs="宋体"/>
      <w:kern w:val="0"/>
      <w:sz w:val="24"/>
    </w:rPr>
  </w:style>
  <w:style w:type="paragraph" w:styleId="9">
    <w:name w:val="List Paragraph"/>
    <w:basedOn w:val="1"/>
    <w:qFormat/>
    <w:uiPriority w:val="34"/>
    <w:pPr>
      <w:ind w:firstLine="420" w:firstLineChars="200"/>
    </w:pPr>
    <w:rPr>
      <w:rFonts w:cs="Times New Roman"/>
    </w:rPr>
  </w:style>
  <w:style w:type="paragraph" w:customStyle="1" w:styleId="10">
    <w:name w:val="p0"/>
    <w:basedOn w:val="1"/>
    <w:qFormat/>
    <w:uiPriority w:val="0"/>
    <w:pPr>
      <w:widowControl/>
      <w:snapToGrid w:val="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4312</Words>
  <Characters>4611</Characters>
  <Lines>20</Lines>
  <Paragraphs>5</Paragraphs>
  <TotalTime>21</TotalTime>
  <ScaleCrop>false</ScaleCrop>
  <LinksUpToDate>false</LinksUpToDate>
  <CharactersWithSpaces>4907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2025-09-17T06:54:00Z</dcterms:created>
  <dc:creator>lijiewai</dc:creator>
  <cp:lastModifiedBy>1</cp:lastModifiedBy>
  <dcterms:modified xsi:type="dcterms:W3CDTF">2026-05-07T09:34:28Z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4F114398B0AA43A19AA693D2685599BB</vt:lpwstr>
  </property>
  <property fmtid="{D5CDD505-2E9C-101B-9397-08002B2CF9AE}" pid="4" name="KSOTemplateDocerSaveRecord">
    <vt:lpwstr>eyJoZGlkIjoiNTAwYmYzZTcyODI4MzM1NGMzZGQ0MTMyOTk5ZjM3OWIiLCJ1c2VySWQiOiI2ODcyODI3ODQifQ==</vt:lpwstr>
  </property>
</Properties>
</file>