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9C861">
      <w:pPr>
        <w:spacing w:before="312" w:beforeLines="100" w:after="312" w:afterLines="100" w:line="400" w:lineRule="exact"/>
        <w:jc w:val="center"/>
        <w:rPr>
          <w:rFonts w:hint="eastAsia" w:asciiTheme="minorEastAsia" w:hAnsiTheme="minorEastAsia" w:cstheme="minorEastAsia"/>
          <w:b/>
          <w:color w:val="000000"/>
          <w:sz w:val="32"/>
        </w:rPr>
      </w:pPr>
    </w:p>
    <w:p w14:paraId="5F639180">
      <w:pPr>
        <w:spacing w:before="312" w:beforeLines="100" w:after="312" w:afterLines="100" w:line="400" w:lineRule="exact"/>
        <w:jc w:val="center"/>
        <w:rPr>
          <w:rFonts w:hint="eastAsia" w:asciiTheme="minorEastAsia" w:hAnsiTheme="minorEastAsia" w:cstheme="minorEastAsia"/>
          <w:b/>
          <w:color w:val="000000"/>
          <w:sz w:val="32"/>
        </w:rPr>
      </w:pPr>
    </w:p>
    <w:p w14:paraId="6033C4D1">
      <w:pPr>
        <w:spacing w:before="312" w:beforeLines="100" w:after="312" w:afterLines="100" w:line="400" w:lineRule="exact"/>
        <w:jc w:val="center"/>
        <w:rPr>
          <w:rFonts w:hint="default" w:asciiTheme="minorEastAsia" w:hAnsiTheme="minorEastAsia" w:eastAsiaTheme="minorEastAsia" w:cstheme="minorEastAsia"/>
          <w:b/>
          <w:color w:val="000000"/>
          <w:kern w:val="2"/>
          <w:sz w:val="32"/>
          <w:szCs w:val="22"/>
          <w:lang w:val="en-US" w:eastAsia="zh-CN" w:bidi="ar-SA"/>
        </w:rPr>
      </w:pPr>
      <w:r>
        <w:rPr>
          <w:rFonts w:hint="eastAsia" w:asciiTheme="minorEastAsia" w:hAnsiTheme="minorEastAsia" w:cstheme="minorEastAsia"/>
          <w:b/>
          <w:color w:val="000000"/>
          <w:sz w:val="32"/>
        </w:rPr>
        <w:t xml:space="preserve"> </w:t>
      </w:r>
      <w:r>
        <w:rPr>
          <w:rFonts w:hint="eastAsia" w:asciiTheme="minorEastAsia" w:hAnsiTheme="minorEastAsia" w:cstheme="minorEastAsia"/>
          <w:b/>
          <w:color w:val="000000"/>
          <w:sz w:val="32"/>
          <w:lang w:val="en-US" w:eastAsia="zh-CN"/>
        </w:rPr>
        <w:t>宏达股份</w:t>
      </w:r>
      <w:r>
        <w:rPr>
          <w:rFonts w:hint="eastAsia" w:asciiTheme="minorEastAsia" w:hAnsiTheme="minorEastAsia" w:eastAsiaTheme="minorEastAsia" w:cstheme="minorEastAsia"/>
          <w:b/>
          <w:color w:val="000000"/>
          <w:kern w:val="2"/>
          <w:sz w:val="32"/>
          <w:szCs w:val="22"/>
          <w:lang w:val="en-US" w:eastAsia="zh-CN" w:bidi="ar-SA"/>
        </w:rPr>
        <w:t>2025年电器设备更新项目</w:t>
      </w:r>
      <w:r>
        <w:rPr>
          <w:rFonts w:hint="eastAsia" w:asciiTheme="minorEastAsia" w:hAnsiTheme="minorEastAsia" w:cstheme="minorEastAsia"/>
          <w:b/>
          <w:color w:val="000000"/>
          <w:kern w:val="2"/>
          <w:sz w:val="32"/>
          <w:szCs w:val="22"/>
          <w:lang w:val="en-US" w:eastAsia="zh-CN" w:bidi="ar-SA"/>
        </w:rPr>
        <w:t>-</w:t>
      </w:r>
    </w:p>
    <w:p w14:paraId="54A16230">
      <w:pPr>
        <w:spacing w:before="312" w:beforeLines="100" w:after="312" w:afterLines="100" w:line="400" w:lineRule="exact"/>
        <w:jc w:val="center"/>
        <w:rPr>
          <w:rFonts w:hint="eastAsia" w:asciiTheme="minorEastAsia" w:hAnsiTheme="minorEastAsia" w:cstheme="minorEastAsia"/>
          <w:b/>
          <w:color w:val="000000"/>
          <w:sz w:val="32"/>
          <w:lang w:val="en-US" w:eastAsia="zh-CN"/>
        </w:rPr>
      </w:pPr>
      <w:r>
        <w:rPr>
          <w:rFonts w:hint="eastAsia" w:asciiTheme="minorEastAsia" w:hAnsiTheme="minorEastAsia" w:cstheme="minorEastAsia"/>
          <w:b/>
          <w:color w:val="000000"/>
          <w:sz w:val="32"/>
          <w:lang w:val="en-US" w:eastAsia="zh-CN"/>
        </w:rPr>
        <w:t>原</w:t>
      </w:r>
      <w:r>
        <w:rPr>
          <w:rFonts w:hint="eastAsia" w:asciiTheme="minorEastAsia" w:hAnsiTheme="minorEastAsia" w:cstheme="minorEastAsia"/>
          <w:b/>
          <w:color w:val="000000"/>
          <w:sz w:val="32"/>
        </w:rPr>
        <w:t>20吨锅炉变配电室</w:t>
      </w:r>
      <w:r>
        <w:rPr>
          <w:rFonts w:hint="eastAsia" w:asciiTheme="minorEastAsia" w:hAnsiTheme="minorEastAsia" w:cstheme="minorEastAsia"/>
          <w:b/>
          <w:color w:val="000000"/>
          <w:sz w:val="32"/>
          <w:lang w:val="en-US" w:eastAsia="zh-CN"/>
        </w:rPr>
        <w:t>拆迁</w:t>
      </w:r>
    </w:p>
    <w:p w14:paraId="12C56424">
      <w:pPr>
        <w:spacing w:before="312" w:beforeLines="100" w:after="312" w:afterLines="100" w:line="560" w:lineRule="exact"/>
        <w:rPr>
          <w:rFonts w:hint="eastAsia" w:asciiTheme="minorEastAsia" w:hAnsiTheme="minorEastAsia" w:cstheme="minorEastAsia"/>
          <w:b/>
          <w:color w:val="000000"/>
          <w:sz w:val="32"/>
        </w:rPr>
      </w:pPr>
    </w:p>
    <w:p w14:paraId="413340BD">
      <w:pPr>
        <w:spacing w:before="312" w:beforeLines="100" w:after="312" w:afterLines="100" w:line="560" w:lineRule="exact"/>
        <w:jc w:val="center"/>
        <w:rPr>
          <w:rFonts w:hint="eastAsia" w:asciiTheme="minorEastAsia" w:hAnsiTheme="minorEastAsia" w:cstheme="minorEastAsia"/>
          <w:b/>
          <w:sz w:val="44"/>
        </w:rPr>
      </w:pPr>
      <w:r>
        <w:rPr>
          <w:rFonts w:hint="eastAsia" w:asciiTheme="minorEastAsia" w:hAnsiTheme="minorEastAsia" w:cstheme="minorEastAsia"/>
          <w:b/>
          <w:color w:val="000000"/>
          <w:sz w:val="44"/>
          <w:lang w:val="en-US" w:eastAsia="zh-CN"/>
        </w:rPr>
        <w:t>欧式</w:t>
      </w:r>
      <w:r>
        <w:rPr>
          <w:rFonts w:hint="eastAsia" w:asciiTheme="minorEastAsia" w:hAnsiTheme="minorEastAsia" w:cstheme="minorEastAsia"/>
          <w:b/>
          <w:color w:val="000000"/>
          <w:sz w:val="44"/>
        </w:rPr>
        <w:t>预装式</w:t>
      </w:r>
      <w:r>
        <w:rPr>
          <w:rFonts w:hint="eastAsia" w:asciiTheme="minorEastAsia" w:hAnsiTheme="minorEastAsia" w:cstheme="minorEastAsia"/>
          <w:b/>
          <w:color w:val="000000"/>
          <w:sz w:val="44"/>
          <w:lang w:eastAsia="zh-CN"/>
        </w:rPr>
        <w:t>（</w:t>
      </w:r>
      <w:r>
        <w:rPr>
          <w:rFonts w:hint="eastAsia" w:asciiTheme="minorEastAsia" w:hAnsiTheme="minorEastAsia" w:cstheme="minorEastAsia"/>
          <w:b/>
          <w:color w:val="000000"/>
          <w:sz w:val="44"/>
          <w:lang w:val="en-US" w:eastAsia="zh-CN"/>
        </w:rPr>
        <w:t>箱式</w:t>
      </w:r>
      <w:r>
        <w:rPr>
          <w:rFonts w:hint="eastAsia" w:asciiTheme="minorEastAsia" w:hAnsiTheme="minorEastAsia" w:cstheme="minorEastAsia"/>
          <w:b/>
          <w:color w:val="000000"/>
          <w:sz w:val="44"/>
          <w:lang w:eastAsia="zh-CN"/>
        </w:rPr>
        <w:t>）</w:t>
      </w:r>
      <w:r>
        <w:rPr>
          <w:rFonts w:hint="eastAsia" w:asciiTheme="minorEastAsia" w:hAnsiTheme="minorEastAsia" w:cstheme="minorEastAsia"/>
          <w:b/>
          <w:color w:val="000000"/>
          <w:sz w:val="44"/>
        </w:rPr>
        <w:t>变电站</w:t>
      </w:r>
    </w:p>
    <w:p w14:paraId="20F80B66">
      <w:pPr>
        <w:spacing w:before="312" w:beforeLines="100" w:after="312" w:afterLines="100" w:line="560" w:lineRule="exact"/>
        <w:jc w:val="center"/>
        <w:rPr>
          <w:rFonts w:hint="eastAsia" w:asciiTheme="minorEastAsia" w:hAnsiTheme="minorEastAsia" w:cstheme="minorEastAsia"/>
          <w:b/>
          <w:color w:val="000000"/>
          <w:sz w:val="44"/>
        </w:rPr>
      </w:pPr>
    </w:p>
    <w:p w14:paraId="08FA2282">
      <w:pPr>
        <w:spacing w:before="312" w:beforeLines="100" w:after="312" w:afterLines="100" w:line="560" w:lineRule="exact"/>
        <w:jc w:val="center"/>
        <w:rPr>
          <w:rFonts w:hint="eastAsia" w:asciiTheme="minorEastAsia" w:hAnsiTheme="minorEastAsia" w:cstheme="minorEastAsia"/>
          <w:b/>
          <w:color w:val="000000"/>
          <w:sz w:val="44"/>
        </w:rPr>
      </w:pPr>
      <w:r>
        <w:rPr>
          <w:rFonts w:hint="eastAsia" w:asciiTheme="minorEastAsia" w:hAnsiTheme="minorEastAsia" w:cstheme="minorEastAsia"/>
          <w:b/>
          <w:color w:val="000000"/>
          <w:sz w:val="44"/>
        </w:rPr>
        <w:t>技术</w:t>
      </w:r>
      <w:r>
        <w:rPr>
          <w:rFonts w:hint="eastAsia" w:asciiTheme="minorEastAsia" w:hAnsiTheme="minorEastAsia" w:cstheme="minorEastAsia"/>
          <w:b/>
          <w:color w:val="000000"/>
          <w:sz w:val="44"/>
          <w:lang w:val="en-US" w:eastAsia="zh-CN"/>
        </w:rPr>
        <w:t>规范</w:t>
      </w:r>
      <w:r>
        <w:rPr>
          <w:rFonts w:hint="eastAsia" w:asciiTheme="minorEastAsia" w:hAnsiTheme="minorEastAsia" w:cstheme="minorEastAsia"/>
          <w:b/>
          <w:color w:val="000000"/>
          <w:sz w:val="44"/>
        </w:rPr>
        <w:t>书</w:t>
      </w:r>
    </w:p>
    <w:p w14:paraId="0ADE13F6">
      <w:pPr>
        <w:spacing w:before="312" w:beforeLines="100" w:after="312" w:afterLines="100" w:line="560" w:lineRule="exact"/>
        <w:jc w:val="center"/>
        <w:rPr>
          <w:rFonts w:hint="eastAsia" w:asciiTheme="minorEastAsia" w:hAnsiTheme="minorEastAsia" w:cstheme="minorEastAsia"/>
          <w:b/>
          <w:color w:val="000000"/>
          <w:sz w:val="44"/>
        </w:rPr>
      </w:pPr>
    </w:p>
    <w:p w14:paraId="3FF1A44B">
      <w:pPr>
        <w:spacing w:before="312" w:beforeLines="100" w:after="312" w:afterLines="100" w:line="560" w:lineRule="exact"/>
        <w:rPr>
          <w:rFonts w:hint="eastAsia" w:asciiTheme="minorEastAsia" w:hAnsiTheme="minorEastAsia" w:cstheme="minorEastAsia"/>
          <w:b/>
          <w:bCs/>
          <w:sz w:val="30"/>
        </w:rPr>
      </w:pPr>
    </w:p>
    <w:p w14:paraId="4FD42895">
      <w:pPr>
        <w:spacing w:before="312" w:beforeLines="100" w:after="312" w:afterLines="100" w:line="560" w:lineRule="exact"/>
        <w:rPr>
          <w:rFonts w:hint="eastAsia" w:asciiTheme="minorEastAsia" w:hAnsiTheme="minorEastAsia" w:cstheme="minorEastAsia"/>
          <w:b/>
          <w:bCs/>
          <w:sz w:val="30"/>
        </w:rPr>
      </w:pPr>
    </w:p>
    <w:p w14:paraId="5B5E8A24">
      <w:pPr>
        <w:spacing w:before="312" w:beforeLines="100" w:after="312" w:afterLines="100" w:line="560" w:lineRule="exact"/>
        <w:rPr>
          <w:rFonts w:hint="eastAsia" w:asciiTheme="minorEastAsia" w:hAnsiTheme="minorEastAsia" w:cstheme="minorEastAsia"/>
          <w:b/>
          <w:bCs/>
          <w:sz w:val="30"/>
        </w:rPr>
      </w:pPr>
    </w:p>
    <w:p w14:paraId="6BC5F3AB">
      <w:pPr>
        <w:spacing w:before="312" w:beforeLines="100" w:after="312" w:afterLines="100" w:line="560" w:lineRule="exact"/>
        <w:ind w:firstLine="2361" w:firstLineChars="840"/>
        <w:rPr>
          <w:rFonts w:hint="eastAsia" w:asciiTheme="minorEastAsia" w:hAnsiTheme="minorEastAsia" w:cstheme="minorEastAsia"/>
          <w:b/>
          <w:bCs/>
          <w:sz w:val="28"/>
        </w:rPr>
      </w:pPr>
    </w:p>
    <w:p w14:paraId="31023BBC">
      <w:pPr>
        <w:spacing w:before="312" w:beforeLines="100" w:after="312" w:afterLines="100" w:line="560" w:lineRule="exact"/>
        <w:jc w:val="center"/>
        <w:rPr>
          <w:rFonts w:hint="eastAsia" w:asciiTheme="minorEastAsia" w:hAnsiTheme="minorEastAsia" w:cstheme="minorEastAsia"/>
          <w:b/>
          <w:bCs/>
          <w:sz w:val="32"/>
        </w:rPr>
      </w:pPr>
    </w:p>
    <w:p w14:paraId="4C0C9D7D">
      <w:pPr>
        <w:spacing w:before="312" w:beforeLines="100" w:after="312" w:afterLines="100" w:line="560" w:lineRule="exact"/>
        <w:jc w:val="center"/>
        <w:rPr>
          <w:rFonts w:hint="eastAsia" w:asciiTheme="minorEastAsia" w:hAnsiTheme="minorEastAsia" w:cstheme="minorEastAsia"/>
          <w:b/>
          <w:sz w:val="36"/>
        </w:rPr>
      </w:pPr>
      <w:r>
        <w:rPr>
          <w:rFonts w:hint="eastAsia" w:asciiTheme="minorEastAsia" w:hAnsiTheme="minorEastAsia" w:cstheme="minorEastAsia"/>
          <w:b/>
          <w:bCs/>
          <w:sz w:val="32"/>
        </w:rPr>
        <w:t>二 0二六年三月</w:t>
      </w:r>
    </w:p>
    <w:p w14:paraId="052DD240">
      <w:pPr>
        <w:pStyle w:val="4"/>
        <w:rPr>
          <w:rFonts w:hint="eastAsia" w:asciiTheme="minorEastAsia" w:hAnsiTheme="minorEastAsia" w:cstheme="minorEastAsia"/>
        </w:rPr>
      </w:pPr>
    </w:p>
    <w:p w14:paraId="14A22444">
      <w:pPr>
        <w:pStyle w:val="4"/>
        <w:rPr>
          <w:rFonts w:hint="eastAsia" w:asciiTheme="minorEastAsia" w:hAnsiTheme="minorEastAsia" w:cstheme="minorEastAsia"/>
        </w:rPr>
      </w:pPr>
    </w:p>
    <w:p w14:paraId="70CE1D30">
      <w:pPr>
        <w:widowControl/>
        <w:jc w:val="left"/>
        <w:rPr>
          <w:rFonts w:hint="eastAsia" w:asciiTheme="minorEastAsia" w:hAnsiTheme="minorEastAsia" w:cstheme="minorEastAsia"/>
        </w:rPr>
      </w:pPr>
      <w:r>
        <w:rPr>
          <w:rFonts w:hint="eastAsia" w:asciiTheme="minorEastAsia" w:hAnsiTheme="minorEastAsia" w:cstheme="minorEastAsia"/>
        </w:rPr>
        <w:br w:type="page"/>
      </w:r>
    </w:p>
    <w:p w14:paraId="3241C617">
      <w:pPr>
        <w:widowControl/>
        <w:spacing w:before="156" w:beforeLines="50" w:line="360" w:lineRule="auto"/>
        <w:jc w:val="left"/>
        <w:rPr>
          <w:rFonts w:hint="eastAsia" w:asciiTheme="minorEastAsia" w:hAnsiTheme="minorEastAsia" w:cstheme="minorEastAsia"/>
          <w:b/>
          <w:bCs/>
          <w:sz w:val="28"/>
          <w:szCs w:val="28"/>
        </w:rPr>
      </w:pPr>
      <w:bookmarkStart w:id="0" w:name="_Toc142423610"/>
      <w:bookmarkStart w:id="1" w:name="_Toc261943465"/>
      <w:bookmarkStart w:id="2" w:name="_Toc15412"/>
      <w:r>
        <w:rPr>
          <w:rFonts w:hint="eastAsia" w:asciiTheme="minorEastAsia" w:hAnsiTheme="minorEastAsia" w:cstheme="minorEastAsia"/>
          <w:b/>
          <w:bCs/>
          <w:sz w:val="28"/>
          <w:szCs w:val="28"/>
        </w:rPr>
        <w:t>1</w:t>
      </w:r>
      <w:r>
        <w:rPr>
          <w:rFonts w:hint="eastAsia" w:asciiTheme="minorEastAsia" w:hAnsiTheme="minorEastAsia" w:cstheme="minorEastAsia"/>
          <w:b/>
          <w:bCs/>
          <w:sz w:val="28"/>
          <w:szCs w:val="28"/>
          <w:lang w:eastAsia="zh-CN"/>
        </w:rPr>
        <w:t>、</w:t>
      </w:r>
      <w:r>
        <w:rPr>
          <w:rFonts w:hint="eastAsia" w:asciiTheme="minorEastAsia" w:hAnsiTheme="minorEastAsia" w:cstheme="minorEastAsia"/>
          <w:b/>
          <w:bCs/>
          <w:sz w:val="28"/>
          <w:szCs w:val="28"/>
        </w:rPr>
        <w:t>总则</w:t>
      </w:r>
      <w:bookmarkEnd w:id="0"/>
      <w:bookmarkEnd w:id="1"/>
      <w:bookmarkEnd w:id="2"/>
    </w:p>
    <w:p w14:paraId="7FB63DD8">
      <w:pPr>
        <w:widowControl/>
        <w:spacing w:line="360" w:lineRule="auto"/>
        <w:jc w:val="left"/>
        <w:rPr>
          <w:rFonts w:hint="eastAsia" w:asciiTheme="minorEastAsia" w:hAnsiTheme="minorEastAsia" w:cstheme="minorEastAsia"/>
          <w:bCs/>
          <w:sz w:val="24"/>
          <w:szCs w:val="24"/>
        </w:rPr>
      </w:pPr>
      <w:bookmarkStart w:id="3" w:name="_Toc142423611"/>
      <w:bookmarkStart w:id="4" w:name="_Toc261943466"/>
      <w:r>
        <w:rPr>
          <w:rFonts w:hint="eastAsia" w:asciiTheme="minorEastAsia" w:hAnsiTheme="minorEastAsia" w:cstheme="minorEastAsia"/>
          <w:bCs/>
          <w:sz w:val="24"/>
          <w:szCs w:val="24"/>
        </w:rPr>
        <w:t>1.1本设备技术规范书适用于</w:t>
      </w:r>
      <w:r>
        <w:rPr>
          <w:rFonts w:hint="eastAsia"/>
          <w:b/>
          <w:bCs/>
          <w:color w:val="auto"/>
          <w:sz w:val="24"/>
          <w:u w:val="single"/>
          <w:lang w:val="en-US" w:eastAsia="zh-CN"/>
        </w:rPr>
        <w:t>2025年电器设备更新项目-原</w:t>
      </w:r>
      <w:r>
        <w:rPr>
          <w:rFonts w:hint="eastAsia" w:asciiTheme="minorEastAsia" w:hAnsiTheme="minorEastAsia" w:cstheme="minorEastAsia"/>
          <w:b/>
          <w:bCs/>
          <w:color w:val="auto"/>
          <w:sz w:val="24"/>
          <w:szCs w:val="24"/>
          <w:u w:val="single"/>
        </w:rPr>
        <w:t>20吨锅炉变配电室</w:t>
      </w:r>
      <w:r>
        <w:rPr>
          <w:rFonts w:hint="eastAsia" w:asciiTheme="minorEastAsia" w:hAnsiTheme="minorEastAsia" w:cstheme="minorEastAsia"/>
          <w:b/>
          <w:bCs/>
          <w:color w:val="auto"/>
          <w:sz w:val="24"/>
          <w:szCs w:val="24"/>
          <w:u w:val="single"/>
          <w:lang w:val="en-US" w:eastAsia="zh-CN"/>
        </w:rPr>
        <w:t>拆迁箱变</w:t>
      </w:r>
      <w:r>
        <w:rPr>
          <w:rFonts w:hint="eastAsia" w:asciiTheme="minorEastAsia" w:hAnsiTheme="minorEastAsia" w:cstheme="minorEastAsia"/>
          <w:b/>
          <w:bCs/>
          <w:color w:val="auto"/>
          <w:sz w:val="24"/>
          <w:szCs w:val="24"/>
          <w:u w:val="single"/>
        </w:rPr>
        <w:t>项目</w:t>
      </w:r>
      <w:r>
        <w:rPr>
          <w:rFonts w:hint="eastAsia" w:asciiTheme="minorEastAsia" w:hAnsiTheme="minorEastAsia" w:cstheme="minorEastAsia"/>
          <w:b w:val="0"/>
          <w:bCs w:val="0"/>
          <w:sz w:val="24"/>
          <w:szCs w:val="24"/>
        </w:rPr>
        <w:t>欧式</w:t>
      </w:r>
      <w:r>
        <w:rPr>
          <w:rFonts w:hint="eastAsia" w:asciiTheme="minorEastAsia" w:hAnsiTheme="minorEastAsia" w:cstheme="minorEastAsia"/>
          <w:bCs/>
          <w:sz w:val="24"/>
          <w:szCs w:val="24"/>
        </w:rPr>
        <w:t>预装式</w:t>
      </w:r>
      <w:r>
        <w:rPr>
          <w:rFonts w:hint="eastAsia" w:asciiTheme="minorEastAsia" w:hAnsiTheme="minorEastAsia" w:eastAsiaTheme="minorEastAsia" w:cstheme="minorEastAsia"/>
          <w:bCs/>
          <w:kern w:val="2"/>
          <w:sz w:val="24"/>
          <w:szCs w:val="24"/>
          <w:lang w:val="en-US" w:eastAsia="zh-CN" w:bidi="ar-SA"/>
        </w:rPr>
        <w:t>（箱式）</w:t>
      </w:r>
      <w:r>
        <w:rPr>
          <w:rFonts w:hint="eastAsia" w:asciiTheme="minorEastAsia" w:hAnsiTheme="minorEastAsia" w:cstheme="minorEastAsia"/>
          <w:bCs/>
          <w:sz w:val="24"/>
          <w:szCs w:val="24"/>
        </w:rPr>
        <w:t>变电站设备的购买事宜，它提出了该设备的功能设计、结构、性能和试验等方面的技术要求。</w:t>
      </w:r>
    </w:p>
    <w:p w14:paraId="79D5D591">
      <w:pPr>
        <w:widowControl/>
        <w:spacing w:line="360" w:lineRule="auto"/>
        <w:jc w:val="left"/>
        <w:rPr>
          <w:rFonts w:hint="eastAsia" w:asciiTheme="minorEastAsia" w:hAnsiTheme="minorEastAsia" w:cstheme="minorEastAsia"/>
          <w:bCs/>
          <w:sz w:val="24"/>
          <w:szCs w:val="24"/>
        </w:rPr>
      </w:pPr>
      <w:r>
        <w:rPr>
          <w:rFonts w:hint="eastAsia" w:asciiTheme="minorEastAsia" w:hAnsiTheme="minorEastAsia" w:cstheme="minorEastAsia"/>
          <w:bCs/>
          <w:sz w:val="24"/>
          <w:szCs w:val="24"/>
        </w:rPr>
        <w:t>1.2本设备技术规范书提出的是最低限度的技术要求，并未对一切技术细节做出规定，也未充分引述有关标准和规范的条文，卖方应提供符合本规范书和工业标准的优质产品及相应的服务，同时必须满足国家强制性标准和规范的要求。</w:t>
      </w:r>
    </w:p>
    <w:p w14:paraId="13A7A100">
      <w:pPr>
        <w:widowControl/>
        <w:spacing w:line="360" w:lineRule="auto"/>
        <w:jc w:val="left"/>
        <w:rPr>
          <w:rFonts w:hint="eastAsia" w:asciiTheme="minorEastAsia" w:hAnsiTheme="minorEastAsia" w:cstheme="minorEastAsia"/>
          <w:bCs/>
          <w:sz w:val="24"/>
          <w:szCs w:val="24"/>
        </w:rPr>
      </w:pPr>
      <w:r>
        <w:rPr>
          <w:rFonts w:hint="eastAsia" w:asciiTheme="minorEastAsia" w:hAnsiTheme="minorEastAsia" w:cstheme="minorEastAsia"/>
          <w:bCs/>
          <w:sz w:val="24"/>
          <w:szCs w:val="24"/>
        </w:rPr>
        <w:t>1.3 卖方对其供货范围内的所有产品质量负责，包括其分包和外购的产品。</w:t>
      </w:r>
    </w:p>
    <w:p w14:paraId="62BEB4B1">
      <w:pPr>
        <w:widowControl/>
        <w:spacing w:line="360" w:lineRule="auto"/>
        <w:jc w:val="left"/>
        <w:rPr>
          <w:rFonts w:hint="eastAsia" w:asciiTheme="minorEastAsia" w:hAnsiTheme="minorEastAsia" w:cstheme="minorEastAsia"/>
          <w:bCs/>
          <w:sz w:val="24"/>
          <w:szCs w:val="24"/>
        </w:rPr>
      </w:pPr>
      <w:r>
        <w:rPr>
          <w:rFonts w:hint="eastAsia" w:asciiTheme="minorEastAsia" w:hAnsiTheme="minorEastAsia" w:cstheme="minorEastAsia"/>
          <w:bCs/>
          <w:sz w:val="24"/>
          <w:szCs w:val="24"/>
        </w:rPr>
        <w:t>1.4本设备技术规范书所使用的标准如遇与卖方所执行的标准不一致时，按最新标准执行。</w:t>
      </w:r>
    </w:p>
    <w:p w14:paraId="4738C318">
      <w:pPr>
        <w:widowControl/>
        <w:spacing w:line="360" w:lineRule="auto"/>
        <w:jc w:val="left"/>
        <w:rPr>
          <w:rFonts w:hint="eastAsia" w:asciiTheme="minorEastAsia" w:hAnsiTheme="minorEastAsia" w:cstheme="minorEastAsia"/>
          <w:bCs/>
          <w:sz w:val="24"/>
          <w:szCs w:val="24"/>
        </w:rPr>
      </w:pPr>
      <w:r>
        <w:rPr>
          <w:rFonts w:hint="eastAsia" w:asciiTheme="minorEastAsia" w:hAnsiTheme="minorEastAsia" w:cstheme="minorEastAsia"/>
          <w:bCs/>
          <w:sz w:val="24"/>
          <w:szCs w:val="24"/>
        </w:rPr>
        <w:t>1.5本设备技术规范书经买、卖双方共同确认和签字后作为订货合同的技术附件，与合同正文具有同等的法律效力。</w:t>
      </w:r>
    </w:p>
    <w:p w14:paraId="54F8D57F">
      <w:pPr>
        <w:widowControl/>
        <w:spacing w:line="360" w:lineRule="auto"/>
        <w:jc w:val="left"/>
        <w:rPr>
          <w:rFonts w:hint="eastAsia" w:asciiTheme="minorEastAsia" w:hAnsiTheme="minorEastAsia" w:cstheme="minorEastAsia"/>
          <w:bCs/>
          <w:sz w:val="24"/>
          <w:szCs w:val="24"/>
        </w:rPr>
      </w:pPr>
      <w:r>
        <w:rPr>
          <w:rFonts w:hint="eastAsia" w:asciiTheme="minorEastAsia" w:hAnsiTheme="minorEastAsia" w:cstheme="minorEastAsia"/>
          <w:bCs/>
          <w:sz w:val="24"/>
          <w:szCs w:val="24"/>
          <w:lang w:val="en-US" w:eastAsia="zh-CN"/>
        </w:rPr>
        <w:t>1</w:t>
      </w:r>
      <w:r>
        <w:rPr>
          <w:rFonts w:hint="eastAsia" w:asciiTheme="minorEastAsia" w:hAnsiTheme="minorEastAsia" w:cstheme="minorEastAsia"/>
          <w:bCs/>
          <w:sz w:val="24"/>
          <w:szCs w:val="24"/>
        </w:rPr>
        <w:t>.6卖方</w:t>
      </w:r>
      <w:r>
        <w:rPr>
          <w:rFonts w:hint="eastAsia" w:asciiTheme="minorEastAsia" w:hAnsiTheme="minorEastAsia" w:cstheme="minorEastAsia"/>
          <w:bCs/>
          <w:sz w:val="24"/>
          <w:szCs w:val="24"/>
          <w:lang w:val="en-US" w:eastAsia="zh-CN"/>
        </w:rPr>
        <w:t>除满足本技术规程的要求外，还须满足买方提供</w:t>
      </w:r>
      <w:r>
        <w:rPr>
          <w:rFonts w:hint="eastAsia" w:asciiTheme="minorEastAsia" w:hAnsiTheme="minorEastAsia" w:cstheme="minorEastAsia"/>
          <w:bCs/>
          <w:sz w:val="24"/>
          <w:szCs w:val="24"/>
        </w:rPr>
        <w:t>设计</w:t>
      </w:r>
      <w:r>
        <w:rPr>
          <w:rFonts w:hint="eastAsia" w:asciiTheme="minorEastAsia" w:hAnsiTheme="minorEastAsia" w:cstheme="minorEastAsia"/>
          <w:bCs/>
          <w:sz w:val="24"/>
          <w:szCs w:val="24"/>
          <w:lang w:val="en-US" w:eastAsia="zh-CN"/>
        </w:rPr>
        <w:t>图纸</w:t>
      </w:r>
      <w:r>
        <w:rPr>
          <w:rFonts w:hint="eastAsia" w:asciiTheme="minorEastAsia" w:hAnsiTheme="minorEastAsia" w:cstheme="minorEastAsia"/>
          <w:bCs/>
          <w:sz w:val="24"/>
          <w:szCs w:val="24"/>
        </w:rPr>
        <w:t>的要求。</w:t>
      </w:r>
    </w:p>
    <w:p w14:paraId="24DE753F">
      <w:pPr>
        <w:widowControl/>
        <w:spacing w:line="360" w:lineRule="auto"/>
        <w:jc w:val="left"/>
        <w:rPr>
          <w:rFonts w:hint="eastAsia" w:asciiTheme="minorEastAsia" w:hAnsiTheme="minorEastAsia" w:cstheme="minorEastAsia"/>
          <w:b/>
          <w:bCs/>
          <w:sz w:val="24"/>
          <w:szCs w:val="24"/>
        </w:rPr>
      </w:pPr>
      <w:r>
        <w:rPr>
          <w:rFonts w:hint="eastAsia" w:asciiTheme="minorEastAsia" w:hAnsiTheme="minorEastAsia" w:cstheme="minorEastAsia"/>
          <w:bCs/>
          <w:sz w:val="24"/>
          <w:szCs w:val="24"/>
        </w:rPr>
        <w:t>1.</w:t>
      </w:r>
      <w:r>
        <w:rPr>
          <w:rFonts w:hint="eastAsia" w:asciiTheme="minorEastAsia" w:hAnsiTheme="minorEastAsia" w:cstheme="minorEastAsia"/>
          <w:bCs/>
          <w:sz w:val="24"/>
          <w:szCs w:val="24"/>
          <w:lang w:val="en-US" w:eastAsia="zh-CN"/>
        </w:rPr>
        <w:t>7</w:t>
      </w:r>
      <w:r>
        <w:rPr>
          <w:rFonts w:hint="eastAsia" w:asciiTheme="minorEastAsia" w:hAnsiTheme="minorEastAsia" w:cstheme="minorEastAsia"/>
          <w:bCs/>
          <w:sz w:val="24"/>
          <w:szCs w:val="24"/>
        </w:rPr>
        <w:t>本设备技术规范书未尽事宜，由双方协商确定。</w:t>
      </w:r>
      <w:bookmarkEnd w:id="3"/>
      <w:bookmarkEnd w:id="4"/>
    </w:p>
    <w:p w14:paraId="5BFE267C">
      <w:pPr>
        <w:widowControl/>
        <w:spacing w:line="360" w:lineRule="auto"/>
        <w:jc w:val="left"/>
        <w:rPr>
          <w:rFonts w:hint="eastAsia" w:asciiTheme="minorEastAsia" w:hAnsiTheme="minorEastAsia" w:cstheme="minorEastAsia"/>
          <w:b w:val="0"/>
          <w:bCs w:val="0"/>
          <w:sz w:val="28"/>
          <w:szCs w:val="28"/>
        </w:rPr>
      </w:pPr>
      <w:r>
        <w:rPr>
          <w:rFonts w:hint="eastAsia" w:asciiTheme="minorEastAsia" w:hAnsiTheme="minorEastAsia" w:cstheme="minorEastAsia"/>
          <w:bCs/>
          <w:sz w:val="24"/>
          <w:szCs w:val="24"/>
        </w:rPr>
        <w:t>1.</w:t>
      </w:r>
      <w:r>
        <w:rPr>
          <w:rFonts w:hint="eastAsia" w:asciiTheme="minorEastAsia" w:hAnsiTheme="minorEastAsia" w:cstheme="minorEastAsia"/>
          <w:bCs/>
          <w:sz w:val="24"/>
          <w:szCs w:val="24"/>
          <w:lang w:val="en-US" w:eastAsia="zh-CN"/>
        </w:rPr>
        <w:t>8</w:t>
      </w:r>
      <w:r>
        <w:rPr>
          <w:rFonts w:hint="eastAsia" w:asciiTheme="minorEastAsia" w:hAnsiTheme="minorEastAsia" w:cstheme="minorEastAsia"/>
          <w:b w:val="0"/>
          <w:bCs w:val="0"/>
          <w:sz w:val="24"/>
          <w:szCs w:val="24"/>
        </w:rPr>
        <w:t>技术要求及执行标准</w:t>
      </w:r>
    </w:p>
    <w:p w14:paraId="7B3EBA99">
      <w:pPr>
        <w:pStyle w:val="9"/>
        <w:spacing w:line="360" w:lineRule="auto"/>
        <w:ind w:firstLine="360"/>
        <w:rPr>
          <w:rFonts w:hint="eastAsia" w:asciiTheme="minorEastAsia" w:hAnsiTheme="minorEastAsia" w:cstheme="minorEastAsia"/>
          <w:color w:val="auto"/>
          <w:sz w:val="24"/>
          <w:szCs w:val="24"/>
          <w:lang w:eastAsia="zh-CN"/>
        </w:rPr>
      </w:pPr>
      <w:r>
        <w:rPr>
          <w:rFonts w:hint="eastAsia" w:asciiTheme="minorEastAsia" w:hAnsiTheme="minorEastAsia" w:cstheme="minorEastAsia"/>
          <w:color w:val="auto"/>
          <w:sz w:val="24"/>
          <w:szCs w:val="24"/>
        </w:rPr>
        <w:t>GB/T 17467-20</w:t>
      </w:r>
      <w:r>
        <w:rPr>
          <w:rFonts w:hint="eastAsia" w:asciiTheme="minorEastAsia" w:hAnsiTheme="minorEastAsia" w:cstheme="minorEastAsia"/>
          <w:color w:val="auto"/>
          <w:sz w:val="24"/>
          <w:szCs w:val="24"/>
          <w:lang w:val="en-US" w:eastAsia="zh-CN"/>
        </w:rPr>
        <w:t>2</w:t>
      </w:r>
      <w:r>
        <w:rPr>
          <w:rFonts w:hint="eastAsia" w:asciiTheme="minorEastAsia" w:hAnsiTheme="minorEastAsia" w:cstheme="minorEastAsia"/>
          <w:color w:val="auto"/>
          <w:sz w:val="24"/>
          <w:szCs w:val="24"/>
        </w:rPr>
        <w:t>0</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rPr>
        <w:t>高压/低压预装式变电站</w:t>
      </w:r>
      <w:r>
        <w:rPr>
          <w:rFonts w:hint="eastAsia" w:asciiTheme="minorEastAsia" w:hAnsiTheme="minorEastAsia" w:cstheme="minorEastAsia"/>
          <w:color w:val="auto"/>
          <w:sz w:val="24"/>
          <w:szCs w:val="24"/>
          <w:lang w:eastAsia="zh-CN"/>
        </w:rPr>
        <w:t>》</w:t>
      </w:r>
    </w:p>
    <w:p w14:paraId="47DD8956">
      <w:pPr>
        <w:pStyle w:val="9"/>
        <w:spacing w:line="360" w:lineRule="auto"/>
        <w:ind w:firstLine="360"/>
        <w:rPr>
          <w:rFonts w:hint="eastAsia" w:asciiTheme="minorEastAsia" w:hAnsiTheme="minorEastAsia" w:cstheme="minorEastAsia"/>
          <w:color w:val="FF0000"/>
          <w:sz w:val="24"/>
          <w:szCs w:val="24"/>
        </w:rPr>
      </w:pPr>
      <w:r>
        <w:rPr>
          <w:rFonts w:hint="eastAsia" w:asciiTheme="minorEastAsia" w:hAnsiTheme="minorEastAsia" w:cstheme="minorEastAsia"/>
          <w:color w:val="auto"/>
          <w:sz w:val="24"/>
          <w:szCs w:val="24"/>
        </w:rPr>
        <w:t xml:space="preserve">DL/T 537-2018  </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rPr>
        <w:t>高压/低压预装变电站选用导则</w:t>
      </w:r>
      <w:r>
        <w:rPr>
          <w:rFonts w:hint="eastAsia" w:asciiTheme="minorEastAsia" w:hAnsiTheme="minorEastAsia" w:cstheme="minorEastAsia"/>
          <w:color w:val="auto"/>
          <w:sz w:val="24"/>
          <w:szCs w:val="24"/>
          <w:lang w:eastAsia="zh-CN"/>
        </w:rPr>
        <w:t>》</w:t>
      </w:r>
    </w:p>
    <w:p w14:paraId="1FB9C3D7">
      <w:pPr>
        <w:pStyle w:val="9"/>
        <w:spacing w:line="360" w:lineRule="auto"/>
        <w:ind w:firstLine="36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IEC 62271-202</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rPr>
        <w:t>《交流金属封闭开关设备和控制设备 第202部分：高压/低压预装式变电站》</w:t>
      </w:r>
    </w:p>
    <w:p w14:paraId="59F4532F">
      <w:pPr>
        <w:pStyle w:val="9"/>
        <w:spacing w:line="360" w:lineRule="auto"/>
        <w:ind w:firstLine="360"/>
        <w:rPr>
          <w:rFonts w:hint="eastAsia" w:asciiTheme="minorEastAsia" w:hAnsiTheme="minorEastAsia" w:cstheme="minorEastAsia"/>
          <w:color w:val="FF0000"/>
          <w:sz w:val="24"/>
          <w:szCs w:val="24"/>
          <w:lang w:eastAsia="zh-CN"/>
        </w:rPr>
      </w:pPr>
      <w:r>
        <w:rPr>
          <w:rFonts w:hint="eastAsia" w:asciiTheme="minorEastAsia" w:hAnsiTheme="minorEastAsia" w:cstheme="minorEastAsia"/>
          <w:color w:val="auto"/>
          <w:sz w:val="24"/>
          <w:szCs w:val="24"/>
          <w:lang w:eastAsia="zh-CN"/>
        </w:rPr>
        <w:t>GB/T 24275-2019《</w:t>
      </w:r>
      <w:r>
        <w:rPr>
          <w:rFonts w:hint="eastAsia" w:asciiTheme="minorEastAsia" w:hAnsiTheme="minorEastAsia" w:cstheme="minorEastAsia"/>
          <w:color w:val="auto"/>
          <w:sz w:val="24"/>
          <w:szCs w:val="24"/>
        </w:rPr>
        <w:t>低压固定封闭式成套开关设备和控制设备</w:t>
      </w:r>
      <w:r>
        <w:rPr>
          <w:rFonts w:hint="eastAsia" w:asciiTheme="minorEastAsia" w:hAnsiTheme="minorEastAsia" w:cstheme="minorEastAsia"/>
          <w:color w:val="auto"/>
          <w:sz w:val="24"/>
          <w:szCs w:val="24"/>
          <w:lang w:eastAsia="zh-CN"/>
        </w:rPr>
        <w:t>》</w:t>
      </w:r>
    </w:p>
    <w:p w14:paraId="4D37FADB">
      <w:pPr>
        <w:pStyle w:val="9"/>
        <w:spacing w:line="360" w:lineRule="auto"/>
        <w:ind w:firstLine="36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DL/T 404-20</w:t>
      </w:r>
      <w:r>
        <w:rPr>
          <w:rFonts w:hint="eastAsia" w:asciiTheme="minorEastAsia" w:hAnsiTheme="minorEastAsia" w:cstheme="minorEastAsia"/>
          <w:color w:val="auto"/>
          <w:sz w:val="24"/>
          <w:szCs w:val="24"/>
          <w:lang w:val="en-US" w:eastAsia="zh-CN"/>
        </w:rPr>
        <w:t xml:space="preserve">18  </w:t>
      </w:r>
      <w:r>
        <w:rPr>
          <w:rFonts w:hint="eastAsia" w:asciiTheme="minorEastAsia" w:hAnsiTheme="minorEastAsia" w:cstheme="minorEastAsia"/>
          <w:color w:val="auto"/>
          <w:sz w:val="24"/>
          <w:szCs w:val="24"/>
        </w:rPr>
        <w:t>《3.6kV～40.5kV交流金属封闭开关设备和控制设备》</w:t>
      </w:r>
    </w:p>
    <w:p w14:paraId="17DDF9C3">
      <w:pPr>
        <w:pStyle w:val="9"/>
        <w:spacing w:line="360" w:lineRule="auto"/>
        <w:ind w:firstLine="36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GB 50054-2011</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rPr>
        <w:t>《低压配电设计规范》</w:t>
      </w:r>
    </w:p>
    <w:p w14:paraId="07116059">
      <w:pPr>
        <w:pStyle w:val="9"/>
        <w:spacing w:line="360" w:lineRule="auto"/>
        <w:ind w:firstLine="36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DL/T 593-2016</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rPr>
        <w:t>《高压开关设备和控制设备标准的共用技术要求》。</w:t>
      </w:r>
    </w:p>
    <w:p w14:paraId="6665771C">
      <w:pPr>
        <w:pStyle w:val="9"/>
        <w:spacing w:line="360" w:lineRule="auto"/>
        <w:ind w:firstLine="36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GB/T6451-</w:t>
      </w:r>
      <w:r>
        <w:rPr>
          <w:rFonts w:hint="eastAsia" w:asciiTheme="minorEastAsia" w:hAnsiTheme="minorEastAsia" w:cstheme="minorEastAsia"/>
          <w:color w:val="auto"/>
          <w:sz w:val="24"/>
          <w:szCs w:val="24"/>
          <w:highlight w:val="none"/>
          <w:lang w:val="en-US" w:eastAsia="zh-CN"/>
        </w:rPr>
        <w:t xml:space="preserve">2023  </w:t>
      </w:r>
      <w:r>
        <w:rPr>
          <w:rFonts w:hint="eastAsia" w:asciiTheme="minorEastAsia" w:hAnsiTheme="minorEastAsia" w:cstheme="minorEastAsia"/>
          <w:color w:val="auto"/>
          <w:sz w:val="24"/>
          <w:szCs w:val="24"/>
          <w:highlight w:val="none"/>
        </w:rPr>
        <w:t>《三相油浸式电力变压器技术参数和要求》</w:t>
      </w:r>
    </w:p>
    <w:p w14:paraId="12B2A79B">
      <w:pPr>
        <w:pStyle w:val="9"/>
        <w:spacing w:line="360" w:lineRule="auto"/>
        <w:rPr>
          <w:rFonts w:hint="eastAsia" w:asciiTheme="minorEastAsia" w:hAnsiTheme="minorEastAsia" w:cstheme="minorEastAsia"/>
          <w:b/>
          <w:bCs/>
          <w:sz w:val="28"/>
          <w:szCs w:val="28"/>
          <w:highlight w:val="none"/>
        </w:rPr>
      </w:pPr>
      <w:r>
        <w:rPr>
          <w:rFonts w:hint="eastAsia" w:asciiTheme="minorEastAsia" w:hAnsiTheme="minorEastAsia" w:cstheme="minorEastAsia"/>
          <w:b/>
          <w:bCs/>
          <w:sz w:val="28"/>
          <w:szCs w:val="28"/>
          <w:highlight w:val="none"/>
          <w:lang w:val="en-US" w:eastAsia="zh-CN"/>
        </w:rPr>
        <w:t>2、使用</w:t>
      </w:r>
      <w:r>
        <w:rPr>
          <w:rFonts w:hint="eastAsia" w:asciiTheme="minorEastAsia" w:hAnsiTheme="minorEastAsia" w:cstheme="minorEastAsia"/>
          <w:b/>
          <w:bCs/>
          <w:sz w:val="28"/>
          <w:szCs w:val="28"/>
          <w:highlight w:val="none"/>
        </w:rPr>
        <w:t>环境条件</w:t>
      </w:r>
    </w:p>
    <w:p w14:paraId="7F1AA935">
      <w:pPr>
        <w:pStyle w:val="9"/>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lang w:val="en-US" w:eastAsia="zh-CN"/>
        </w:rPr>
        <w:t>2.1</w:t>
      </w:r>
      <w:r>
        <w:rPr>
          <w:rFonts w:hint="eastAsia" w:asciiTheme="minorEastAsia" w:hAnsiTheme="minorEastAsia" w:cstheme="minorEastAsia"/>
          <w:sz w:val="24"/>
          <w:szCs w:val="24"/>
        </w:rPr>
        <w:t>气温</w:t>
      </w:r>
    </w:p>
    <w:p w14:paraId="654E35F7">
      <w:pPr>
        <w:pStyle w:val="9"/>
        <w:spacing w:line="360" w:lineRule="auto"/>
        <w:ind w:firstLine="360"/>
        <w:rPr>
          <w:rFonts w:hint="eastAsia" w:asciiTheme="minorEastAsia" w:hAnsiTheme="minorEastAsia" w:cstheme="minorEastAsia"/>
          <w:sz w:val="24"/>
          <w:szCs w:val="24"/>
        </w:rPr>
      </w:pPr>
      <w:r>
        <w:rPr>
          <w:rFonts w:hint="eastAsia" w:asciiTheme="minorEastAsia" w:hAnsiTheme="minorEastAsia" w:cstheme="minorEastAsia"/>
          <w:sz w:val="24"/>
          <w:szCs w:val="24"/>
        </w:rPr>
        <w:t>年平均气温：   16.6℃</w:t>
      </w:r>
    </w:p>
    <w:p w14:paraId="36F52B90">
      <w:pPr>
        <w:pStyle w:val="9"/>
        <w:spacing w:line="360" w:lineRule="auto"/>
        <w:ind w:firstLine="360"/>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极端最高气温： </w:t>
      </w:r>
      <w:r>
        <w:rPr>
          <w:rFonts w:hint="eastAsia" w:asciiTheme="minorEastAsia" w:hAnsiTheme="minorEastAsia" w:cstheme="minorEastAsia"/>
          <w:sz w:val="24"/>
          <w:szCs w:val="24"/>
          <w:lang w:val="en-US" w:eastAsia="zh-CN"/>
        </w:rPr>
        <w:t>40.5</w:t>
      </w:r>
      <w:r>
        <w:rPr>
          <w:rFonts w:hint="eastAsia" w:asciiTheme="minorEastAsia" w:hAnsiTheme="minorEastAsia" w:cstheme="minorEastAsia"/>
          <w:sz w:val="24"/>
          <w:szCs w:val="24"/>
        </w:rPr>
        <w:t>℃</w:t>
      </w:r>
    </w:p>
    <w:p w14:paraId="6A73C253">
      <w:pPr>
        <w:pStyle w:val="9"/>
        <w:spacing w:line="360" w:lineRule="auto"/>
        <w:ind w:firstLine="360"/>
        <w:rPr>
          <w:rFonts w:hint="eastAsia" w:asciiTheme="minorEastAsia" w:hAnsiTheme="minorEastAsia" w:cstheme="minorEastAsia"/>
          <w:sz w:val="24"/>
          <w:szCs w:val="24"/>
        </w:rPr>
      </w:pPr>
      <w:r>
        <w:rPr>
          <w:rFonts w:hint="eastAsia" w:asciiTheme="minorEastAsia" w:hAnsiTheme="minorEastAsia" w:cstheme="minorEastAsia"/>
          <w:sz w:val="24"/>
          <w:szCs w:val="24"/>
        </w:rPr>
        <w:t>极端最低气温： -3.8℃</w:t>
      </w:r>
    </w:p>
    <w:p w14:paraId="3B8792DA">
      <w:pPr>
        <w:pStyle w:val="9"/>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lang w:val="en-US" w:eastAsia="zh-CN"/>
        </w:rPr>
        <w:t>2.2</w:t>
      </w:r>
      <w:r>
        <w:rPr>
          <w:rFonts w:hint="eastAsia" w:asciiTheme="minorEastAsia" w:hAnsiTheme="minorEastAsia" w:cstheme="minorEastAsia"/>
          <w:sz w:val="24"/>
          <w:szCs w:val="24"/>
        </w:rPr>
        <w:t>湿度</w:t>
      </w:r>
    </w:p>
    <w:p w14:paraId="3585AAAC">
      <w:pPr>
        <w:pStyle w:val="9"/>
        <w:spacing w:line="360" w:lineRule="auto"/>
        <w:ind w:firstLine="360"/>
        <w:rPr>
          <w:rFonts w:hint="eastAsia" w:asciiTheme="minorEastAsia" w:hAnsiTheme="minorEastAsia" w:cstheme="minorEastAsia"/>
          <w:sz w:val="24"/>
          <w:szCs w:val="24"/>
        </w:rPr>
      </w:pPr>
      <w:r>
        <w:rPr>
          <w:rFonts w:hint="eastAsia" w:asciiTheme="minorEastAsia" w:hAnsiTheme="minorEastAsia" w:cstheme="minorEastAsia"/>
          <w:sz w:val="24"/>
          <w:szCs w:val="24"/>
        </w:rPr>
        <w:t>年平均相对湿度</w:t>
      </w:r>
      <w:r>
        <w:rPr>
          <w:rFonts w:hint="eastAsia" w:asciiTheme="minorEastAsia" w:hAnsiTheme="minorEastAsia" w:cstheme="minorEastAsia"/>
          <w:sz w:val="24"/>
          <w:szCs w:val="24"/>
          <w:lang w:val="en-US" w:eastAsia="zh-CN"/>
        </w:rPr>
        <w:t>:</w:t>
      </w:r>
      <w:r>
        <w:rPr>
          <w:rFonts w:hint="eastAsia" w:asciiTheme="minorEastAsia" w:hAnsiTheme="minorEastAsia" w:cstheme="minorEastAsia"/>
          <w:sz w:val="24"/>
          <w:szCs w:val="24"/>
        </w:rPr>
        <w:t xml:space="preserve">  8</w:t>
      </w: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w:t>
      </w:r>
    </w:p>
    <w:p w14:paraId="0A83DE0C">
      <w:pPr>
        <w:pStyle w:val="9"/>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lang w:val="en-US" w:eastAsia="zh-CN"/>
        </w:rPr>
        <w:t>2.3海拔</w:t>
      </w:r>
      <w:r>
        <w:rPr>
          <w:rFonts w:hint="eastAsia" w:asciiTheme="minorEastAsia" w:hAnsiTheme="minorEastAsia" w:cstheme="minorEastAsia"/>
          <w:sz w:val="24"/>
          <w:szCs w:val="24"/>
        </w:rPr>
        <w:t>：不超过1000m;</w:t>
      </w:r>
    </w:p>
    <w:p w14:paraId="6D7ED4EF">
      <w:pPr>
        <w:pStyle w:val="9"/>
        <w:spacing w:line="360" w:lineRule="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rPr>
        <w:t>地震烈度</w:t>
      </w:r>
    </w:p>
    <w:p w14:paraId="143A7DE3">
      <w:pPr>
        <w:pStyle w:val="9"/>
        <w:spacing w:line="360" w:lineRule="auto"/>
        <w:ind w:firstLine="36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 xml:space="preserve"> 根据《中国地震动参数区划图》（GB18306-2001）和《建设抗震设计规范》（GB50011—2010）(2016年版)附录A，该区设计基本地震加速度值为0.15g，地震动反应谱特征周期为0.45s，抗震设防烈度为7度。重要的公共建筑、化工装置设备（包括基础）要提高一度设防。</w:t>
      </w:r>
    </w:p>
    <w:p w14:paraId="6D829B02">
      <w:pPr>
        <w:pStyle w:val="9"/>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安装地点的倾斜度:不大于3°</w:t>
      </w:r>
    </w:p>
    <w:p w14:paraId="59318FCD">
      <w:pPr>
        <w:pStyle w:val="9"/>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cstheme="minorEastAsia"/>
          <w:sz w:val="24"/>
          <w:szCs w:val="24"/>
          <w:lang w:val="en-US" w:eastAsia="zh-CN"/>
        </w:rPr>
        <w:t>6</w:t>
      </w:r>
      <w:r>
        <w:rPr>
          <w:rFonts w:hint="eastAsia" w:asciiTheme="minorEastAsia" w:hAnsiTheme="minorEastAsia" w:cstheme="minorEastAsia"/>
          <w:sz w:val="24"/>
          <w:szCs w:val="24"/>
        </w:rPr>
        <w:t>安装场所：户</w:t>
      </w:r>
      <w:r>
        <w:rPr>
          <w:rFonts w:hint="eastAsia" w:asciiTheme="minorEastAsia" w:hAnsiTheme="minorEastAsia" w:cstheme="minorEastAsia"/>
          <w:sz w:val="24"/>
          <w:szCs w:val="24"/>
          <w:lang w:val="en-US" w:eastAsia="zh-CN"/>
        </w:rPr>
        <w:t>外</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考虑日照、污秽</w:t>
      </w:r>
      <w:r>
        <w:rPr>
          <w:rFonts w:hint="eastAsia" w:asciiTheme="minorEastAsia" w:hAnsiTheme="minorEastAsia" w:cstheme="minorEastAsia"/>
          <w:sz w:val="24"/>
          <w:szCs w:val="24"/>
          <w:lang w:eastAsia="zh-CN"/>
        </w:rPr>
        <w:t>（Ⅱ级）</w:t>
      </w:r>
      <w:r>
        <w:rPr>
          <w:rFonts w:hint="eastAsia" w:asciiTheme="minorEastAsia" w:hAnsiTheme="minorEastAsia" w:cstheme="minorEastAsia"/>
          <w:sz w:val="24"/>
          <w:szCs w:val="24"/>
        </w:rPr>
        <w:t>、凝露及自然腐蚀的影响。</w:t>
      </w:r>
    </w:p>
    <w:p w14:paraId="7F67CC59">
      <w:pPr>
        <w:pStyle w:val="9"/>
        <w:spacing w:line="360" w:lineRule="auto"/>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3、技术参数和性能要求</w:t>
      </w:r>
    </w:p>
    <w:p w14:paraId="72FF64C6">
      <w:pPr>
        <w:pStyle w:val="9"/>
        <w:spacing w:line="360" w:lineRule="auto"/>
        <w:ind w:firstLine="480" w:firstLineChars="200"/>
        <w:rPr>
          <w:rFonts w:hint="eastAsia" w:asciiTheme="minorEastAsia" w:hAnsiTheme="minorEastAsia" w:eastAsiaTheme="minorEastAsia" w:cstheme="minorEastAsia"/>
          <w:b w:val="0"/>
          <w:bCs w:val="0"/>
          <w:color w:val="FF0000"/>
          <w:sz w:val="24"/>
          <w:szCs w:val="24"/>
          <w:lang w:val="en-US" w:eastAsia="zh-CN"/>
        </w:rPr>
      </w:pPr>
      <w:r>
        <w:rPr>
          <w:rFonts w:hint="eastAsia" w:asciiTheme="minorEastAsia" w:hAnsiTheme="minorEastAsia" w:cstheme="minorEastAsia"/>
          <w:color w:val="auto"/>
          <w:sz w:val="24"/>
          <w:szCs w:val="24"/>
        </w:rPr>
        <w:t>本次采购的</w:t>
      </w:r>
      <w:r>
        <w:rPr>
          <w:rFonts w:hint="eastAsia" w:asciiTheme="minorEastAsia" w:hAnsiTheme="minorEastAsia" w:cstheme="minorEastAsia"/>
          <w:b/>
          <w:bCs/>
          <w:color w:val="auto"/>
          <w:sz w:val="24"/>
          <w:szCs w:val="24"/>
        </w:rPr>
        <w:t>欧式预装式</w:t>
      </w:r>
      <w:r>
        <w:rPr>
          <w:rFonts w:hint="eastAsia" w:asciiTheme="minorEastAsia" w:hAnsiTheme="minorEastAsia" w:cstheme="minorEastAsia"/>
          <w:b/>
          <w:bCs/>
          <w:color w:val="auto"/>
          <w:sz w:val="24"/>
          <w:szCs w:val="24"/>
          <w:lang w:eastAsia="zh-CN"/>
        </w:rPr>
        <w:t>（</w:t>
      </w:r>
      <w:r>
        <w:rPr>
          <w:rFonts w:hint="eastAsia" w:asciiTheme="minorEastAsia" w:hAnsiTheme="minorEastAsia" w:cstheme="minorEastAsia"/>
          <w:b/>
          <w:bCs/>
          <w:color w:val="auto"/>
          <w:sz w:val="24"/>
          <w:szCs w:val="24"/>
          <w:lang w:val="en-US" w:eastAsia="zh-CN"/>
        </w:rPr>
        <w:t>箱式</w:t>
      </w:r>
      <w:r>
        <w:rPr>
          <w:rFonts w:hint="eastAsia" w:asciiTheme="minorEastAsia" w:hAnsiTheme="minorEastAsia" w:cstheme="minorEastAsia"/>
          <w:b/>
          <w:bCs/>
          <w:color w:val="auto"/>
          <w:sz w:val="24"/>
          <w:szCs w:val="24"/>
          <w:lang w:eastAsia="zh-CN"/>
        </w:rPr>
        <w:t>）</w:t>
      </w:r>
      <w:r>
        <w:rPr>
          <w:rFonts w:hint="eastAsia" w:asciiTheme="minorEastAsia" w:hAnsiTheme="minorEastAsia" w:cstheme="minorEastAsia"/>
          <w:b/>
          <w:bCs/>
          <w:color w:val="auto"/>
          <w:sz w:val="24"/>
          <w:szCs w:val="24"/>
        </w:rPr>
        <w:t>变电站</w:t>
      </w:r>
      <w:r>
        <w:rPr>
          <w:rFonts w:hint="eastAsia" w:asciiTheme="minorEastAsia" w:hAnsiTheme="minorEastAsia" w:cstheme="minorEastAsia"/>
          <w:b/>
          <w:bCs/>
          <w:color w:val="auto"/>
          <w:sz w:val="24"/>
          <w:szCs w:val="24"/>
          <w:lang w:eastAsia="zh-CN"/>
        </w:rPr>
        <w:t>（</w:t>
      </w:r>
      <w:r>
        <w:rPr>
          <w:rFonts w:hint="eastAsia" w:asciiTheme="minorEastAsia" w:hAnsiTheme="minorEastAsia" w:cstheme="minorEastAsia"/>
          <w:b/>
          <w:bCs/>
          <w:color w:val="auto"/>
          <w:sz w:val="24"/>
          <w:szCs w:val="24"/>
          <w:lang w:val="en-US" w:eastAsia="zh-CN"/>
        </w:rPr>
        <w:t>以下简称箱变</w:t>
      </w:r>
      <w:r>
        <w:rPr>
          <w:rFonts w:hint="eastAsia" w:asciiTheme="minorEastAsia" w:hAnsiTheme="minorEastAsia" w:cstheme="minorEastAsia"/>
          <w:b/>
          <w:bCs/>
          <w:color w:val="auto"/>
          <w:sz w:val="24"/>
          <w:szCs w:val="24"/>
          <w:lang w:eastAsia="zh-CN"/>
        </w:rPr>
        <w:t>），</w:t>
      </w:r>
      <w:r>
        <w:rPr>
          <w:rFonts w:hint="eastAsia" w:asciiTheme="minorEastAsia" w:hAnsiTheme="minorEastAsia" w:cstheme="minorEastAsia"/>
          <w:b w:val="0"/>
          <w:bCs w:val="0"/>
          <w:color w:val="auto"/>
          <w:sz w:val="24"/>
          <w:szCs w:val="24"/>
          <w:lang w:val="en-US" w:eastAsia="zh-CN"/>
        </w:rPr>
        <w:t>具体型号由卖方确定。</w:t>
      </w:r>
      <w:r>
        <w:rPr>
          <w:rFonts w:hint="eastAsia" w:asciiTheme="minorEastAsia" w:hAnsiTheme="minorEastAsia" w:cstheme="minorEastAsia"/>
          <w:sz w:val="24"/>
          <w:szCs w:val="24"/>
        </w:rPr>
        <w:t>其技术参数除应满足应遵循的主要标准外，还应满足本标书以下要求</w:t>
      </w:r>
      <w:r>
        <w:rPr>
          <w:rFonts w:hint="eastAsia" w:asciiTheme="minorEastAsia" w:hAnsiTheme="minorEastAsia" w:cstheme="minorEastAsia"/>
          <w:sz w:val="24"/>
          <w:szCs w:val="24"/>
          <w:lang w:eastAsia="zh-CN"/>
        </w:rPr>
        <w:t>。</w:t>
      </w:r>
    </w:p>
    <w:p w14:paraId="47A1652E">
      <w:pPr>
        <w:pStyle w:val="9"/>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rPr>
        <w:t>3.</w:t>
      </w:r>
      <w:r>
        <w:rPr>
          <w:rFonts w:hint="eastAsia" w:asciiTheme="minorEastAsia" w:hAnsiTheme="minorEastAsia" w:cstheme="minorEastAsia"/>
          <w:sz w:val="24"/>
          <w:szCs w:val="24"/>
          <w:lang w:val="en-US" w:eastAsia="zh-CN"/>
        </w:rPr>
        <w:t>1箱变</w:t>
      </w:r>
      <w:r>
        <w:rPr>
          <w:rFonts w:hint="eastAsia" w:asciiTheme="minorEastAsia" w:hAnsiTheme="minorEastAsia" w:cstheme="minorEastAsia"/>
          <w:sz w:val="24"/>
          <w:szCs w:val="24"/>
        </w:rPr>
        <w:t>设备的主要本体技术参数(见附表1)</w:t>
      </w:r>
    </w:p>
    <w:p w14:paraId="2B3D89EF">
      <w:pPr>
        <w:pStyle w:val="9"/>
        <w:spacing w:line="360" w:lineRule="auto"/>
        <w:ind w:firstLine="480"/>
        <w:jc w:val="center"/>
        <w:rPr>
          <w:rFonts w:hint="eastAsia" w:asciiTheme="minorEastAsia" w:hAnsiTheme="minorEastAsia" w:cstheme="minorEastAsia"/>
          <w:sz w:val="24"/>
          <w:szCs w:val="24"/>
        </w:rPr>
      </w:pPr>
      <w:r>
        <w:rPr>
          <w:rFonts w:hint="eastAsia" w:asciiTheme="minorEastAsia" w:hAnsiTheme="minorEastAsia" w:cstheme="minorEastAsia"/>
          <w:sz w:val="24"/>
          <w:szCs w:val="24"/>
        </w:rPr>
        <w:t>表一 </w:t>
      </w:r>
      <w:r>
        <w:rPr>
          <w:rFonts w:hint="eastAsia" w:asciiTheme="minorEastAsia" w:hAnsiTheme="minorEastAsia" w:cstheme="minorEastAsia"/>
          <w:sz w:val="24"/>
          <w:szCs w:val="24"/>
          <w:lang w:val="en-US" w:eastAsia="zh-CN"/>
        </w:rPr>
        <w:t>箱变</w:t>
      </w:r>
      <w:r>
        <w:rPr>
          <w:rFonts w:hint="eastAsia" w:asciiTheme="minorEastAsia" w:hAnsiTheme="minorEastAsia" w:cstheme="minorEastAsia"/>
          <w:sz w:val="24"/>
          <w:szCs w:val="24"/>
        </w:rPr>
        <w:t>本体技术参数</w:t>
      </w:r>
    </w:p>
    <w:tbl>
      <w:tblPr>
        <w:tblStyle w:val="16"/>
        <w:tblW w:w="8624" w:type="dxa"/>
        <w:jc w:val="center"/>
        <w:tblLayout w:type="fixed"/>
        <w:tblCellMar>
          <w:top w:w="0" w:type="dxa"/>
          <w:left w:w="0" w:type="dxa"/>
          <w:bottom w:w="0" w:type="dxa"/>
          <w:right w:w="0" w:type="dxa"/>
        </w:tblCellMar>
      </w:tblPr>
      <w:tblGrid>
        <w:gridCol w:w="1577"/>
        <w:gridCol w:w="1559"/>
        <w:gridCol w:w="1802"/>
        <w:gridCol w:w="691"/>
        <w:gridCol w:w="2995"/>
      </w:tblGrid>
      <w:tr w14:paraId="2C9281BF">
        <w:tblPrEx>
          <w:tblCellMar>
            <w:top w:w="0" w:type="dxa"/>
            <w:left w:w="0" w:type="dxa"/>
            <w:bottom w:w="0" w:type="dxa"/>
            <w:right w:w="0" w:type="dxa"/>
          </w:tblCellMar>
        </w:tblPrEx>
        <w:trPr>
          <w:cantSplit/>
          <w:trHeight w:val="364" w:hRule="atLeast"/>
          <w:jc w:val="center"/>
        </w:trPr>
        <w:tc>
          <w:tcPr>
            <w:tcW w:w="1577" w:type="dxa"/>
            <w:vMerge w:val="restart"/>
            <w:tcBorders>
              <w:top w:val="single" w:color="000000" w:sz="6" w:space="0"/>
              <w:left w:val="single" w:color="000000" w:sz="6" w:space="0"/>
              <w:bottom w:val="single" w:color="000000" w:sz="6" w:space="0"/>
              <w:right w:val="single" w:color="000000" w:sz="6" w:space="0"/>
            </w:tcBorders>
            <w:noWrap/>
            <w:tcMar>
              <w:top w:w="8" w:type="dxa"/>
              <w:left w:w="8" w:type="dxa"/>
              <w:bottom w:w="8" w:type="dxa"/>
              <w:right w:w="8" w:type="dxa"/>
            </w:tcMar>
            <w:vAlign w:val="center"/>
          </w:tcPr>
          <w:p w14:paraId="0038E90E">
            <w:pPr>
              <w:pStyle w:val="15"/>
              <w:spacing w:line="360" w:lineRule="auto"/>
              <w:jc w:val="both"/>
              <w:rPr>
                <w:rFonts w:ascii="Times New Roman" w:hAnsi="Times New Roman" w:cs="Times New Roman"/>
                <w:szCs w:val="21"/>
              </w:rPr>
            </w:pPr>
            <w:r>
              <w:rPr>
                <w:rFonts w:ascii="Times New Roman" w:hAnsi="Times New Roman" w:cs="Times New Roman"/>
                <w:szCs w:val="21"/>
              </w:rPr>
              <w:t>本体技术参数</w:t>
            </w:r>
          </w:p>
        </w:tc>
        <w:tc>
          <w:tcPr>
            <w:tcW w:w="3361" w:type="dxa"/>
            <w:gridSpan w:val="2"/>
            <w:tcBorders>
              <w:top w:val="single" w:color="000000" w:sz="6" w:space="0"/>
              <w:bottom w:val="single" w:color="000000" w:sz="6" w:space="0"/>
              <w:right w:val="single" w:color="000000" w:sz="6" w:space="0"/>
            </w:tcBorders>
            <w:noWrap/>
            <w:tcMar>
              <w:top w:w="8" w:type="dxa"/>
              <w:left w:w="0" w:type="dxa"/>
              <w:bottom w:w="8" w:type="dxa"/>
              <w:right w:w="8" w:type="dxa"/>
            </w:tcMar>
            <w:vAlign w:val="center"/>
          </w:tcPr>
          <w:p w14:paraId="4A0A4332">
            <w:pPr>
              <w:pStyle w:val="15"/>
              <w:spacing w:line="360" w:lineRule="auto"/>
              <w:jc w:val="center"/>
              <w:rPr>
                <w:rFonts w:ascii="Times New Roman" w:hAnsi="Times New Roman" w:cs="Times New Roman"/>
                <w:szCs w:val="21"/>
              </w:rPr>
            </w:pPr>
            <w:r>
              <w:rPr>
                <w:rFonts w:hint="eastAsia" w:ascii="Times New Roman" w:hAnsi="Times New Roman" w:cs="Times New Roman"/>
                <w:szCs w:val="21"/>
                <w:lang w:val="en-US" w:eastAsia="zh-CN"/>
              </w:rPr>
              <w:t>箱变</w:t>
            </w:r>
            <w:r>
              <w:rPr>
                <w:rFonts w:ascii="Times New Roman" w:hAnsi="Times New Roman" w:cs="Times New Roman"/>
                <w:szCs w:val="21"/>
              </w:rPr>
              <w:t>本体</w:t>
            </w:r>
          </w:p>
        </w:tc>
        <w:tc>
          <w:tcPr>
            <w:tcW w:w="691" w:type="dxa"/>
            <w:tcBorders>
              <w:top w:val="single" w:color="000000" w:sz="6" w:space="0"/>
              <w:bottom w:val="single" w:color="000000" w:sz="6" w:space="0"/>
              <w:right w:val="single" w:color="000000" w:sz="6" w:space="0"/>
            </w:tcBorders>
            <w:noWrap/>
            <w:tcMar>
              <w:top w:w="8" w:type="dxa"/>
              <w:left w:w="8" w:type="dxa"/>
              <w:bottom w:w="8" w:type="dxa"/>
              <w:right w:w="8" w:type="dxa"/>
            </w:tcMar>
            <w:vAlign w:val="center"/>
          </w:tcPr>
          <w:p w14:paraId="50339888">
            <w:pPr>
              <w:pStyle w:val="15"/>
              <w:spacing w:line="360" w:lineRule="auto"/>
              <w:jc w:val="center"/>
              <w:rPr>
                <w:rFonts w:ascii="Times New Roman" w:hAnsi="Times New Roman" w:cs="Times New Roman"/>
                <w:szCs w:val="21"/>
              </w:rPr>
            </w:pPr>
            <w:r>
              <w:rPr>
                <w:rFonts w:ascii="Times New Roman" w:hAnsi="Times New Roman" w:cs="Times New Roman"/>
                <w:szCs w:val="21"/>
              </w:rPr>
              <w:t>单位</w:t>
            </w:r>
          </w:p>
        </w:tc>
        <w:tc>
          <w:tcPr>
            <w:tcW w:w="2995" w:type="dxa"/>
            <w:tcBorders>
              <w:top w:val="single" w:color="000000" w:sz="6" w:space="0"/>
              <w:bottom w:val="single" w:color="000000" w:sz="6" w:space="0"/>
              <w:right w:val="single" w:color="000000" w:sz="6" w:space="0"/>
            </w:tcBorders>
            <w:noWrap/>
            <w:tcMar>
              <w:top w:w="8" w:type="dxa"/>
              <w:left w:w="8" w:type="dxa"/>
              <w:bottom w:w="8" w:type="dxa"/>
              <w:right w:w="8" w:type="dxa"/>
            </w:tcMar>
            <w:vAlign w:val="center"/>
          </w:tcPr>
          <w:p w14:paraId="2A795AFE">
            <w:pPr>
              <w:pStyle w:val="15"/>
              <w:spacing w:line="360" w:lineRule="auto"/>
              <w:jc w:val="center"/>
              <w:rPr>
                <w:rFonts w:ascii="Times New Roman" w:hAnsi="Times New Roman" w:cs="Times New Roman"/>
                <w:szCs w:val="21"/>
              </w:rPr>
            </w:pPr>
            <w:r>
              <w:rPr>
                <w:rFonts w:ascii="Times New Roman" w:hAnsi="Times New Roman" w:cs="Times New Roman"/>
                <w:szCs w:val="21"/>
              </w:rPr>
              <w:t>技术参数要求</w:t>
            </w:r>
          </w:p>
        </w:tc>
      </w:tr>
      <w:tr w14:paraId="43D8F8CE">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6A2CB547">
            <w:pPr>
              <w:keepNext/>
              <w:keepLines/>
              <w:spacing w:before="340" w:after="330" w:line="360" w:lineRule="auto"/>
              <w:rPr>
                <w:rFonts w:ascii="Times New Roman" w:hAnsi="Times New Roman" w:cs="Times New Roman"/>
                <w:szCs w:val="21"/>
              </w:rPr>
            </w:pPr>
          </w:p>
        </w:tc>
        <w:tc>
          <w:tcPr>
            <w:tcW w:w="1559" w:type="dxa"/>
            <w:vMerge w:val="restart"/>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3EF3D92C">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额定电压Un</w:t>
            </w:r>
          </w:p>
        </w:tc>
        <w:tc>
          <w:tcPr>
            <w:tcW w:w="1802" w:type="dxa"/>
            <w:tcBorders>
              <w:bottom w:val="single" w:color="000000" w:sz="6" w:space="0"/>
              <w:right w:val="single" w:color="000000" w:sz="6" w:space="0"/>
            </w:tcBorders>
            <w:noWrap/>
            <w:tcMar>
              <w:top w:w="0" w:type="dxa"/>
              <w:left w:w="0" w:type="dxa"/>
              <w:bottom w:w="8" w:type="dxa"/>
              <w:right w:w="8" w:type="dxa"/>
            </w:tcMar>
            <w:vAlign w:val="center"/>
          </w:tcPr>
          <w:p w14:paraId="78A0AFD5">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高压主回路</w:t>
            </w:r>
          </w:p>
        </w:tc>
        <w:tc>
          <w:tcPr>
            <w:tcW w:w="691" w:type="dxa"/>
            <w:vMerge w:val="restart"/>
            <w:tcBorders>
              <w:bottom w:val="single" w:color="000000" w:sz="6" w:space="0"/>
              <w:right w:val="single" w:color="000000" w:sz="6" w:space="0"/>
            </w:tcBorders>
            <w:noWrap/>
            <w:tcMar>
              <w:top w:w="0" w:type="dxa"/>
              <w:left w:w="8" w:type="dxa"/>
              <w:bottom w:w="8" w:type="dxa"/>
              <w:right w:w="8" w:type="dxa"/>
            </w:tcMar>
            <w:vAlign w:val="center"/>
          </w:tcPr>
          <w:p w14:paraId="69587EAB">
            <w:pPr>
              <w:pStyle w:val="15"/>
              <w:spacing w:line="360" w:lineRule="auto"/>
              <w:jc w:val="center"/>
              <w:rPr>
                <w:rFonts w:ascii="Times New Roman" w:hAnsi="Times New Roman" w:cs="Times New Roman"/>
                <w:szCs w:val="21"/>
              </w:rPr>
            </w:pPr>
            <w:r>
              <w:rPr>
                <w:rFonts w:ascii="Times New Roman" w:hAnsi="Times New Roman" w:cs="Times New Roman"/>
                <w:szCs w:val="21"/>
              </w:rPr>
              <w:t>kV</w:t>
            </w:r>
          </w:p>
        </w:tc>
        <w:tc>
          <w:tcPr>
            <w:tcW w:w="2995" w:type="dxa"/>
            <w:tcBorders>
              <w:bottom w:val="single" w:color="000000" w:sz="6" w:space="0"/>
              <w:right w:val="single" w:color="000000" w:sz="6" w:space="0"/>
            </w:tcBorders>
            <w:noWrap/>
            <w:tcMar>
              <w:top w:w="0" w:type="dxa"/>
              <w:left w:w="8" w:type="dxa"/>
              <w:bottom w:w="8" w:type="dxa"/>
              <w:right w:w="8" w:type="dxa"/>
            </w:tcMar>
            <w:vAlign w:val="center"/>
          </w:tcPr>
          <w:p w14:paraId="16772C04">
            <w:pPr>
              <w:pStyle w:val="15"/>
              <w:spacing w:line="360" w:lineRule="auto"/>
              <w:jc w:val="center"/>
              <w:rPr>
                <w:rFonts w:ascii="Times New Roman" w:hAnsi="Times New Roman" w:cs="Times New Roman"/>
                <w:szCs w:val="21"/>
              </w:rPr>
            </w:pPr>
            <w:r>
              <w:rPr>
                <w:rFonts w:ascii="Times New Roman" w:hAnsi="Times New Roman" w:cs="Times New Roman"/>
                <w:szCs w:val="21"/>
              </w:rPr>
              <w:t>12</w:t>
            </w:r>
          </w:p>
        </w:tc>
      </w:tr>
      <w:tr w14:paraId="7BE7D0F1">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4DE02BC8">
            <w:pPr>
              <w:keepNext/>
              <w:keepLines/>
              <w:spacing w:before="340" w:after="330" w:line="360" w:lineRule="auto"/>
              <w:rPr>
                <w:rFonts w:ascii="Times New Roman" w:hAnsi="Times New Roman" w:cs="Times New Roman"/>
                <w:szCs w:val="21"/>
              </w:rPr>
            </w:pPr>
          </w:p>
        </w:tc>
        <w:tc>
          <w:tcPr>
            <w:tcW w:w="1559" w:type="dxa"/>
            <w:vMerge w:val="continue"/>
            <w:tcBorders>
              <w:left w:val="single" w:color="000000" w:sz="6" w:space="0"/>
              <w:bottom w:val="single" w:color="000000" w:sz="6" w:space="0"/>
              <w:right w:val="single" w:color="000000" w:sz="6" w:space="0"/>
            </w:tcBorders>
            <w:noWrap/>
            <w:vAlign w:val="center"/>
          </w:tcPr>
          <w:p w14:paraId="58BDAD8B">
            <w:pPr>
              <w:pStyle w:val="15"/>
              <w:spacing w:line="360" w:lineRule="auto"/>
              <w:ind w:firstLine="77" w:firstLineChars="37"/>
              <w:jc w:val="left"/>
              <w:rPr>
                <w:rFonts w:ascii="Times New Roman" w:hAnsi="Times New Roman" w:cs="Times New Roman"/>
                <w:szCs w:val="21"/>
              </w:rPr>
            </w:pPr>
          </w:p>
        </w:tc>
        <w:tc>
          <w:tcPr>
            <w:tcW w:w="1802" w:type="dxa"/>
            <w:tcBorders>
              <w:left w:val="single" w:color="000000" w:sz="6" w:space="0"/>
              <w:bottom w:val="single" w:color="auto" w:sz="4" w:space="0"/>
              <w:right w:val="single" w:color="000000" w:sz="6" w:space="0"/>
            </w:tcBorders>
            <w:noWrap/>
            <w:tcMar>
              <w:top w:w="0" w:type="dxa"/>
              <w:left w:w="8" w:type="dxa"/>
              <w:bottom w:w="8" w:type="dxa"/>
              <w:right w:w="8" w:type="dxa"/>
            </w:tcMar>
            <w:vAlign w:val="center"/>
          </w:tcPr>
          <w:p w14:paraId="15BD69D7">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低压主回路</w:t>
            </w:r>
          </w:p>
        </w:tc>
        <w:tc>
          <w:tcPr>
            <w:tcW w:w="691" w:type="dxa"/>
            <w:vMerge w:val="continue"/>
            <w:tcBorders>
              <w:bottom w:val="single" w:color="auto" w:sz="4" w:space="0"/>
              <w:right w:val="single" w:color="000000" w:sz="6" w:space="0"/>
            </w:tcBorders>
            <w:noWrap/>
            <w:vAlign w:val="center"/>
          </w:tcPr>
          <w:p w14:paraId="342981F8">
            <w:pPr>
              <w:keepNext/>
              <w:keepLines/>
              <w:spacing w:before="340" w:after="330" w:line="360" w:lineRule="auto"/>
              <w:rPr>
                <w:rFonts w:ascii="Times New Roman" w:hAnsi="Times New Roman" w:cs="Times New Roman"/>
                <w:szCs w:val="21"/>
              </w:rPr>
            </w:pPr>
          </w:p>
        </w:tc>
        <w:tc>
          <w:tcPr>
            <w:tcW w:w="2995" w:type="dxa"/>
            <w:tcBorders>
              <w:bottom w:val="single" w:color="000000" w:sz="6" w:space="0"/>
              <w:right w:val="single" w:color="000000" w:sz="6" w:space="0"/>
            </w:tcBorders>
            <w:noWrap/>
            <w:tcMar>
              <w:top w:w="0" w:type="dxa"/>
              <w:left w:w="0" w:type="dxa"/>
              <w:bottom w:w="8" w:type="dxa"/>
              <w:right w:w="8" w:type="dxa"/>
            </w:tcMar>
            <w:vAlign w:val="center"/>
          </w:tcPr>
          <w:p w14:paraId="25ED781A">
            <w:pPr>
              <w:pStyle w:val="15"/>
              <w:spacing w:line="360" w:lineRule="auto"/>
              <w:jc w:val="center"/>
              <w:rPr>
                <w:rFonts w:ascii="Times New Roman" w:hAnsi="Times New Roman" w:cs="Times New Roman"/>
                <w:szCs w:val="21"/>
              </w:rPr>
            </w:pPr>
            <w:r>
              <w:rPr>
                <w:rFonts w:ascii="Times New Roman" w:hAnsi="Times New Roman" w:cs="Times New Roman"/>
                <w:szCs w:val="21"/>
              </w:rPr>
              <w:t>0.4</w:t>
            </w:r>
          </w:p>
        </w:tc>
      </w:tr>
      <w:tr w14:paraId="15F11371">
        <w:tblPrEx>
          <w:tblCellMar>
            <w:top w:w="0" w:type="dxa"/>
            <w:left w:w="0" w:type="dxa"/>
            <w:bottom w:w="0" w:type="dxa"/>
            <w:right w:w="0" w:type="dxa"/>
          </w:tblCellMar>
        </w:tblPrEx>
        <w:trPr>
          <w:cantSpli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7B009F2A">
            <w:pPr>
              <w:keepNext/>
              <w:keepLines/>
              <w:spacing w:before="340" w:after="330" w:line="360" w:lineRule="auto"/>
              <w:rPr>
                <w:rFonts w:ascii="Times New Roman" w:hAnsi="Times New Roman" w:cs="Times New Roman"/>
                <w:szCs w:val="21"/>
              </w:rPr>
            </w:pPr>
          </w:p>
        </w:tc>
        <w:tc>
          <w:tcPr>
            <w:tcW w:w="1559" w:type="dxa"/>
            <w:vMerge w:val="restart"/>
            <w:tcBorders>
              <w:top w:val="single" w:color="auto" w:sz="4" w:space="0"/>
              <w:left w:val="single" w:color="000000" w:sz="6" w:space="0"/>
              <w:right w:val="single" w:color="000000" w:sz="6" w:space="0"/>
            </w:tcBorders>
            <w:noWrap/>
            <w:tcMar>
              <w:top w:w="0" w:type="dxa"/>
              <w:left w:w="8" w:type="dxa"/>
              <w:bottom w:w="8" w:type="dxa"/>
              <w:right w:w="8" w:type="dxa"/>
            </w:tcMar>
            <w:vAlign w:val="center"/>
          </w:tcPr>
          <w:p w14:paraId="7BC32589">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color w:val="auto"/>
                <w:szCs w:val="21"/>
              </w:rPr>
              <w:t>热稳定电流</w:t>
            </w:r>
          </w:p>
        </w:tc>
        <w:tc>
          <w:tcPr>
            <w:tcW w:w="1802" w:type="dxa"/>
            <w:tcBorders>
              <w:top w:val="single" w:color="auto" w:sz="4" w:space="0"/>
              <w:bottom w:val="single" w:color="auto" w:sz="4" w:space="0"/>
              <w:right w:val="single" w:color="000000" w:sz="6" w:space="0"/>
            </w:tcBorders>
            <w:shd w:val="clear" w:color="auto" w:fill="auto"/>
            <w:noWrap/>
            <w:tcMar>
              <w:top w:w="0" w:type="dxa"/>
              <w:left w:w="0" w:type="dxa"/>
              <w:bottom w:w="8" w:type="dxa"/>
              <w:right w:w="8" w:type="dxa"/>
            </w:tcMar>
            <w:vAlign w:val="center"/>
          </w:tcPr>
          <w:p w14:paraId="36D8BC95">
            <w:pPr>
              <w:pStyle w:val="15"/>
              <w:spacing w:line="360" w:lineRule="auto"/>
              <w:ind w:firstLine="77" w:firstLineChars="37"/>
              <w:jc w:val="left"/>
              <w:rPr>
                <w:rFonts w:ascii="Times New Roman" w:hAnsi="Times New Roman" w:cs="Times New Roman" w:eastAsiaTheme="minorEastAsia"/>
                <w:kern w:val="2"/>
                <w:sz w:val="21"/>
                <w:szCs w:val="21"/>
                <w:lang w:val="en-US" w:eastAsia="zh-CN" w:bidi="ar-SA"/>
              </w:rPr>
            </w:pPr>
            <w:r>
              <w:rPr>
                <w:rFonts w:ascii="Times New Roman" w:hAnsi="Times New Roman" w:cs="Times New Roman"/>
                <w:szCs w:val="21"/>
              </w:rPr>
              <w:t>高压主回路</w:t>
            </w:r>
          </w:p>
        </w:tc>
        <w:tc>
          <w:tcPr>
            <w:tcW w:w="691" w:type="dxa"/>
            <w:tcBorders>
              <w:top w:val="single" w:color="auto" w:sz="4" w:space="0"/>
              <w:bottom w:val="single" w:color="auto" w:sz="4" w:space="0"/>
              <w:right w:val="single" w:color="000000" w:sz="6" w:space="0"/>
            </w:tcBorders>
            <w:shd w:val="clear" w:color="auto" w:fill="auto"/>
            <w:noWrap/>
            <w:tcMar>
              <w:top w:w="0" w:type="dxa"/>
              <w:left w:w="8" w:type="dxa"/>
              <w:bottom w:w="8" w:type="dxa"/>
              <w:right w:w="8" w:type="dxa"/>
            </w:tcMar>
            <w:vAlign w:val="center"/>
          </w:tcPr>
          <w:p w14:paraId="250890F7">
            <w:pPr>
              <w:pStyle w:val="15"/>
              <w:spacing w:line="360" w:lineRule="auto"/>
              <w:jc w:val="center"/>
              <w:rPr>
                <w:rFonts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kA</w:t>
            </w:r>
          </w:p>
        </w:tc>
        <w:tc>
          <w:tcPr>
            <w:tcW w:w="2995" w:type="dxa"/>
            <w:tcBorders>
              <w:bottom w:val="single" w:color="auto" w:sz="4" w:space="0"/>
              <w:right w:val="single" w:color="000000" w:sz="6" w:space="0"/>
            </w:tcBorders>
            <w:noWrap/>
            <w:tcMar>
              <w:top w:w="0" w:type="dxa"/>
              <w:left w:w="8" w:type="dxa"/>
              <w:bottom w:w="8" w:type="dxa"/>
              <w:right w:w="8" w:type="dxa"/>
            </w:tcMar>
            <w:vAlign w:val="center"/>
          </w:tcPr>
          <w:p w14:paraId="274B852F">
            <w:pPr>
              <w:pStyle w:val="15"/>
              <w:spacing w:line="360" w:lineRule="auto"/>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25</w:t>
            </w:r>
          </w:p>
        </w:tc>
      </w:tr>
      <w:tr w14:paraId="5144CF53">
        <w:tblPrEx>
          <w:tblCellMar>
            <w:top w:w="0" w:type="dxa"/>
            <w:left w:w="0" w:type="dxa"/>
            <w:bottom w:w="0" w:type="dxa"/>
            <w:right w:w="0" w:type="dxa"/>
          </w:tblCellMar>
        </w:tblPrEx>
        <w:trPr>
          <w:cantSpli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2D264E2A">
            <w:pPr>
              <w:keepNext/>
              <w:keepLines/>
              <w:spacing w:before="340" w:after="330" w:line="360" w:lineRule="auto"/>
              <w:rPr>
                <w:rFonts w:ascii="Times New Roman" w:hAnsi="Times New Roman" w:cs="Times New Roman"/>
                <w:szCs w:val="21"/>
              </w:rPr>
            </w:pPr>
          </w:p>
        </w:tc>
        <w:tc>
          <w:tcPr>
            <w:tcW w:w="1559" w:type="dxa"/>
            <w:vMerge w:val="continue"/>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2112AEF0">
            <w:pPr>
              <w:pStyle w:val="15"/>
              <w:spacing w:line="360" w:lineRule="auto"/>
              <w:ind w:firstLine="77" w:firstLineChars="37"/>
              <w:jc w:val="left"/>
              <w:rPr>
                <w:rFonts w:ascii="Times New Roman" w:hAnsi="Times New Roman" w:cs="Times New Roman"/>
                <w:szCs w:val="21"/>
              </w:rPr>
            </w:pPr>
          </w:p>
        </w:tc>
        <w:tc>
          <w:tcPr>
            <w:tcW w:w="1802" w:type="dxa"/>
            <w:tcBorders>
              <w:top w:val="single" w:color="auto" w:sz="4" w:space="0"/>
              <w:bottom w:val="single" w:color="auto" w:sz="4" w:space="0"/>
              <w:right w:val="single" w:color="000000" w:sz="6" w:space="0"/>
            </w:tcBorders>
            <w:shd w:val="clear" w:color="auto" w:fill="auto"/>
            <w:noWrap/>
            <w:tcMar>
              <w:top w:w="0" w:type="dxa"/>
              <w:left w:w="0" w:type="dxa"/>
              <w:bottom w:w="8" w:type="dxa"/>
              <w:right w:w="8" w:type="dxa"/>
            </w:tcMar>
            <w:vAlign w:val="center"/>
          </w:tcPr>
          <w:p w14:paraId="2099A10D">
            <w:pPr>
              <w:pStyle w:val="15"/>
              <w:spacing w:line="360" w:lineRule="auto"/>
              <w:ind w:firstLine="77" w:firstLineChars="37"/>
              <w:jc w:val="left"/>
              <w:rPr>
                <w:rFonts w:ascii="Times New Roman" w:hAnsi="Times New Roman" w:cs="Times New Roman" w:eastAsiaTheme="minorEastAsia"/>
                <w:kern w:val="2"/>
                <w:sz w:val="21"/>
                <w:szCs w:val="21"/>
                <w:lang w:val="en-US" w:eastAsia="zh-CN" w:bidi="ar-SA"/>
              </w:rPr>
            </w:pPr>
            <w:r>
              <w:rPr>
                <w:rFonts w:ascii="Times New Roman" w:hAnsi="Times New Roman" w:cs="Times New Roman"/>
                <w:szCs w:val="21"/>
              </w:rPr>
              <w:t>低压主回路</w:t>
            </w:r>
          </w:p>
        </w:tc>
        <w:tc>
          <w:tcPr>
            <w:tcW w:w="691" w:type="dxa"/>
            <w:tcBorders>
              <w:top w:val="single" w:color="auto" w:sz="4" w:space="0"/>
              <w:bottom w:val="single" w:color="auto" w:sz="4" w:space="0"/>
              <w:right w:val="single" w:color="000000" w:sz="6" w:space="0"/>
            </w:tcBorders>
            <w:shd w:val="clear" w:color="auto" w:fill="auto"/>
            <w:noWrap/>
            <w:tcMar>
              <w:top w:w="0" w:type="dxa"/>
              <w:left w:w="8" w:type="dxa"/>
              <w:bottom w:w="8" w:type="dxa"/>
              <w:right w:w="8" w:type="dxa"/>
            </w:tcMar>
            <w:vAlign w:val="center"/>
          </w:tcPr>
          <w:p w14:paraId="4FA9CEF3">
            <w:pPr>
              <w:pStyle w:val="15"/>
              <w:spacing w:line="360" w:lineRule="auto"/>
              <w:jc w:val="center"/>
              <w:rPr>
                <w:rFonts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kA</w:t>
            </w:r>
          </w:p>
        </w:tc>
        <w:tc>
          <w:tcPr>
            <w:tcW w:w="2995" w:type="dxa"/>
            <w:tcBorders>
              <w:bottom w:val="single" w:color="auto" w:sz="4" w:space="0"/>
              <w:right w:val="single" w:color="000000" w:sz="6" w:space="0"/>
            </w:tcBorders>
            <w:noWrap/>
            <w:tcMar>
              <w:top w:w="0" w:type="dxa"/>
              <w:left w:w="8" w:type="dxa"/>
              <w:bottom w:w="8" w:type="dxa"/>
              <w:right w:w="8" w:type="dxa"/>
            </w:tcMar>
            <w:vAlign w:val="center"/>
          </w:tcPr>
          <w:p w14:paraId="72F992F1">
            <w:pPr>
              <w:pStyle w:val="15"/>
              <w:spacing w:line="360" w:lineRule="auto"/>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50</w:t>
            </w:r>
          </w:p>
        </w:tc>
      </w:tr>
      <w:tr w14:paraId="713553A2">
        <w:tblPrEx>
          <w:tblCellMar>
            <w:top w:w="0" w:type="dxa"/>
            <w:left w:w="0" w:type="dxa"/>
            <w:bottom w:w="0" w:type="dxa"/>
            <w:right w:w="0" w:type="dxa"/>
          </w:tblCellMar>
        </w:tblPrEx>
        <w:trPr>
          <w:cantSpli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713935BA">
            <w:pPr>
              <w:keepNext/>
              <w:keepLines/>
              <w:spacing w:before="340" w:after="330" w:line="360" w:lineRule="auto"/>
              <w:rPr>
                <w:rFonts w:ascii="Times New Roman" w:hAnsi="Times New Roman" w:cs="Times New Roman"/>
                <w:szCs w:val="21"/>
              </w:rPr>
            </w:pPr>
          </w:p>
        </w:tc>
        <w:tc>
          <w:tcPr>
            <w:tcW w:w="1559" w:type="dxa"/>
            <w:vMerge w:val="restart"/>
            <w:tcBorders>
              <w:top w:val="single" w:color="auto" w:sz="4" w:space="0"/>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70766621">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color w:val="auto"/>
                <w:szCs w:val="21"/>
              </w:rPr>
              <w:t>动稳定电流</w:t>
            </w:r>
          </w:p>
        </w:tc>
        <w:tc>
          <w:tcPr>
            <w:tcW w:w="1802" w:type="dxa"/>
            <w:tcBorders>
              <w:top w:val="single" w:color="auto" w:sz="4" w:space="0"/>
              <w:bottom w:val="single" w:color="auto" w:sz="4" w:space="0"/>
              <w:right w:val="single" w:color="000000" w:sz="6" w:space="0"/>
            </w:tcBorders>
            <w:noWrap/>
            <w:tcMar>
              <w:top w:w="0" w:type="dxa"/>
              <w:left w:w="0" w:type="dxa"/>
              <w:bottom w:w="8" w:type="dxa"/>
              <w:right w:w="8" w:type="dxa"/>
            </w:tcMar>
            <w:vAlign w:val="center"/>
          </w:tcPr>
          <w:p w14:paraId="7F3F7452">
            <w:pPr>
              <w:pStyle w:val="15"/>
              <w:spacing w:line="360" w:lineRule="auto"/>
              <w:ind w:firstLine="77" w:firstLineChars="37"/>
              <w:jc w:val="left"/>
              <w:rPr>
                <w:rFonts w:ascii="Times New Roman" w:hAnsi="Times New Roman" w:cs="Times New Roman"/>
                <w:color w:val="auto"/>
                <w:szCs w:val="21"/>
              </w:rPr>
            </w:pPr>
            <w:r>
              <w:rPr>
                <w:rFonts w:ascii="Times New Roman" w:hAnsi="Times New Roman" w:cs="Times New Roman"/>
                <w:szCs w:val="21"/>
              </w:rPr>
              <w:t>高压主回路</w:t>
            </w:r>
          </w:p>
        </w:tc>
        <w:tc>
          <w:tcPr>
            <w:tcW w:w="691" w:type="dxa"/>
            <w:tcBorders>
              <w:top w:val="single" w:color="auto" w:sz="4" w:space="0"/>
              <w:bottom w:val="single" w:color="auto" w:sz="4" w:space="0"/>
              <w:right w:val="single" w:color="000000" w:sz="6" w:space="0"/>
            </w:tcBorders>
            <w:noWrap/>
            <w:tcMar>
              <w:top w:w="0" w:type="dxa"/>
              <w:left w:w="8" w:type="dxa"/>
              <w:bottom w:w="8" w:type="dxa"/>
              <w:right w:w="8" w:type="dxa"/>
            </w:tcMar>
            <w:vAlign w:val="center"/>
          </w:tcPr>
          <w:p w14:paraId="187AA62E">
            <w:pPr>
              <w:pStyle w:val="15"/>
              <w:spacing w:line="360" w:lineRule="auto"/>
              <w:jc w:val="center"/>
              <w:rPr>
                <w:rFonts w:ascii="Times New Roman" w:hAnsi="Times New Roman" w:cs="Times New Roman"/>
                <w:color w:val="auto"/>
                <w:szCs w:val="21"/>
              </w:rPr>
            </w:pPr>
            <w:r>
              <w:rPr>
                <w:rFonts w:ascii="Times New Roman" w:hAnsi="Times New Roman" w:cs="Times New Roman"/>
                <w:color w:val="auto"/>
                <w:szCs w:val="21"/>
              </w:rPr>
              <w:t>kA</w:t>
            </w:r>
          </w:p>
        </w:tc>
        <w:tc>
          <w:tcPr>
            <w:tcW w:w="2995" w:type="dxa"/>
            <w:tcBorders>
              <w:bottom w:val="single" w:color="auto" w:sz="4" w:space="0"/>
              <w:right w:val="single" w:color="000000" w:sz="6" w:space="0"/>
            </w:tcBorders>
            <w:noWrap/>
            <w:tcMar>
              <w:top w:w="0" w:type="dxa"/>
              <w:left w:w="8" w:type="dxa"/>
              <w:bottom w:w="8" w:type="dxa"/>
              <w:right w:w="8" w:type="dxa"/>
            </w:tcMar>
            <w:vAlign w:val="center"/>
          </w:tcPr>
          <w:p w14:paraId="3B741E6B">
            <w:pPr>
              <w:pStyle w:val="15"/>
              <w:spacing w:line="360" w:lineRule="auto"/>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80</w:t>
            </w:r>
          </w:p>
        </w:tc>
      </w:tr>
      <w:tr w14:paraId="42575BD5">
        <w:tblPrEx>
          <w:tblCellMar>
            <w:top w:w="0" w:type="dxa"/>
            <w:left w:w="0" w:type="dxa"/>
            <w:bottom w:w="0" w:type="dxa"/>
            <w:right w:w="0" w:type="dxa"/>
          </w:tblCellMar>
        </w:tblPrEx>
        <w:trPr>
          <w:cantSplit/>
          <w:trHeight w:val="384"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0D09CACC">
            <w:pPr>
              <w:keepNext/>
              <w:keepLines/>
              <w:spacing w:before="340" w:after="330" w:line="360" w:lineRule="auto"/>
              <w:rPr>
                <w:rFonts w:ascii="Times New Roman" w:hAnsi="Times New Roman" w:cs="Times New Roman"/>
                <w:szCs w:val="21"/>
              </w:rPr>
            </w:pPr>
          </w:p>
        </w:tc>
        <w:tc>
          <w:tcPr>
            <w:tcW w:w="1559" w:type="dxa"/>
            <w:vMerge w:val="continue"/>
            <w:tcBorders>
              <w:top w:val="single" w:color="auto" w:sz="4" w:space="0"/>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72D1945B">
            <w:pPr>
              <w:pStyle w:val="15"/>
              <w:spacing w:line="360" w:lineRule="auto"/>
              <w:ind w:firstLine="77" w:firstLineChars="37"/>
              <w:jc w:val="left"/>
              <w:rPr>
                <w:rFonts w:ascii="Times New Roman" w:hAnsi="Times New Roman" w:cs="Times New Roman"/>
                <w:szCs w:val="21"/>
              </w:rPr>
            </w:pPr>
          </w:p>
        </w:tc>
        <w:tc>
          <w:tcPr>
            <w:tcW w:w="1802" w:type="dxa"/>
            <w:tcBorders>
              <w:top w:val="single" w:color="auto" w:sz="4" w:space="0"/>
              <w:bottom w:val="single" w:color="auto" w:sz="4" w:space="0"/>
              <w:right w:val="single" w:color="000000" w:sz="6" w:space="0"/>
            </w:tcBorders>
            <w:noWrap/>
            <w:tcMar>
              <w:top w:w="0" w:type="dxa"/>
              <w:left w:w="0" w:type="dxa"/>
              <w:bottom w:w="8" w:type="dxa"/>
              <w:right w:w="8" w:type="dxa"/>
            </w:tcMar>
            <w:vAlign w:val="center"/>
          </w:tcPr>
          <w:p w14:paraId="6A73AD3E">
            <w:pPr>
              <w:pStyle w:val="15"/>
              <w:spacing w:line="360" w:lineRule="auto"/>
              <w:ind w:firstLine="77" w:firstLineChars="37"/>
              <w:jc w:val="left"/>
              <w:rPr>
                <w:rFonts w:ascii="Times New Roman" w:hAnsi="Times New Roman" w:cs="Times New Roman"/>
                <w:color w:val="auto"/>
                <w:szCs w:val="21"/>
              </w:rPr>
            </w:pPr>
            <w:r>
              <w:rPr>
                <w:rFonts w:ascii="Times New Roman" w:hAnsi="Times New Roman" w:cs="Times New Roman"/>
                <w:szCs w:val="21"/>
              </w:rPr>
              <w:t>低压主回路</w:t>
            </w:r>
          </w:p>
        </w:tc>
        <w:tc>
          <w:tcPr>
            <w:tcW w:w="691" w:type="dxa"/>
            <w:tcBorders>
              <w:top w:val="single" w:color="auto" w:sz="4" w:space="0"/>
              <w:bottom w:val="single" w:color="auto" w:sz="4" w:space="0"/>
              <w:right w:val="single" w:color="000000" w:sz="6" w:space="0"/>
            </w:tcBorders>
            <w:noWrap/>
            <w:tcMar>
              <w:top w:w="0" w:type="dxa"/>
              <w:left w:w="8" w:type="dxa"/>
              <w:bottom w:w="8" w:type="dxa"/>
              <w:right w:w="8" w:type="dxa"/>
            </w:tcMar>
            <w:vAlign w:val="center"/>
          </w:tcPr>
          <w:p w14:paraId="3E776F6A">
            <w:pPr>
              <w:pStyle w:val="15"/>
              <w:spacing w:line="360" w:lineRule="auto"/>
              <w:jc w:val="center"/>
              <w:rPr>
                <w:rFonts w:ascii="Times New Roman" w:hAnsi="Times New Roman" w:cs="Times New Roman"/>
                <w:color w:val="auto"/>
                <w:szCs w:val="21"/>
              </w:rPr>
            </w:pPr>
            <w:r>
              <w:rPr>
                <w:rFonts w:ascii="Times New Roman" w:hAnsi="Times New Roman" w:cs="Times New Roman"/>
                <w:color w:val="auto"/>
                <w:szCs w:val="21"/>
              </w:rPr>
              <w:t>kA</w:t>
            </w:r>
          </w:p>
        </w:tc>
        <w:tc>
          <w:tcPr>
            <w:tcW w:w="2995" w:type="dxa"/>
            <w:tcBorders>
              <w:top w:val="single" w:color="auto" w:sz="4" w:space="0"/>
              <w:bottom w:val="single" w:color="000000" w:sz="6" w:space="0"/>
              <w:right w:val="single" w:color="000000" w:sz="6" w:space="0"/>
            </w:tcBorders>
            <w:noWrap/>
            <w:tcMar>
              <w:top w:w="0" w:type="dxa"/>
              <w:left w:w="8" w:type="dxa"/>
              <w:bottom w:w="8" w:type="dxa"/>
              <w:right w:w="8" w:type="dxa"/>
            </w:tcMar>
            <w:vAlign w:val="center"/>
          </w:tcPr>
          <w:p w14:paraId="7163C41F">
            <w:pPr>
              <w:pStyle w:val="15"/>
              <w:spacing w:line="360" w:lineRule="auto"/>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105</w:t>
            </w:r>
          </w:p>
        </w:tc>
      </w:tr>
      <w:tr w14:paraId="011578B6">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5610CF7E">
            <w:pPr>
              <w:keepNext/>
              <w:keepLines/>
              <w:spacing w:before="340" w:after="330" w:line="360" w:lineRule="auto"/>
              <w:rPr>
                <w:rFonts w:ascii="Times New Roman" w:hAnsi="Times New Roman" w:cs="Times New Roman"/>
                <w:szCs w:val="21"/>
              </w:rPr>
            </w:pPr>
          </w:p>
        </w:tc>
        <w:tc>
          <w:tcPr>
            <w:tcW w:w="1559" w:type="dxa"/>
            <w:vMerge w:val="restart"/>
            <w:tcBorders>
              <w:top w:val="single" w:color="auto" w:sz="4" w:space="0"/>
              <w:left w:val="single" w:color="000000" w:sz="6" w:space="0"/>
              <w:right w:val="single" w:color="000000" w:sz="6" w:space="0"/>
            </w:tcBorders>
            <w:noWrap/>
            <w:vAlign w:val="center"/>
          </w:tcPr>
          <w:p w14:paraId="513B17B4">
            <w:pPr>
              <w:keepNext/>
              <w:keepLines/>
              <w:spacing w:before="340" w:after="330" w:line="360" w:lineRule="auto"/>
              <w:rPr>
                <w:rFonts w:ascii="Times New Roman" w:hAnsi="Times New Roman" w:cs="Times New Roman"/>
                <w:szCs w:val="21"/>
              </w:rPr>
            </w:pPr>
            <w:r>
              <w:rPr>
                <w:rFonts w:ascii="Times New Roman" w:hAnsi="Times New Roman" w:cs="Times New Roman"/>
                <w:szCs w:val="21"/>
              </w:rPr>
              <w:t>1min工频耐压</w:t>
            </w:r>
          </w:p>
        </w:tc>
        <w:tc>
          <w:tcPr>
            <w:tcW w:w="1802" w:type="dxa"/>
            <w:tcBorders>
              <w:top w:val="single" w:color="auto" w:sz="4" w:space="0"/>
              <w:left w:val="single" w:color="000000" w:sz="6" w:space="0"/>
              <w:bottom w:val="single" w:color="000000" w:sz="6" w:space="0"/>
              <w:right w:val="single" w:color="000000" w:sz="6" w:space="0"/>
            </w:tcBorders>
            <w:shd w:val="clear" w:color="auto" w:fill="auto"/>
            <w:noWrap/>
            <w:tcMar>
              <w:top w:w="0" w:type="dxa"/>
              <w:left w:w="8" w:type="dxa"/>
              <w:bottom w:w="8" w:type="dxa"/>
              <w:right w:w="8" w:type="dxa"/>
            </w:tcMar>
            <w:vAlign w:val="center"/>
          </w:tcPr>
          <w:p w14:paraId="6930211E">
            <w:pPr>
              <w:pStyle w:val="15"/>
              <w:spacing w:line="360" w:lineRule="auto"/>
              <w:ind w:firstLine="77" w:firstLineChars="37"/>
              <w:jc w:val="left"/>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lang w:val="en-US" w:eastAsia="zh-CN"/>
              </w:rPr>
              <w:t>高</w:t>
            </w:r>
            <w:r>
              <w:rPr>
                <w:rFonts w:ascii="Times New Roman" w:hAnsi="Times New Roman" w:cs="Times New Roman"/>
                <w:szCs w:val="21"/>
              </w:rPr>
              <w:t>压主回路</w:t>
            </w:r>
          </w:p>
        </w:tc>
        <w:tc>
          <w:tcPr>
            <w:tcW w:w="691" w:type="dxa"/>
            <w:tcBorders>
              <w:bottom w:val="single" w:color="000000" w:sz="6" w:space="0"/>
              <w:right w:val="single" w:color="000000" w:sz="6" w:space="0"/>
            </w:tcBorders>
            <w:shd w:val="clear" w:color="auto" w:fill="auto"/>
            <w:noWrap/>
            <w:tcMar>
              <w:top w:w="0" w:type="dxa"/>
              <w:left w:w="0" w:type="dxa"/>
              <w:bottom w:w="8" w:type="dxa"/>
              <w:right w:w="8" w:type="dxa"/>
            </w:tcMar>
            <w:vAlign w:val="center"/>
          </w:tcPr>
          <w:p w14:paraId="5C328456">
            <w:pPr>
              <w:pStyle w:val="15"/>
              <w:spacing w:line="360" w:lineRule="auto"/>
              <w:jc w:val="center"/>
              <w:rPr>
                <w:rFonts w:ascii="Times New Roman" w:hAnsi="Times New Roman" w:cs="Times New Roman" w:eastAsiaTheme="minorEastAsia"/>
                <w:kern w:val="2"/>
                <w:sz w:val="21"/>
                <w:szCs w:val="21"/>
                <w:lang w:val="en-US" w:eastAsia="zh-CN" w:bidi="ar-SA"/>
              </w:rPr>
            </w:pPr>
            <w:r>
              <w:rPr>
                <w:rFonts w:ascii="Times New Roman" w:hAnsi="Times New Roman" w:cs="Times New Roman"/>
                <w:szCs w:val="21"/>
              </w:rPr>
              <w:t>kV</w:t>
            </w:r>
          </w:p>
        </w:tc>
        <w:tc>
          <w:tcPr>
            <w:tcW w:w="2995" w:type="dxa"/>
            <w:tcBorders>
              <w:bottom w:val="single" w:color="000000" w:sz="6" w:space="0"/>
              <w:right w:val="single" w:color="000000" w:sz="6" w:space="0"/>
            </w:tcBorders>
            <w:noWrap/>
            <w:tcMar>
              <w:top w:w="0" w:type="dxa"/>
              <w:left w:w="8" w:type="dxa"/>
              <w:bottom w:w="8" w:type="dxa"/>
              <w:right w:w="8" w:type="dxa"/>
            </w:tcMar>
            <w:vAlign w:val="center"/>
          </w:tcPr>
          <w:p w14:paraId="7958FD7E">
            <w:pPr>
              <w:pStyle w:val="15"/>
              <w:spacing w:line="360" w:lineRule="auto"/>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42</w:t>
            </w:r>
          </w:p>
        </w:tc>
      </w:tr>
      <w:tr w14:paraId="0A613622">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356A0F8F">
            <w:pPr>
              <w:keepNext/>
              <w:keepLines/>
              <w:spacing w:before="340" w:after="330" w:line="360" w:lineRule="auto"/>
              <w:rPr>
                <w:rFonts w:ascii="Times New Roman" w:hAnsi="Times New Roman" w:cs="Times New Roman"/>
                <w:szCs w:val="21"/>
              </w:rPr>
            </w:pPr>
          </w:p>
        </w:tc>
        <w:tc>
          <w:tcPr>
            <w:tcW w:w="1559" w:type="dxa"/>
            <w:vMerge w:val="continue"/>
            <w:tcBorders>
              <w:left w:val="single" w:color="000000" w:sz="6" w:space="0"/>
              <w:right w:val="single" w:color="000000" w:sz="6" w:space="0"/>
            </w:tcBorders>
            <w:noWrap/>
            <w:vAlign w:val="center"/>
          </w:tcPr>
          <w:p w14:paraId="54D31184">
            <w:pPr>
              <w:keepNext/>
              <w:keepLines/>
              <w:spacing w:before="340" w:after="330" w:line="360" w:lineRule="auto"/>
              <w:rPr>
                <w:rFonts w:ascii="Times New Roman" w:hAnsi="Times New Roman" w:cs="Times New Roman"/>
                <w:szCs w:val="21"/>
              </w:rPr>
            </w:pPr>
          </w:p>
        </w:tc>
        <w:tc>
          <w:tcPr>
            <w:tcW w:w="1802" w:type="dxa"/>
            <w:tcBorders>
              <w:top w:val="single" w:color="auto" w:sz="4" w:space="0"/>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4C8B3D96">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低压主回路</w:t>
            </w:r>
          </w:p>
        </w:tc>
        <w:tc>
          <w:tcPr>
            <w:tcW w:w="691" w:type="dxa"/>
            <w:tcBorders>
              <w:bottom w:val="single" w:color="000000" w:sz="6" w:space="0"/>
              <w:right w:val="single" w:color="000000" w:sz="6" w:space="0"/>
            </w:tcBorders>
            <w:noWrap/>
            <w:tcMar>
              <w:top w:w="0" w:type="dxa"/>
              <w:left w:w="0" w:type="dxa"/>
              <w:bottom w:w="8" w:type="dxa"/>
              <w:right w:w="8" w:type="dxa"/>
            </w:tcMar>
            <w:vAlign w:val="center"/>
          </w:tcPr>
          <w:p w14:paraId="315922ED">
            <w:pPr>
              <w:pStyle w:val="15"/>
              <w:spacing w:line="360" w:lineRule="auto"/>
              <w:jc w:val="center"/>
              <w:rPr>
                <w:rFonts w:ascii="Times New Roman" w:hAnsi="Times New Roman" w:cs="Times New Roman"/>
                <w:szCs w:val="21"/>
              </w:rPr>
            </w:pPr>
            <w:r>
              <w:rPr>
                <w:rFonts w:ascii="Times New Roman" w:hAnsi="Times New Roman" w:cs="Times New Roman"/>
                <w:szCs w:val="21"/>
              </w:rPr>
              <w:t>kV</w:t>
            </w:r>
          </w:p>
        </w:tc>
        <w:tc>
          <w:tcPr>
            <w:tcW w:w="2995" w:type="dxa"/>
            <w:tcBorders>
              <w:bottom w:val="single" w:color="000000" w:sz="6" w:space="0"/>
              <w:right w:val="single" w:color="000000" w:sz="6" w:space="0"/>
            </w:tcBorders>
            <w:noWrap/>
            <w:tcMar>
              <w:top w:w="0" w:type="dxa"/>
              <w:left w:w="8" w:type="dxa"/>
              <w:bottom w:w="8" w:type="dxa"/>
              <w:right w:w="8" w:type="dxa"/>
            </w:tcMar>
            <w:vAlign w:val="center"/>
          </w:tcPr>
          <w:p w14:paraId="2443B6C1">
            <w:pPr>
              <w:pStyle w:val="15"/>
              <w:spacing w:line="360" w:lineRule="auto"/>
              <w:jc w:val="center"/>
              <w:rPr>
                <w:rFonts w:ascii="Times New Roman" w:hAnsi="Times New Roman" w:cs="Times New Roman"/>
                <w:szCs w:val="21"/>
              </w:rPr>
            </w:pPr>
            <w:r>
              <w:rPr>
                <w:rFonts w:ascii="Times New Roman" w:hAnsi="Times New Roman" w:cs="Times New Roman"/>
                <w:szCs w:val="21"/>
              </w:rPr>
              <w:t>2.5</w:t>
            </w:r>
          </w:p>
        </w:tc>
      </w:tr>
      <w:tr w14:paraId="3F7CF65D">
        <w:tblPrEx>
          <w:tblCellMar>
            <w:top w:w="0" w:type="dxa"/>
            <w:left w:w="0" w:type="dxa"/>
            <w:bottom w:w="0" w:type="dxa"/>
            <w:right w:w="0" w:type="dxa"/>
          </w:tblCellMar>
        </w:tblPrEx>
        <w:trPr>
          <w:cantSplit/>
          <w:trHeight w:val="279"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139F2215">
            <w:pPr>
              <w:keepNext/>
              <w:keepLines/>
              <w:spacing w:before="340" w:after="330" w:line="360" w:lineRule="auto"/>
              <w:rPr>
                <w:rFonts w:ascii="Times New Roman" w:hAnsi="Times New Roman" w:cs="Times New Roman"/>
                <w:szCs w:val="21"/>
              </w:rPr>
            </w:pPr>
          </w:p>
        </w:tc>
        <w:tc>
          <w:tcPr>
            <w:tcW w:w="1559" w:type="dxa"/>
            <w:vMerge w:val="continue"/>
            <w:tcBorders>
              <w:left w:val="single" w:color="000000" w:sz="6" w:space="0"/>
              <w:bottom w:val="single" w:color="auto" w:sz="4" w:space="0"/>
              <w:right w:val="single" w:color="000000" w:sz="6" w:space="0"/>
            </w:tcBorders>
            <w:noWrap/>
            <w:vAlign w:val="center"/>
          </w:tcPr>
          <w:p w14:paraId="5EFB7C30">
            <w:pPr>
              <w:keepNext/>
              <w:keepLines/>
              <w:spacing w:before="340" w:after="330" w:line="360" w:lineRule="auto"/>
              <w:rPr>
                <w:rFonts w:ascii="Times New Roman" w:hAnsi="Times New Roman" w:cs="Times New Roman"/>
                <w:szCs w:val="21"/>
              </w:rPr>
            </w:pPr>
          </w:p>
        </w:tc>
        <w:tc>
          <w:tcPr>
            <w:tcW w:w="1802" w:type="dxa"/>
            <w:tcBorders>
              <w:top w:val="single" w:color="auto" w:sz="4" w:space="0"/>
              <w:left w:val="single" w:color="000000" w:sz="6" w:space="0"/>
              <w:bottom w:val="single" w:color="auto" w:sz="4" w:space="0"/>
              <w:right w:val="single" w:color="000000" w:sz="6" w:space="0"/>
            </w:tcBorders>
            <w:shd w:val="clear" w:color="auto" w:fill="auto"/>
            <w:noWrap/>
            <w:tcMar>
              <w:top w:w="0" w:type="dxa"/>
              <w:left w:w="8" w:type="dxa"/>
              <w:bottom w:w="8" w:type="dxa"/>
              <w:right w:w="8" w:type="dxa"/>
            </w:tcMar>
            <w:vAlign w:val="center"/>
          </w:tcPr>
          <w:p w14:paraId="71A2A9BF">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辅助回路</w:t>
            </w:r>
          </w:p>
        </w:tc>
        <w:tc>
          <w:tcPr>
            <w:tcW w:w="691" w:type="dxa"/>
            <w:tcBorders>
              <w:bottom w:val="single" w:color="000000" w:sz="6" w:space="0"/>
              <w:right w:val="single" w:color="000000" w:sz="6" w:space="0"/>
            </w:tcBorders>
            <w:shd w:val="clear" w:color="auto" w:fill="auto"/>
            <w:noWrap/>
            <w:tcMar>
              <w:top w:w="0" w:type="dxa"/>
              <w:left w:w="0" w:type="dxa"/>
              <w:bottom w:w="8" w:type="dxa"/>
              <w:right w:w="8" w:type="dxa"/>
            </w:tcMar>
            <w:vAlign w:val="center"/>
          </w:tcPr>
          <w:p w14:paraId="3C4E7ED4">
            <w:pPr>
              <w:pStyle w:val="15"/>
              <w:spacing w:line="360" w:lineRule="auto"/>
              <w:jc w:val="center"/>
              <w:rPr>
                <w:rFonts w:ascii="Times New Roman" w:hAnsi="Times New Roman" w:cs="Times New Roman"/>
                <w:szCs w:val="21"/>
              </w:rPr>
            </w:pPr>
            <w:r>
              <w:rPr>
                <w:rFonts w:ascii="Times New Roman" w:hAnsi="Times New Roman" w:cs="Times New Roman"/>
                <w:szCs w:val="21"/>
              </w:rPr>
              <w:t>kV</w:t>
            </w:r>
          </w:p>
        </w:tc>
        <w:tc>
          <w:tcPr>
            <w:tcW w:w="2995" w:type="dxa"/>
            <w:tcBorders>
              <w:bottom w:val="single" w:color="000000" w:sz="6" w:space="0"/>
              <w:right w:val="single" w:color="000000" w:sz="6" w:space="0"/>
            </w:tcBorders>
            <w:shd w:val="clear" w:color="auto" w:fill="auto"/>
            <w:noWrap/>
            <w:tcMar>
              <w:top w:w="0" w:type="dxa"/>
              <w:left w:w="8" w:type="dxa"/>
              <w:bottom w:w="8" w:type="dxa"/>
              <w:right w:w="8" w:type="dxa"/>
            </w:tcMar>
            <w:vAlign w:val="center"/>
          </w:tcPr>
          <w:p w14:paraId="5266B2E2">
            <w:pPr>
              <w:pStyle w:val="15"/>
              <w:spacing w:line="360" w:lineRule="auto"/>
              <w:ind w:firstLine="77" w:firstLineChars="37"/>
              <w:jc w:val="center"/>
              <w:rPr>
                <w:rFonts w:ascii="Times New Roman" w:hAnsi="Times New Roman" w:cs="Times New Roman"/>
                <w:szCs w:val="21"/>
              </w:rPr>
            </w:pPr>
            <w:r>
              <w:rPr>
                <w:rFonts w:ascii="Times New Roman" w:hAnsi="Times New Roman" w:cs="Times New Roman"/>
                <w:szCs w:val="21"/>
              </w:rPr>
              <w:t>2</w:t>
            </w:r>
          </w:p>
        </w:tc>
      </w:tr>
      <w:tr w14:paraId="23EA785F">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77F4BF9B">
            <w:pPr>
              <w:keepNext/>
              <w:keepLines/>
              <w:spacing w:before="340" w:after="330" w:line="360" w:lineRule="auto"/>
              <w:rPr>
                <w:rFonts w:ascii="Times New Roman" w:hAnsi="Times New Roman" w:cs="Times New Roman"/>
                <w:szCs w:val="21"/>
              </w:rPr>
            </w:pPr>
          </w:p>
        </w:tc>
        <w:tc>
          <w:tcPr>
            <w:tcW w:w="3361" w:type="dxa"/>
            <w:gridSpan w:val="2"/>
            <w:tcBorders>
              <w:top w:val="single" w:color="auto" w:sz="4" w:space="0"/>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7614EA24">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防护等级</w:t>
            </w:r>
          </w:p>
        </w:tc>
        <w:tc>
          <w:tcPr>
            <w:tcW w:w="691" w:type="dxa"/>
            <w:tcBorders>
              <w:bottom w:val="single" w:color="000000" w:sz="6" w:space="0"/>
              <w:right w:val="single" w:color="000000" w:sz="6" w:space="0"/>
            </w:tcBorders>
            <w:noWrap/>
            <w:tcMar>
              <w:top w:w="0" w:type="dxa"/>
              <w:left w:w="0" w:type="dxa"/>
              <w:bottom w:w="8" w:type="dxa"/>
              <w:right w:w="8" w:type="dxa"/>
            </w:tcMar>
            <w:vAlign w:val="center"/>
          </w:tcPr>
          <w:p w14:paraId="232A968B">
            <w:pPr>
              <w:pStyle w:val="15"/>
              <w:spacing w:line="360" w:lineRule="auto"/>
              <w:jc w:val="center"/>
              <w:rPr>
                <w:rFonts w:ascii="Times New Roman" w:hAnsi="Times New Roman" w:cs="Times New Roman"/>
                <w:szCs w:val="21"/>
              </w:rPr>
            </w:pPr>
          </w:p>
        </w:tc>
        <w:tc>
          <w:tcPr>
            <w:tcW w:w="2995" w:type="dxa"/>
            <w:tcBorders>
              <w:bottom w:val="single" w:color="000000" w:sz="6" w:space="0"/>
              <w:right w:val="single" w:color="000000" w:sz="6" w:space="0"/>
            </w:tcBorders>
            <w:noWrap/>
            <w:tcMar>
              <w:top w:w="0" w:type="dxa"/>
              <w:left w:w="8" w:type="dxa"/>
              <w:bottom w:w="8" w:type="dxa"/>
              <w:right w:w="8" w:type="dxa"/>
            </w:tcMar>
            <w:vAlign w:val="center"/>
          </w:tcPr>
          <w:p w14:paraId="2DC95BC2">
            <w:pPr>
              <w:pStyle w:val="15"/>
              <w:spacing w:line="360" w:lineRule="auto"/>
              <w:jc w:val="center"/>
              <w:rPr>
                <w:rFonts w:ascii="Times New Roman" w:hAnsi="Times New Roman" w:cs="Times New Roman"/>
                <w:szCs w:val="21"/>
              </w:rPr>
            </w:pPr>
            <w:r>
              <w:rPr>
                <w:rFonts w:ascii="Times New Roman" w:hAnsi="Times New Roman" w:cs="Times New Roman"/>
                <w:szCs w:val="21"/>
              </w:rPr>
              <w:t>不低于IP3X</w:t>
            </w:r>
          </w:p>
        </w:tc>
      </w:tr>
      <w:tr w14:paraId="370FDF7F">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5BA6D69E">
            <w:pPr>
              <w:keepNext/>
              <w:keepLines/>
              <w:spacing w:before="340" w:after="330" w:line="360" w:lineRule="auto"/>
              <w:rPr>
                <w:rFonts w:ascii="Times New Roman" w:hAnsi="Times New Roman" w:cs="Times New Roman"/>
                <w:szCs w:val="21"/>
              </w:rPr>
            </w:pPr>
          </w:p>
        </w:tc>
        <w:tc>
          <w:tcPr>
            <w:tcW w:w="3361"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2FAAC283">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噪声水平</w:t>
            </w:r>
          </w:p>
        </w:tc>
        <w:tc>
          <w:tcPr>
            <w:tcW w:w="691" w:type="dxa"/>
            <w:tcBorders>
              <w:bottom w:val="single" w:color="000000" w:sz="6" w:space="0"/>
              <w:right w:val="single" w:color="000000" w:sz="6" w:space="0"/>
            </w:tcBorders>
            <w:noWrap/>
            <w:tcMar>
              <w:top w:w="0" w:type="dxa"/>
              <w:left w:w="0" w:type="dxa"/>
              <w:bottom w:w="8" w:type="dxa"/>
              <w:right w:w="8" w:type="dxa"/>
            </w:tcMar>
            <w:vAlign w:val="center"/>
          </w:tcPr>
          <w:p w14:paraId="5FD31011">
            <w:pPr>
              <w:pStyle w:val="15"/>
              <w:spacing w:line="360" w:lineRule="auto"/>
              <w:jc w:val="center"/>
              <w:rPr>
                <w:rFonts w:ascii="Times New Roman" w:hAnsi="Times New Roman" w:cs="Times New Roman"/>
                <w:szCs w:val="21"/>
              </w:rPr>
            </w:pPr>
            <w:r>
              <w:rPr>
                <w:rFonts w:ascii="Times New Roman" w:hAnsi="Times New Roman" w:cs="Times New Roman"/>
                <w:szCs w:val="21"/>
              </w:rPr>
              <w:t>dB</w:t>
            </w:r>
          </w:p>
        </w:tc>
        <w:tc>
          <w:tcPr>
            <w:tcW w:w="2995" w:type="dxa"/>
            <w:tcBorders>
              <w:bottom w:val="single" w:color="000000" w:sz="6" w:space="0"/>
              <w:right w:val="single" w:color="000000" w:sz="6" w:space="0"/>
            </w:tcBorders>
            <w:noWrap/>
            <w:tcMar>
              <w:top w:w="0" w:type="dxa"/>
              <w:left w:w="8" w:type="dxa"/>
              <w:bottom w:w="8" w:type="dxa"/>
              <w:right w:w="8" w:type="dxa"/>
            </w:tcMar>
            <w:vAlign w:val="center"/>
          </w:tcPr>
          <w:p w14:paraId="164596F2">
            <w:pPr>
              <w:pStyle w:val="15"/>
              <w:spacing w:line="360" w:lineRule="auto"/>
              <w:jc w:val="center"/>
              <w:rPr>
                <w:rFonts w:ascii="Times New Roman" w:hAnsi="Times New Roman" w:cs="Times New Roman"/>
                <w:szCs w:val="21"/>
              </w:rPr>
            </w:pPr>
            <w:r>
              <w:rPr>
                <w:rFonts w:ascii="Times New Roman" w:hAnsi="Times New Roman" w:cs="Times New Roman"/>
                <w:szCs w:val="21"/>
              </w:rPr>
              <w:t>≤45dB</w:t>
            </w:r>
          </w:p>
        </w:tc>
      </w:tr>
    </w:tbl>
    <w:p w14:paraId="5CB752EE">
      <w:pPr>
        <w:pStyle w:val="9"/>
        <w:spacing w:line="360" w:lineRule="auto"/>
        <w:ind w:firstLine="480"/>
        <w:jc w:val="center"/>
        <w:rPr>
          <w:rFonts w:hint="eastAsia" w:asciiTheme="minorEastAsia" w:hAnsiTheme="minorEastAsia" w:cstheme="minorEastAsia"/>
          <w:sz w:val="24"/>
          <w:szCs w:val="24"/>
        </w:rPr>
      </w:pPr>
    </w:p>
    <w:p w14:paraId="56727781">
      <w:pPr>
        <w:pStyle w:val="9"/>
        <w:spacing w:line="360" w:lineRule="auto"/>
        <w:ind w:firstLine="480"/>
        <w:jc w:val="center"/>
        <w:rPr>
          <w:rFonts w:hint="eastAsia" w:asciiTheme="minorEastAsia" w:hAnsiTheme="minorEastAsia" w:cstheme="minorEastAsia"/>
          <w:b/>
          <w:bCs/>
          <w:sz w:val="24"/>
          <w:szCs w:val="24"/>
        </w:rPr>
      </w:pPr>
      <w:r>
        <w:rPr>
          <w:rFonts w:hint="eastAsia" w:asciiTheme="minorEastAsia" w:hAnsiTheme="minorEastAsia" w:cstheme="minorEastAsia"/>
          <w:sz w:val="24"/>
          <w:szCs w:val="24"/>
        </w:rPr>
        <w:t>表二 变</w:t>
      </w:r>
      <w:r>
        <w:rPr>
          <w:rFonts w:hint="eastAsia" w:asciiTheme="minorEastAsia" w:hAnsiTheme="minorEastAsia" w:cstheme="minorEastAsia"/>
          <w:color w:val="auto"/>
          <w:sz w:val="24"/>
          <w:szCs w:val="24"/>
        </w:rPr>
        <w:t>压器技术参数</w:t>
      </w:r>
      <w:r>
        <w:rPr>
          <w:rFonts w:hint="eastAsia" w:asciiTheme="minorEastAsia" w:hAnsiTheme="minorEastAsia" w:cstheme="minorEastAsia"/>
          <w:b/>
          <w:bCs/>
          <w:color w:val="auto"/>
          <w:sz w:val="24"/>
          <w:szCs w:val="24"/>
        </w:rPr>
        <w:t>（</w:t>
      </w:r>
      <w:r>
        <w:rPr>
          <w:rFonts w:hint="eastAsia" w:asciiTheme="minorEastAsia" w:hAnsiTheme="minorEastAsia" w:cstheme="minorEastAsia"/>
          <w:b/>
          <w:bCs/>
          <w:color w:val="auto"/>
          <w:sz w:val="24"/>
          <w:szCs w:val="24"/>
          <w:lang w:val="en-US" w:eastAsia="zh-CN"/>
        </w:rPr>
        <w:t>买方提</w:t>
      </w:r>
      <w:r>
        <w:rPr>
          <w:rFonts w:hint="eastAsia" w:asciiTheme="minorEastAsia" w:hAnsiTheme="minorEastAsia" w:cstheme="minorEastAsia"/>
          <w:b/>
          <w:bCs/>
          <w:color w:val="auto"/>
          <w:sz w:val="24"/>
          <w:szCs w:val="24"/>
        </w:rPr>
        <w:t>供</w:t>
      </w:r>
      <w:r>
        <w:rPr>
          <w:rFonts w:hint="eastAsia" w:asciiTheme="minorEastAsia" w:hAnsiTheme="minorEastAsia" w:cstheme="minorEastAsia"/>
          <w:b/>
          <w:bCs/>
          <w:color w:val="auto"/>
          <w:sz w:val="24"/>
          <w:szCs w:val="24"/>
          <w:lang w:val="en-US" w:eastAsia="zh-CN"/>
        </w:rPr>
        <w:t>变压器</w:t>
      </w:r>
      <w:r>
        <w:rPr>
          <w:rFonts w:hint="eastAsia" w:asciiTheme="minorEastAsia" w:hAnsiTheme="minorEastAsia" w:cstheme="minorEastAsia"/>
          <w:b/>
          <w:bCs/>
          <w:color w:val="auto"/>
          <w:sz w:val="24"/>
          <w:szCs w:val="24"/>
        </w:rPr>
        <w:t>）</w:t>
      </w:r>
    </w:p>
    <w:tbl>
      <w:tblPr>
        <w:tblStyle w:val="20"/>
        <w:tblW w:w="8624" w:type="dxa"/>
        <w:jc w:val="center"/>
        <w:tblLayout w:type="fixed"/>
        <w:tblCellMar>
          <w:top w:w="0" w:type="dxa"/>
          <w:left w:w="0" w:type="dxa"/>
          <w:bottom w:w="0" w:type="dxa"/>
          <w:right w:w="0" w:type="dxa"/>
        </w:tblCellMar>
      </w:tblPr>
      <w:tblGrid>
        <w:gridCol w:w="1577"/>
        <w:gridCol w:w="1017"/>
        <w:gridCol w:w="1146"/>
        <w:gridCol w:w="1058"/>
        <w:gridCol w:w="3826"/>
      </w:tblGrid>
      <w:tr w14:paraId="53BD1F61">
        <w:tblPrEx>
          <w:tblCellMar>
            <w:top w:w="0" w:type="dxa"/>
            <w:left w:w="0" w:type="dxa"/>
            <w:bottom w:w="0" w:type="dxa"/>
            <w:right w:w="0" w:type="dxa"/>
          </w:tblCellMar>
        </w:tblPrEx>
        <w:trPr>
          <w:cantSplit/>
          <w:trHeight w:val="297" w:hRule="atLeast"/>
          <w:jc w:val="center"/>
        </w:trPr>
        <w:tc>
          <w:tcPr>
            <w:tcW w:w="1577" w:type="dxa"/>
            <w:vMerge w:val="restart"/>
            <w:tcBorders>
              <w:top w:val="single" w:color="000000" w:sz="6" w:space="0"/>
              <w:left w:val="single" w:color="000000" w:sz="6" w:space="0"/>
              <w:bottom w:val="single" w:color="000000" w:sz="6" w:space="0"/>
              <w:right w:val="single" w:color="000000" w:sz="6" w:space="0"/>
            </w:tcBorders>
            <w:noWrap/>
            <w:tcMar>
              <w:top w:w="8" w:type="dxa"/>
              <w:left w:w="8" w:type="dxa"/>
              <w:bottom w:w="8" w:type="dxa"/>
              <w:right w:w="8" w:type="dxa"/>
            </w:tcMar>
            <w:vAlign w:val="center"/>
          </w:tcPr>
          <w:p w14:paraId="5EC7A369">
            <w:pPr>
              <w:pStyle w:val="15"/>
              <w:pBdr>
                <w:top w:val="none" w:color="auto" w:sz="0" w:space="31"/>
              </w:pBdr>
              <w:spacing w:line="360" w:lineRule="auto"/>
              <w:ind w:firstLine="77" w:firstLineChars="37"/>
              <w:jc w:val="center"/>
              <w:rPr>
                <w:rFonts w:ascii="Times New Roman" w:hAnsi="Times New Roman" w:cs="Times New Roman"/>
                <w:szCs w:val="21"/>
              </w:rPr>
            </w:pPr>
            <w:r>
              <w:rPr>
                <w:rFonts w:ascii="Times New Roman" w:hAnsi="Times New Roman" w:cs="Times New Roman"/>
                <w:szCs w:val="21"/>
              </w:rPr>
              <w:t>变压器技术</w:t>
            </w:r>
          </w:p>
          <w:p w14:paraId="0DC178AB">
            <w:pPr>
              <w:pStyle w:val="15"/>
              <w:pBdr>
                <w:top w:val="none" w:color="auto" w:sz="0" w:space="31"/>
              </w:pBdr>
              <w:spacing w:line="360" w:lineRule="auto"/>
              <w:ind w:firstLine="77" w:firstLineChars="37"/>
              <w:jc w:val="center"/>
              <w:rPr>
                <w:rFonts w:ascii="Times New Roman" w:hAnsi="Times New Roman" w:cs="Times New Roman"/>
                <w:szCs w:val="21"/>
              </w:rPr>
            </w:pPr>
            <w:r>
              <w:rPr>
                <w:rFonts w:ascii="Times New Roman" w:hAnsi="Times New Roman" w:cs="Times New Roman"/>
                <w:szCs w:val="21"/>
              </w:rPr>
              <w:t>参数</w:t>
            </w:r>
          </w:p>
        </w:tc>
        <w:tc>
          <w:tcPr>
            <w:tcW w:w="2163" w:type="dxa"/>
            <w:gridSpan w:val="2"/>
            <w:tcBorders>
              <w:top w:val="single" w:color="000000" w:sz="6" w:space="0"/>
              <w:bottom w:val="single" w:color="000000" w:sz="6" w:space="0"/>
              <w:right w:val="single" w:color="000000" w:sz="6" w:space="0"/>
            </w:tcBorders>
            <w:noWrap/>
            <w:tcMar>
              <w:top w:w="8" w:type="dxa"/>
              <w:left w:w="0" w:type="dxa"/>
              <w:bottom w:w="8" w:type="dxa"/>
              <w:right w:w="8" w:type="dxa"/>
            </w:tcMar>
            <w:vAlign w:val="center"/>
          </w:tcPr>
          <w:p w14:paraId="672DA5F1">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型号</w:t>
            </w:r>
          </w:p>
        </w:tc>
        <w:tc>
          <w:tcPr>
            <w:tcW w:w="1058" w:type="dxa"/>
            <w:tcBorders>
              <w:top w:val="single" w:color="000000" w:sz="6" w:space="0"/>
              <w:bottom w:val="single" w:color="000000" w:sz="6" w:space="0"/>
              <w:right w:val="single" w:color="000000" w:sz="6" w:space="0"/>
            </w:tcBorders>
            <w:noWrap/>
            <w:tcMar>
              <w:top w:w="8" w:type="dxa"/>
              <w:left w:w="8" w:type="dxa"/>
              <w:bottom w:w="8" w:type="dxa"/>
              <w:right w:w="8" w:type="dxa"/>
            </w:tcMar>
            <w:vAlign w:val="center"/>
          </w:tcPr>
          <w:p w14:paraId="2BE07DD0">
            <w:pPr>
              <w:pStyle w:val="15"/>
              <w:spacing w:line="360" w:lineRule="auto"/>
              <w:ind w:firstLine="77" w:firstLineChars="37"/>
              <w:jc w:val="left"/>
              <w:rPr>
                <w:rFonts w:ascii="Times New Roman" w:hAnsi="Times New Roman" w:cs="Times New Roman"/>
                <w:szCs w:val="21"/>
              </w:rPr>
            </w:pPr>
          </w:p>
        </w:tc>
        <w:tc>
          <w:tcPr>
            <w:tcW w:w="3826" w:type="dxa"/>
            <w:tcBorders>
              <w:top w:val="single" w:color="000000" w:sz="6" w:space="0"/>
              <w:bottom w:val="single" w:color="000000" w:sz="6" w:space="0"/>
              <w:right w:val="single" w:color="000000" w:sz="6" w:space="0"/>
            </w:tcBorders>
            <w:noWrap/>
            <w:tcMar>
              <w:top w:w="8" w:type="dxa"/>
              <w:left w:w="8" w:type="dxa"/>
              <w:bottom w:w="8" w:type="dxa"/>
              <w:right w:w="8" w:type="dxa"/>
            </w:tcMar>
            <w:vAlign w:val="center"/>
          </w:tcPr>
          <w:p w14:paraId="6247EDCC">
            <w:pPr>
              <w:pStyle w:val="15"/>
              <w:spacing w:line="360" w:lineRule="auto"/>
              <w:ind w:left="145" w:leftChars="69"/>
              <w:jc w:val="center"/>
              <w:rPr>
                <w:rFonts w:hint="eastAsia" w:ascii="Times New Roman" w:hAnsi="Times New Roman" w:cs="Times New Roman"/>
                <w:szCs w:val="21"/>
              </w:rPr>
            </w:pPr>
            <w:r>
              <w:rPr>
                <w:rFonts w:hint="eastAsia" w:ascii="Times New Roman" w:hAnsi="Times New Roman" w:cs="Times New Roman"/>
                <w:szCs w:val="21"/>
              </w:rPr>
              <w:t>S20</w:t>
            </w:r>
          </w:p>
        </w:tc>
      </w:tr>
      <w:tr w14:paraId="5DDCBC86">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4B50B537">
            <w:pPr>
              <w:spacing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78C5F634">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容量</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2C71692E">
            <w:pPr>
              <w:pStyle w:val="15"/>
              <w:spacing w:line="360" w:lineRule="auto"/>
              <w:ind w:firstLine="77" w:firstLineChars="37"/>
              <w:jc w:val="center"/>
              <w:rPr>
                <w:rFonts w:ascii="Times New Roman" w:hAnsi="Times New Roman" w:cs="Times New Roman"/>
                <w:szCs w:val="21"/>
              </w:rPr>
            </w:pPr>
            <w:r>
              <w:rPr>
                <w:rFonts w:ascii="Times New Roman" w:hAnsi="Times New Roman" w:cs="Times New Roman"/>
                <w:szCs w:val="21"/>
              </w:rPr>
              <w:t>kVA</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5D5210AC">
            <w:pPr>
              <w:pStyle w:val="15"/>
              <w:spacing w:line="360" w:lineRule="auto"/>
              <w:ind w:firstLine="77" w:firstLineChars="37"/>
              <w:jc w:val="center"/>
              <w:rPr>
                <w:rFonts w:hint="eastAsia" w:ascii="Times New Roman" w:hAnsi="Times New Roman" w:cs="Times New Roman"/>
                <w:szCs w:val="21"/>
              </w:rPr>
            </w:pPr>
            <w:r>
              <w:rPr>
                <w:rFonts w:hint="eastAsia" w:ascii="Times New Roman" w:hAnsi="Times New Roman" w:cs="Times New Roman"/>
                <w:szCs w:val="21"/>
              </w:rPr>
              <w:t>1250</w:t>
            </w:r>
          </w:p>
        </w:tc>
      </w:tr>
      <w:tr w14:paraId="1281C246">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7BADDD23">
            <w:pPr>
              <w:keepNext/>
              <w:keepLines/>
              <w:spacing w:before="340" w:after="330" w:line="360" w:lineRule="auto"/>
              <w:rPr>
                <w:rFonts w:ascii="Times New Roman" w:hAnsi="Times New Roman" w:cs="Times New Roman"/>
                <w:szCs w:val="21"/>
              </w:rPr>
            </w:pPr>
          </w:p>
        </w:tc>
        <w:tc>
          <w:tcPr>
            <w:tcW w:w="1017" w:type="dxa"/>
            <w:vMerge w:val="restart"/>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567D66C4">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额定电压</w:t>
            </w:r>
          </w:p>
        </w:tc>
        <w:tc>
          <w:tcPr>
            <w:tcW w:w="1146" w:type="dxa"/>
            <w:tcBorders>
              <w:bottom w:val="single" w:color="000000" w:sz="6" w:space="0"/>
              <w:right w:val="single" w:color="000000" w:sz="6" w:space="0"/>
            </w:tcBorders>
            <w:noWrap/>
            <w:tcMar>
              <w:top w:w="0" w:type="dxa"/>
              <w:left w:w="0" w:type="dxa"/>
              <w:bottom w:w="8" w:type="dxa"/>
              <w:right w:w="8" w:type="dxa"/>
            </w:tcMar>
            <w:vAlign w:val="center"/>
          </w:tcPr>
          <w:p w14:paraId="33A88F52">
            <w:pPr>
              <w:pStyle w:val="19"/>
              <w:spacing w:line="360" w:lineRule="auto"/>
              <w:jc w:val="center"/>
              <w:rPr>
                <w:rFonts w:ascii="Times New Roman" w:hAnsi="Times New Roman" w:cs="Times New Roman"/>
                <w:szCs w:val="21"/>
              </w:rPr>
            </w:pPr>
            <w:r>
              <w:rPr>
                <w:rFonts w:ascii="Times New Roman" w:hAnsi="Times New Roman" w:cs="Times New Roman"/>
                <w:szCs w:val="21"/>
              </w:rPr>
              <w:t>HV</w:t>
            </w:r>
          </w:p>
        </w:tc>
        <w:tc>
          <w:tcPr>
            <w:tcW w:w="1058" w:type="dxa"/>
            <w:tcBorders>
              <w:bottom w:val="single" w:color="000000" w:sz="6" w:space="0"/>
              <w:right w:val="single" w:color="000000" w:sz="6" w:space="0"/>
            </w:tcBorders>
            <w:noWrap/>
            <w:tcMar>
              <w:top w:w="0" w:type="dxa"/>
              <w:left w:w="8" w:type="dxa"/>
              <w:bottom w:w="8" w:type="dxa"/>
              <w:right w:w="8" w:type="dxa"/>
            </w:tcMar>
            <w:vAlign w:val="center"/>
          </w:tcPr>
          <w:p w14:paraId="78D5C639">
            <w:pPr>
              <w:pStyle w:val="19"/>
              <w:spacing w:line="360" w:lineRule="auto"/>
              <w:jc w:val="center"/>
              <w:rPr>
                <w:rFonts w:ascii="Times New Roman" w:hAnsi="Times New Roman" w:cs="Times New Roman"/>
                <w:szCs w:val="21"/>
              </w:rPr>
            </w:pPr>
            <w:r>
              <w:rPr>
                <w:rFonts w:ascii="Times New Roman" w:hAnsi="Times New Roman" w:cs="Times New Roman"/>
                <w:szCs w:val="21"/>
              </w:rPr>
              <w:t>kV</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73FA4329">
            <w:pPr>
              <w:pStyle w:val="15"/>
              <w:spacing w:line="360" w:lineRule="auto"/>
              <w:ind w:firstLine="77" w:firstLineChars="37"/>
              <w:jc w:val="center"/>
              <w:rPr>
                <w:rFonts w:hint="eastAsia" w:ascii="Times New Roman" w:hAnsi="Times New Roman" w:cs="Times New Roman"/>
                <w:szCs w:val="21"/>
              </w:rPr>
            </w:pPr>
            <w:r>
              <w:rPr>
                <w:rFonts w:hint="eastAsia" w:ascii="Times New Roman" w:hAnsi="Times New Roman" w:cs="Times New Roman"/>
                <w:szCs w:val="21"/>
              </w:rPr>
              <w:t>10</w:t>
            </w:r>
          </w:p>
        </w:tc>
      </w:tr>
      <w:tr w14:paraId="40CEFB73">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1D143F6E">
            <w:pPr>
              <w:keepNext/>
              <w:keepLines/>
              <w:spacing w:before="340" w:after="330" w:line="360" w:lineRule="auto"/>
              <w:rPr>
                <w:rFonts w:ascii="Times New Roman" w:hAnsi="Times New Roman" w:cs="Times New Roman"/>
                <w:szCs w:val="21"/>
              </w:rPr>
            </w:pPr>
          </w:p>
        </w:tc>
        <w:tc>
          <w:tcPr>
            <w:tcW w:w="1017" w:type="dxa"/>
            <w:vMerge w:val="continue"/>
            <w:tcBorders>
              <w:left w:val="single" w:color="000000" w:sz="6" w:space="0"/>
              <w:bottom w:val="single" w:color="000000" w:sz="6" w:space="0"/>
              <w:right w:val="single" w:color="000000" w:sz="6" w:space="0"/>
            </w:tcBorders>
            <w:noWrap/>
            <w:vAlign w:val="center"/>
          </w:tcPr>
          <w:p w14:paraId="35280157">
            <w:pPr>
              <w:keepNext/>
              <w:keepLines/>
              <w:spacing w:before="340" w:after="330" w:line="360" w:lineRule="auto"/>
              <w:rPr>
                <w:rFonts w:ascii="Times New Roman" w:hAnsi="Times New Roman" w:cs="Times New Roman"/>
                <w:szCs w:val="21"/>
              </w:rPr>
            </w:pPr>
          </w:p>
        </w:tc>
        <w:tc>
          <w:tcPr>
            <w:tcW w:w="1146" w:type="dxa"/>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353A3B84">
            <w:pPr>
              <w:pStyle w:val="19"/>
              <w:spacing w:line="360" w:lineRule="auto"/>
              <w:jc w:val="center"/>
              <w:rPr>
                <w:rFonts w:ascii="Times New Roman" w:hAnsi="Times New Roman" w:cs="Times New Roman"/>
                <w:szCs w:val="21"/>
              </w:rPr>
            </w:pPr>
            <w:r>
              <w:rPr>
                <w:rFonts w:ascii="Times New Roman" w:hAnsi="Times New Roman" w:cs="Times New Roman"/>
                <w:szCs w:val="21"/>
              </w:rPr>
              <w:t>LV</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19BD5A0C">
            <w:pPr>
              <w:pStyle w:val="19"/>
              <w:spacing w:line="360" w:lineRule="auto"/>
              <w:jc w:val="center"/>
              <w:rPr>
                <w:rFonts w:ascii="Times New Roman" w:hAnsi="Times New Roman" w:cs="Times New Roman"/>
                <w:szCs w:val="21"/>
              </w:rPr>
            </w:pPr>
            <w:r>
              <w:rPr>
                <w:rFonts w:ascii="Times New Roman" w:hAnsi="Times New Roman" w:cs="Times New Roman"/>
                <w:szCs w:val="21"/>
              </w:rPr>
              <w:t>kV</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542398A7">
            <w:pPr>
              <w:pStyle w:val="15"/>
              <w:spacing w:line="360" w:lineRule="auto"/>
              <w:ind w:firstLine="77" w:firstLineChars="37"/>
              <w:jc w:val="center"/>
              <w:rPr>
                <w:rFonts w:hint="eastAsia" w:ascii="Times New Roman" w:hAnsi="Times New Roman" w:cs="Times New Roman"/>
                <w:szCs w:val="21"/>
              </w:rPr>
            </w:pPr>
            <w:r>
              <w:rPr>
                <w:rFonts w:hint="eastAsia" w:ascii="Times New Roman" w:hAnsi="Times New Roman" w:cs="Times New Roman"/>
                <w:szCs w:val="21"/>
              </w:rPr>
              <w:t>0.4</w:t>
            </w:r>
          </w:p>
        </w:tc>
      </w:tr>
      <w:tr w14:paraId="5E06DCA5">
        <w:tblPrEx>
          <w:tblCellMar>
            <w:top w:w="0" w:type="dxa"/>
            <w:left w:w="0" w:type="dxa"/>
            <w:bottom w:w="0" w:type="dxa"/>
            <w:right w:w="0" w:type="dxa"/>
          </w:tblCellMar>
        </w:tblPrEx>
        <w:trPr>
          <w:cantSplit/>
          <w:trHeight w:val="275"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6CEA56E7">
            <w:pPr>
              <w:keepNext/>
              <w:keepLines/>
              <w:spacing w:before="340" w:after="330"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04B740E2">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损耗</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60339D2F">
            <w:pPr>
              <w:pStyle w:val="19"/>
              <w:spacing w:line="360" w:lineRule="auto"/>
              <w:jc w:val="center"/>
              <w:rPr>
                <w:rFonts w:ascii="Times New Roman" w:hAnsi="Times New Roman" w:cs="Times New Roman"/>
                <w:szCs w:val="21"/>
              </w:rPr>
            </w:pPr>
            <w:r>
              <w:rPr>
                <w:rFonts w:ascii="Times New Roman" w:hAnsi="Times New Roman" w:cs="Times New Roman"/>
                <w:szCs w:val="21"/>
              </w:rPr>
              <w:t>W</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6FEF576A">
            <w:pPr>
              <w:pStyle w:val="15"/>
              <w:spacing w:line="360" w:lineRule="auto"/>
              <w:ind w:firstLine="77" w:firstLineChars="37"/>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r>
      <w:tr w14:paraId="13A054CA">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6993E481">
            <w:pPr>
              <w:keepNext/>
              <w:keepLines/>
              <w:spacing w:before="340" w:after="330"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4A504E95">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短路阻抗</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61392914">
            <w:pPr>
              <w:pStyle w:val="19"/>
              <w:spacing w:line="360" w:lineRule="auto"/>
              <w:jc w:val="center"/>
              <w:rPr>
                <w:rFonts w:ascii="Times New Roman" w:hAnsi="Times New Roman" w:cs="Times New Roman"/>
                <w:szCs w:val="21"/>
              </w:rPr>
            </w:pPr>
            <w:r>
              <w:rPr>
                <w:rFonts w:ascii="Times New Roman" w:hAnsi="Times New Roman" w:cs="Times New Roman"/>
                <w:szCs w:val="21"/>
              </w:rPr>
              <w:t>%</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25C1B13C">
            <w:pPr>
              <w:pStyle w:val="15"/>
              <w:spacing w:line="360" w:lineRule="auto"/>
              <w:ind w:firstLine="77" w:firstLineChars="37"/>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r>
      <w:tr w14:paraId="7C6C66A9">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481500A6">
            <w:pPr>
              <w:spacing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3811E146">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连接组标号</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3A545B55">
            <w:pPr>
              <w:pStyle w:val="19"/>
              <w:spacing w:line="360" w:lineRule="auto"/>
              <w:jc w:val="center"/>
              <w:rPr>
                <w:rFonts w:ascii="Times New Roman" w:hAnsi="Times New Roman" w:cs="Times New Roman"/>
                <w:szCs w:val="21"/>
              </w:rPr>
            </w:pPr>
            <w:r>
              <w:rPr>
                <w:rFonts w:ascii="Times New Roman" w:hAnsi="Times New Roman" w:cs="Times New Roman"/>
                <w:szCs w:val="21"/>
              </w:rPr>
              <w:t>单位</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72980795">
            <w:pPr>
              <w:pStyle w:val="15"/>
              <w:spacing w:line="360" w:lineRule="auto"/>
              <w:ind w:firstLine="77" w:firstLineChars="37"/>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r>
      <w:tr w14:paraId="2FDC1D57">
        <w:tblPrEx>
          <w:tblCellMar>
            <w:top w:w="0" w:type="dxa"/>
            <w:left w:w="0" w:type="dxa"/>
            <w:bottom w:w="0" w:type="dxa"/>
            <w:right w:w="0" w:type="dxa"/>
          </w:tblCellMar>
        </w:tblPrEx>
        <w:trPr>
          <w:cantSplit/>
          <w:trHeight w:val="39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2E21BE10">
            <w:pPr>
              <w:keepNext/>
              <w:keepLines/>
              <w:spacing w:before="340" w:after="330"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527320D7">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温升值</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7CD519ED">
            <w:pPr>
              <w:pStyle w:val="19"/>
              <w:spacing w:line="360" w:lineRule="auto"/>
              <w:jc w:val="center"/>
              <w:rPr>
                <w:rFonts w:ascii="Times New Roman" w:hAnsi="Times New Roman" w:cs="Times New Roman"/>
                <w:szCs w:val="21"/>
              </w:rPr>
            </w:pPr>
            <w:r>
              <w:rPr>
                <w:rFonts w:ascii="Times New Roman" w:hAnsi="Times New Roman" w:cs="Times New Roman"/>
                <w:szCs w:val="21"/>
              </w:rPr>
              <w:t>K</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13392B48">
            <w:pPr>
              <w:pStyle w:val="19"/>
              <w:spacing w:line="360" w:lineRule="auto"/>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r>
      <w:tr w14:paraId="35DA3A3B">
        <w:tblPrEx>
          <w:tblCellMar>
            <w:top w:w="0" w:type="dxa"/>
            <w:left w:w="0" w:type="dxa"/>
            <w:bottom w:w="0" w:type="dxa"/>
            <w:right w:w="0" w:type="dxa"/>
          </w:tblCellMar>
        </w:tblPrEx>
        <w:trPr>
          <w:cantSplit/>
          <w:trHeight w:val="467"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17997090">
            <w:pPr>
              <w:keepNext/>
              <w:keepLines/>
              <w:spacing w:before="340" w:after="330"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27765A29">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无载调压</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5AD1CDBA">
            <w:pPr>
              <w:pStyle w:val="19"/>
              <w:spacing w:line="360" w:lineRule="auto"/>
              <w:jc w:val="center"/>
              <w:rPr>
                <w:rFonts w:ascii="Times New Roman" w:hAnsi="Times New Roman" w:cs="Times New Roman"/>
                <w:szCs w:val="21"/>
              </w:rPr>
            </w:pPr>
            <w:r>
              <w:rPr>
                <w:rFonts w:ascii="Times New Roman" w:hAnsi="Times New Roman" w:cs="Times New Roman"/>
                <w:szCs w:val="21"/>
              </w:rPr>
              <w:t>kV</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4E3C968D">
            <w:pPr>
              <w:pStyle w:val="19"/>
              <w:spacing w:line="360" w:lineRule="auto"/>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r>
      <w:tr w14:paraId="1D52C5BF">
        <w:tblPrEx>
          <w:tblCellMar>
            <w:top w:w="0" w:type="dxa"/>
            <w:left w:w="0" w:type="dxa"/>
            <w:bottom w:w="0" w:type="dxa"/>
            <w:right w:w="0" w:type="dxa"/>
          </w:tblCellMar>
        </w:tblPrEx>
        <w:trPr>
          <w:cantSplit/>
          <w:trHeight w:val="262"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7C6F9742">
            <w:pPr>
              <w:spacing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01C9489E">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噪声水平</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3B0DB95C">
            <w:pPr>
              <w:pStyle w:val="19"/>
              <w:spacing w:line="360" w:lineRule="auto"/>
              <w:jc w:val="center"/>
              <w:rPr>
                <w:rFonts w:ascii="Times New Roman" w:hAnsi="Times New Roman" w:cs="Times New Roman"/>
                <w:szCs w:val="21"/>
              </w:rPr>
            </w:pPr>
            <w:r>
              <w:rPr>
                <w:rFonts w:ascii="Times New Roman" w:hAnsi="Times New Roman" w:cs="Times New Roman"/>
                <w:szCs w:val="21"/>
              </w:rPr>
              <w:t>dB</w:t>
            </w: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0580C00A">
            <w:pPr>
              <w:pStyle w:val="19"/>
              <w:spacing w:line="360" w:lineRule="auto"/>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r>
      <w:tr w14:paraId="163FCA16">
        <w:tblPrEx>
          <w:tblCellMar>
            <w:top w:w="0" w:type="dxa"/>
            <w:left w:w="0" w:type="dxa"/>
            <w:bottom w:w="0" w:type="dxa"/>
            <w:right w:w="0" w:type="dxa"/>
          </w:tblCellMar>
        </w:tblPrEx>
        <w:trPr>
          <w:cantSplit/>
          <w:trHeight w:val="450" w:hRule="atLeast"/>
          <w:jc w:val="center"/>
        </w:trPr>
        <w:tc>
          <w:tcPr>
            <w:tcW w:w="1577" w:type="dxa"/>
            <w:vMerge w:val="continue"/>
            <w:tcBorders>
              <w:top w:val="single" w:color="000000" w:sz="6" w:space="0"/>
              <w:left w:val="single" w:color="000000" w:sz="6" w:space="0"/>
              <w:bottom w:val="single" w:color="000000" w:sz="6" w:space="0"/>
              <w:right w:val="single" w:color="000000" w:sz="6" w:space="0"/>
            </w:tcBorders>
            <w:noWrap/>
            <w:vAlign w:val="center"/>
          </w:tcPr>
          <w:p w14:paraId="4FBA69F2">
            <w:pPr>
              <w:keepNext/>
              <w:keepLines/>
              <w:spacing w:before="340" w:after="330" w:line="360" w:lineRule="auto"/>
              <w:rPr>
                <w:rFonts w:ascii="Times New Roman" w:hAnsi="Times New Roman" w:cs="Times New Roman"/>
                <w:szCs w:val="21"/>
              </w:rPr>
            </w:pPr>
          </w:p>
        </w:tc>
        <w:tc>
          <w:tcPr>
            <w:tcW w:w="2163" w:type="dxa"/>
            <w:gridSpan w:val="2"/>
            <w:tcBorders>
              <w:left w:val="single" w:color="000000" w:sz="6" w:space="0"/>
              <w:bottom w:val="single" w:color="000000" w:sz="6" w:space="0"/>
              <w:right w:val="single" w:color="000000" w:sz="6" w:space="0"/>
            </w:tcBorders>
            <w:noWrap/>
            <w:tcMar>
              <w:top w:w="0" w:type="dxa"/>
              <w:left w:w="8" w:type="dxa"/>
              <w:bottom w:w="8" w:type="dxa"/>
              <w:right w:w="8" w:type="dxa"/>
            </w:tcMar>
            <w:vAlign w:val="center"/>
          </w:tcPr>
          <w:p w14:paraId="3C42DB0E">
            <w:pPr>
              <w:pStyle w:val="15"/>
              <w:spacing w:line="360" w:lineRule="auto"/>
              <w:ind w:firstLine="77" w:firstLineChars="37"/>
              <w:jc w:val="left"/>
              <w:rPr>
                <w:rFonts w:ascii="Times New Roman" w:hAnsi="Times New Roman" w:cs="Times New Roman"/>
                <w:szCs w:val="21"/>
              </w:rPr>
            </w:pPr>
            <w:r>
              <w:rPr>
                <w:rFonts w:ascii="Times New Roman" w:hAnsi="Times New Roman" w:cs="Times New Roman"/>
                <w:szCs w:val="21"/>
              </w:rPr>
              <w:t>散热要求</w:t>
            </w:r>
          </w:p>
        </w:tc>
        <w:tc>
          <w:tcPr>
            <w:tcW w:w="1058" w:type="dxa"/>
            <w:tcBorders>
              <w:bottom w:val="single" w:color="000000" w:sz="6" w:space="0"/>
              <w:right w:val="single" w:color="000000" w:sz="6" w:space="0"/>
            </w:tcBorders>
            <w:noWrap/>
            <w:tcMar>
              <w:top w:w="0" w:type="dxa"/>
              <w:left w:w="0" w:type="dxa"/>
              <w:bottom w:w="8" w:type="dxa"/>
              <w:right w:w="8" w:type="dxa"/>
            </w:tcMar>
            <w:vAlign w:val="center"/>
          </w:tcPr>
          <w:p w14:paraId="3C12CAE3">
            <w:pPr>
              <w:pStyle w:val="15"/>
              <w:spacing w:line="360" w:lineRule="auto"/>
              <w:ind w:firstLine="77" w:firstLineChars="37"/>
              <w:jc w:val="left"/>
              <w:rPr>
                <w:rFonts w:ascii="Times New Roman" w:hAnsi="Times New Roman" w:cs="Times New Roman"/>
                <w:szCs w:val="21"/>
              </w:rPr>
            </w:pPr>
          </w:p>
        </w:tc>
        <w:tc>
          <w:tcPr>
            <w:tcW w:w="3826" w:type="dxa"/>
            <w:tcBorders>
              <w:bottom w:val="single" w:color="000000" w:sz="6" w:space="0"/>
              <w:right w:val="single" w:color="000000" w:sz="6" w:space="0"/>
            </w:tcBorders>
            <w:noWrap/>
            <w:tcMar>
              <w:top w:w="0" w:type="dxa"/>
              <w:left w:w="8" w:type="dxa"/>
              <w:bottom w:w="8" w:type="dxa"/>
              <w:right w:w="8" w:type="dxa"/>
            </w:tcMar>
            <w:vAlign w:val="center"/>
          </w:tcPr>
          <w:p w14:paraId="531FF77E">
            <w:pPr>
              <w:pStyle w:val="15"/>
              <w:spacing w:line="360" w:lineRule="auto"/>
              <w:ind w:firstLine="77" w:firstLineChars="37"/>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w:t>
            </w:r>
          </w:p>
        </w:tc>
      </w:tr>
    </w:tbl>
    <w:p w14:paraId="74620E29">
      <w:pPr>
        <w:pStyle w:val="31"/>
        <w:spacing w:line="360" w:lineRule="auto"/>
        <w:rPr>
          <w:rFonts w:hint="eastAsia" w:asciiTheme="minorEastAsia" w:hAnsiTheme="minorEastAsia" w:cstheme="minorEastAsia"/>
          <w:b w:val="0"/>
          <w:bCs w:val="0"/>
          <w:sz w:val="24"/>
          <w:szCs w:val="24"/>
          <w:highlight w:val="none"/>
        </w:rPr>
      </w:pPr>
      <w:r>
        <w:rPr>
          <w:rFonts w:hint="eastAsia" w:asciiTheme="minorEastAsia" w:hAnsiTheme="minorEastAsia" w:cstheme="minorEastAsia"/>
          <w:b w:val="0"/>
          <w:bCs w:val="0"/>
          <w:sz w:val="24"/>
          <w:szCs w:val="24"/>
          <w:highlight w:val="none"/>
        </w:rPr>
        <w:t>3.</w:t>
      </w:r>
      <w:r>
        <w:rPr>
          <w:rFonts w:hint="eastAsia" w:asciiTheme="minorEastAsia" w:hAnsiTheme="minorEastAsia" w:cstheme="minorEastAsia"/>
          <w:b w:val="0"/>
          <w:bCs w:val="0"/>
          <w:sz w:val="24"/>
          <w:szCs w:val="24"/>
          <w:highlight w:val="none"/>
          <w:lang w:val="en-US" w:eastAsia="zh-CN"/>
        </w:rPr>
        <w:t>2箱变</w:t>
      </w:r>
      <w:r>
        <w:rPr>
          <w:rFonts w:hint="eastAsia" w:asciiTheme="minorEastAsia" w:hAnsiTheme="minorEastAsia" w:cstheme="minorEastAsia"/>
          <w:b w:val="0"/>
          <w:bCs w:val="0"/>
          <w:sz w:val="24"/>
          <w:szCs w:val="24"/>
          <w:highlight w:val="none"/>
        </w:rPr>
        <w:t>技术要求</w:t>
      </w:r>
    </w:p>
    <w:p w14:paraId="6C4E0776">
      <w:pPr>
        <w:spacing w:line="360" w:lineRule="auto"/>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w:t>
      </w:r>
      <w:r>
        <w:rPr>
          <w:rFonts w:hint="eastAsia"/>
          <w:sz w:val="24"/>
          <w:szCs w:val="24"/>
          <w:highlight w:val="none"/>
          <w:lang w:val="en-US" w:eastAsia="zh-CN"/>
        </w:rPr>
        <w:t>2.</w:t>
      </w:r>
      <w:r>
        <w:rPr>
          <w:rFonts w:hint="eastAsia"/>
          <w:sz w:val="24"/>
          <w:szCs w:val="24"/>
          <w:highlight w:val="none"/>
        </w:rPr>
        <w:t>1 外壳</w:t>
      </w:r>
    </w:p>
    <w:p w14:paraId="27DB837D">
      <w:pPr>
        <w:spacing w:line="360" w:lineRule="auto"/>
        <w:ind w:firstLine="480" w:firstLineChars="200"/>
        <w:rPr>
          <w:rFonts w:hint="eastAsia"/>
          <w:color w:val="auto"/>
          <w:sz w:val="24"/>
          <w:szCs w:val="24"/>
          <w:highlight w:val="none"/>
        </w:rPr>
      </w:pPr>
      <w:r>
        <w:rPr>
          <w:rFonts w:hint="eastAsia" w:asciiTheme="minorEastAsia" w:hAnsiTheme="minorEastAsia" w:cstheme="minorEastAsia"/>
          <w:color w:val="auto"/>
          <w:sz w:val="24"/>
          <w:szCs w:val="24"/>
          <w:highlight w:val="none"/>
        </w:rPr>
        <w:t>1）</w:t>
      </w:r>
      <w:r>
        <w:rPr>
          <w:rFonts w:hint="eastAsia"/>
          <w:color w:val="auto"/>
          <w:sz w:val="24"/>
          <w:szCs w:val="24"/>
          <w:highlight w:val="none"/>
        </w:rPr>
        <w:t>箱体为带操作走廊</w:t>
      </w:r>
      <w:r>
        <w:rPr>
          <w:rFonts w:hint="eastAsia"/>
          <w:color w:val="auto"/>
          <w:sz w:val="24"/>
          <w:szCs w:val="24"/>
          <w:highlight w:val="none"/>
          <w:lang w:eastAsia="zh-CN"/>
        </w:rPr>
        <w:t>（</w:t>
      </w:r>
      <w:r>
        <w:rPr>
          <w:rFonts w:hint="eastAsia"/>
          <w:color w:val="auto"/>
          <w:sz w:val="24"/>
          <w:szCs w:val="24"/>
          <w:highlight w:val="none"/>
        </w:rPr>
        <w:t>工作人员在箱内操作</w:t>
      </w:r>
      <w:r>
        <w:rPr>
          <w:rFonts w:hint="eastAsia"/>
          <w:color w:val="auto"/>
          <w:sz w:val="24"/>
          <w:szCs w:val="24"/>
          <w:highlight w:val="none"/>
          <w:lang w:eastAsia="zh-CN"/>
        </w:rPr>
        <w:t>）</w:t>
      </w:r>
      <w:r>
        <w:rPr>
          <w:rFonts w:hint="eastAsia"/>
          <w:color w:val="auto"/>
          <w:sz w:val="24"/>
          <w:szCs w:val="24"/>
          <w:highlight w:val="none"/>
        </w:rPr>
        <w:t>。箱体采用经喷砂、热喷锌防腐处理工艺双层优质</w:t>
      </w:r>
      <w:r>
        <w:rPr>
          <w:rFonts w:hint="eastAsia" w:asciiTheme="minorHAnsi" w:hAnsiTheme="minorHAnsi" w:eastAsiaTheme="minorEastAsia" w:cstheme="minorBidi"/>
          <w:color w:val="auto"/>
          <w:kern w:val="2"/>
          <w:sz w:val="24"/>
          <w:szCs w:val="24"/>
          <w:highlight w:val="none"/>
          <w:lang w:val="en-US" w:eastAsia="zh-CN" w:bidi="ar-SA"/>
        </w:rPr>
        <w:t>冷轧</w:t>
      </w:r>
      <w:r>
        <w:rPr>
          <w:rFonts w:hint="eastAsia"/>
          <w:color w:val="auto"/>
          <w:sz w:val="24"/>
          <w:szCs w:val="24"/>
          <w:highlight w:val="none"/>
        </w:rPr>
        <w:t>钢板（内部填充物采用建设部许可聚氨酯防火保温材料，确保整个预制舱的保温和防火性能），外层冷轧钢板厚度不小于2mm，内层钢板厚度不小于1.5mm。箱体密封均需采用硅橡胶或三元乙丙材料制作的密封条（保证10年以上的使用寿命）。高压和低压的进出线电缆孔采用方便于密封的敲落孔，并在箱体内随机配置敲落孔用密封胶圈。</w:t>
      </w:r>
      <w:r>
        <w:rPr>
          <w:rFonts w:hint="eastAsia" w:asciiTheme="minorHAnsi" w:hAnsiTheme="minorHAnsi" w:eastAsiaTheme="minorEastAsia" w:cstheme="minorBidi"/>
          <w:color w:val="auto"/>
          <w:kern w:val="2"/>
          <w:sz w:val="24"/>
          <w:szCs w:val="24"/>
          <w:highlight w:val="none"/>
          <w:lang w:val="en-US" w:eastAsia="zh-CN" w:bidi="ar-SA"/>
        </w:rPr>
        <w:t>箱体骨架为一体式焊装结够，骨架采用型钢焊接，应有足够的机械强度和刚度</w:t>
      </w:r>
      <w:r>
        <w:rPr>
          <w:rFonts w:hint="eastAsia" w:cstheme="minorBidi"/>
          <w:color w:val="auto"/>
          <w:kern w:val="2"/>
          <w:sz w:val="24"/>
          <w:szCs w:val="24"/>
          <w:highlight w:val="none"/>
          <w:lang w:val="en-US" w:eastAsia="zh-CN" w:bidi="ar-SA"/>
        </w:rPr>
        <w:t>，</w:t>
      </w:r>
      <w:r>
        <w:rPr>
          <w:rFonts w:hint="eastAsia"/>
          <w:color w:val="auto"/>
          <w:sz w:val="24"/>
          <w:szCs w:val="24"/>
          <w:highlight w:val="none"/>
        </w:rPr>
        <w:t>在</w:t>
      </w:r>
      <w:r>
        <w:rPr>
          <w:rFonts w:hint="eastAsia"/>
          <w:color w:val="auto"/>
          <w:sz w:val="24"/>
          <w:szCs w:val="24"/>
          <w:highlight w:val="none"/>
          <w:lang w:val="en-US" w:eastAsia="zh-CN"/>
        </w:rPr>
        <w:t>起吊、</w:t>
      </w:r>
      <w:r>
        <w:rPr>
          <w:rFonts w:hint="eastAsia"/>
          <w:color w:val="auto"/>
          <w:sz w:val="24"/>
          <w:szCs w:val="24"/>
          <w:highlight w:val="none"/>
        </w:rPr>
        <w:t>运输</w:t>
      </w:r>
      <w:r>
        <w:rPr>
          <w:rFonts w:hint="eastAsia"/>
          <w:color w:val="auto"/>
          <w:sz w:val="24"/>
          <w:szCs w:val="24"/>
          <w:highlight w:val="none"/>
          <w:lang w:val="en-US" w:eastAsia="zh-CN"/>
        </w:rPr>
        <w:t>和</w:t>
      </w:r>
      <w:r>
        <w:rPr>
          <w:rFonts w:hint="eastAsia"/>
          <w:color w:val="auto"/>
          <w:sz w:val="24"/>
          <w:szCs w:val="24"/>
          <w:highlight w:val="none"/>
        </w:rPr>
        <w:t>安装中不应发生变形，并且外型美观，色彩与环境协调。外壳应满足：外形美观、防黏贴小广告、机械强度高、耐暴晒、阻燃、隔热、防腐、防潮、降噪，防凝露等特点。</w:t>
      </w:r>
    </w:p>
    <w:p w14:paraId="566415A8">
      <w:pPr>
        <w:spacing w:line="360" w:lineRule="auto"/>
        <w:ind w:firstLine="480" w:firstLineChars="200"/>
        <w:rPr>
          <w:rFonts w:hint="eastAsia"/>
          <w:sz w:val="24"/>
          <w:szCs w:val="24"/>
          <w:highlight w:val="none"/>
        </w:rPr>
      </w:pP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rPr>
        <w:t>）</w:t>
      </w:r>
      <w:r>
        <w:rPr>
          <w:rFonts w:hint="eastAsia"/>
          <w:sz w:val="24"/>
          <w:szCs w:val="24"/>
          <w:highlight w:val="none"/>
        </w:rPr>
        <w:t>箱壳表面应有明显的反光警示标志</w:t>
      </w:r>
      <w:r>
        <w:rPr>
          <w:rFonts w:hint="eastAsia"/>
          <w:sz w:val="24"/>
          <w:szCs w:val="24"/>
          <w:highlight w:val="none"/>
          <w:lang w:eastAsia="zh-CN"/>
        </w:rPr>
        <w:t>，</w:t>
      </w:r>
      <w:r>
        <w:rPr>
          <w:rFonts w:hint="eastAsia"/>
          <w:sz w:val="24"/>
          <w:szCs w:val="24"/>
          <w:highlight w:val="none"/>
        </w:rPr>
        <w:t>反光警示标志颜色至少5年不褪色。</w:t>
      </w:r>
    </w:p>
    <w:p w14:paraId="3A4191A0">
      <w:pPr>
        <w:spacing w:line="360" w:lineRule="auto"/>
        <w:ind w:firstLine="480" w:firstLineChars="200"/>
        <w:rPr>
          <w:rFonts w:hint="eastAsia"/>
          <w:sz w:val="24"/>
          <w:szCs w:val="24"/>
          <w:highlight w:val="none"/>
        </w:rPr>
      </w:pP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rPr>
        <w:t>）</w:t>
      </w:r>
      <w:r>
        <w:rPr>
          <w:rFonts w:hint="eastAsia"/>
          <w:sz w:val="24"/>
          <w:szCs w:val="24"/>
          <w:highlight w:val="none"/>
        </w:rPr>
        <w:t>外壳箱体四周喷涂或安装“当心触电”安全警告标志，该标志应符合国家标准。</w:t>
      </w:r>
    </w:p>
    <w:p w14:paraId="0A941265">
      <w:pPr>
        <w:spacing w:line="360" w:lineRule="auto"/>
        <w:ind w:firstLine="480" w:firstLineChars="200"/>
        <w:rPr>
          <w:rFonts w:hint="eastAsia"/>
          <w:color w:val="auto"/>
          <w:sz w:val="24"/>
          <w:szCs w:val="24"/>
          <w:highlight w:val="none"/>
        </w:rPr>
      </w:pPr>
      <w:r>
        <w:rPr>
          <w:rFonts w:hint="eastAsia" w:asciiTheme="minorEastAsia" w:hAnsiTheme="minorEastAsia" w:cstheme="minorEastAsia"/>
          <w:color w:val="auto"/>
          <w:sz w:val="24"/>
          <w:szCs w:val="24"/>
          <w:highlight w:val="none"/>
          <w:lang w:val="en-US" w:eastAsia="zh-CN"/>
        </w:rPr>
        <w:t>4</w:t>
      </w:r>
      <w:r>
        <w:rPr>
          <w:rFonts w:hint="eastAsia" w:asciiTheme="minorEastAsia" w:hAnsiTheme="minorEastAsia" w:cstheme="minorEastAsia"/>
          <w:color w:val="auto"/>
          <w:sz w:val="24"/>
          <w:szCs w:val="24"/>
          <w:highlight w:val="none"/>
        </w:rPr>
        <w:t>）</w:t>
      </w:r>
      <w:r>
        <w:rPr>
          <w:rFonts w:hint="eastAsia"/>
          <w:color w:val="auto"/>
          <w:sz w:val="24"/>
          <w:szCs w:val="24"/>
          <w:highlight w:val="none"/>
        </w:rPr>
        <w:t>箱变外壳的整体防护等级不低于IP33D，除变压器室外的其他隔室对外界的防护等级不得低于IP43D。各隔室之间的防护等级不得低于IP3X。</w:t>
      </w:r>
    </w:p>
    <w:p w14:paraId="7950C42C">
      <w:pPr>
        <w:spacing w:line="360" w:lineRule="auto"/>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w:t>
      </w:r>
      <w:r>
        <w:rPr>
          <w:rFonts w:hint="eastAsia"/>
          <w:sz w:val="24"/>
          <w:szCs w:val="24"/>
          <w:highlight w:val="none"/>
          <w:lang w:val="en-US" w:eastAsia="zh-CN"/>
        </w:rPr>
        <w:t>2.2</w:t>
      </w:r>
      <w:r>
        <w:rPr>
          <w:rFonts w:hint="eastAsia"/>
          <w:sz w:val="24"/>
          <w:szCs w:val="24"/>
          <w:highlight w:val="none"/>
        </w:rPr>
        <w:t xml:space="preserve"> 箱体</w:t>
      </w:r>
    </w:p>
    <w:p w14:paraId="4E03EAF4">
      <w:pPr>
        <w:spacing w:line="360" w:lineRule="auto"/>
        <w:ind w:firstLine="480" w:firstLineChars="200"/>
        <w:rPr>
          <w:rFonts w:hint="default" w:eastAsiaTheme="minorEastAsia"/>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rPr>
        <w:t>）</w:t>
      </w:r>
      <w:r>
        <w:rPr>
          <w:rFonts w:hint="eastAsia"/>
          <w:sz w:val="24"/>
          <w:szCs w:val="24"/>
          <w:highlight w:val="none"/>
        </w:rPr>
        <w:t>高压室、低压室和变压器室布置成目字形。箱变外形尺寸长×宽×高由</w:t>
      </w:r>
      <w:r>
        <w:rPr>
          <w:rFonts w:hint="eastAsia"/>
          <w:sz w:val="24"/>
          <w:szCs w:val="24"/>
          <w:highlight w:val="none"/>
          <w:lang w:val="en-US" w:eastAsia="zh-CN"/>
        </w:rPr>
        <w:t>卖方</w:t>
      </w:r>
      <w:r>
        <w:rPr>
          <w:rFonts w:hint="eastAsia"/>
          <w:sz w:val="24"/>
          <w:szCs w:val="24"/>
          <w:highlight w:val="none"/>
        </w:rPr>
        <w:t>设计确定，</w:t>
      </w:r>
      <w:r>
        <w:rPr>
          <w:rFonts w:hint="eastAsia"/>
          <w:sz w:val="24"/>
          <w:szCs w:val="24"/>
          <w:highlight w:val="none"/>
          <w:lang w:val="en-US" w:eastAsia="zh-CN"/>
        </w:rPr>
        <w:t>各室的空间尺寸应满足技术规范要求，且有一定富裕量。</w:t>
      </w:r>
      <w:r>
        <w:rPr>
          <w:rFonts w:hint="eastAsia"/>
          <w:sz w:val="24"/>
          <w:szCs w:val="24"/>
          <w:highlight w:val="none"/>
        </w:rPr>
        <w:t>箱变两列</w:t>
      </w:r>
      <w:r>
        <w:rPr>
          <w:rFonts w:hint="eastAsia"/>
          <w:sz w:val="24"/>
          <w:szCs w:val="24"/>
          <w:highlight w:val="none"/>
          <w:lang w:val="en-US" w:eastAsia="zh-CN"/>
        </w:rPr>
        <w:t>低压</w:t>
      </w:r>
      <w:r>
        <w:rPr>
          <w:rFonts w:hint="eastAsia"/>
          <w:sz w:val="24"/>
          <w:szCs w:val="24"/>
          <w:highlight w:val="none"/>
        </w:rPr>
        <w:t>配电柜之间的通道必须≥1.2米</w:t>
      </w:r>
      <w:r>
        <w:rPr>
          <w:rFonts w:hint="eastAsia"/>
          <w:sz w:val="24"/>
          <w:szCs w:val="24"/>
          <w:highlight w:val="none"/>
          <w:lang w:eastAsia="zh-CN"/>
        </w:rPr>
        <w:t>。</w:t>
      </w:r>
      <w:r>
        <w:rPr>
          <w:rFonts w:hint="eastAsia"/>
          <w:sz w:val="24"/>
          <w:szCs w:val="24"/>
          <w:highlight w:val="none"/>
        </w:rPr>
        <w:t>箱变内配电柜</w:t>
      </w:r>
      <w:r>
        <w:rPr>
          <w:rFonts w:hint="eastAsia"/>
          <w:sz w:val="24"/>
          <w:szCs w:val="24"/>
          <w:highlight w:val="none"/>
          <w:lang w:val="en-US" w:eastAsia="zh-CN"/>
        </w:rPr>
        <w:t>外形</w:t>
      </w:r>
      <w:r>
        <w:rPr>
          <w:rFonts w:hint="eastAsia"/>
          <w:sz w:val="24"/>
          <w:szCs w:val="24"/>
          <w:highlight w:val="none"/>
        </w:rPr>
        <w:t>尺寸厂家可根据实际情况调整。</w:t>
      </w:r>
    </w:p>
    <w:p w14:paraId="28E76E4D">
      <w:pPr>
        <w:spacing w:line="360" w:lineRule="auto"/>
        <w:ind w:firstLine="480" w:firstLineChars="200"/>
        <w:rPr>
          <w:rFonts w:hint="eastAsia"/>
          <w:sz w:val="24"/>
          <w:szCs w:val="24"/>
          <w:highlight w:val="none"/>
        </w:rPr>
      </w:pP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rPr>
        <w:t>）</w:t>
      </w:r>
      <w:r>
        <w:rPr>
          <w:rFonts w:hint="eastAsia"/>
          <w:sz w:val="24"/>
          <w:szCs w:val="24"/>
          <w:highlight w:val="none"/>
        </w:rPr>
        <w:t>箱门的设计尺寸应与所装用的设备尺寸相配合所有的门应向外开，开启角度应大于90°，并设定位装置。门应有密封措施，并装有把手、暗闩和能防雨、防堵、防锈，铰链应采用不锈钢内铰链,箱门应有装设外挂锁孔。门的设计尺寸应与所装用的设备尺寸相配合。</w:t>
      </w:r>
    </w:p>
    <w:p w14:paraId="46325015">
      <w:pPr>
        <w:spacing w:line="360" w:lineRule="auto"/>
        <w:ind w:firstLine="480" w:firstLineChars="200"/>
        <w:rPr>
          <w:rFonts w:hint="eastAsia"/>
          <w:color w:val="auto"/>
          <w:sz w:val="24"/>
          <w:szCs w:val="24"/>
          <w:highlight w:val="none"/>
        </w:rPr>
      </w:pP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rPr>
        <w:t>）</w:t>
      </w:r>
      <w:r>
        <w:rPr>
          <w:rFonts w:hint="eastAsia"/>
          <w:sz w:val="24"/>
          <w:szCs w:val="24"/>
          <w:highlight w:val="none"/>
        </w:rPr>
        <w:t>箱体设置箱体下部进风，顶部出风的结构，应设足够的自然通风口和隔热措施，使箱内无凝露产生，以保证在</w:t>
      </w:r>
      <w:r>
        <w:rPr>
          <w:rFonts w:hint="eastAsia"/>
          <w:sz w:val="24"/>
          <w:szCs w:val="24"/>
          <w:highlight w:val="none"/>
          <w:lang w:val="en-US" w:eastAsia="zh-CN"/>
        </w:rPr>
        <w:t>3.2</w:t>
      </w:r>
      <w:r>
        <w:rPr>
          <w:rFonts w:hint="eastAsia"/>
          <w:sz w:val="24"/>
          <w:szCs w:val="24"/>
          <w:highlight w:val="none"/>
        </w:rPr>
        <w:t>.1环境条件下运行时，所有电器设备不超</w:t>
      </w:r>
      <w:r>
        <w:rPr>
          <w:rFonts w:hint="eastAsia"/>
          <w:color w:val="auto"/>
          <w:sz w:val="24"/>
          <w:szCs w:val="24"/>
          <w:highlight w:val="none"/>
        </w:rPr>
        <w:t>过其最大允许温度。</w:t>
      </w:r>
    </w:p>
    <w:p w14:paraId="4543CE53">
      <w:pPr>
        <w:spacing w:line="360" w:lineRule="auto"/>
        <w:ind w:firstLine="480" w:firstLineChars="200"/>
        <w:rPr>
          <w:rFonts w:hint="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w:t>
      </w:r>
      <w:r>
        <w:rPr>
          <w:rFonts w:hint="eastAsia" w:asciiTheme="minorEastAsia" w:hAnsiTheme="minorEastAsia" w:cstheme="minorEastAsia"/>
          <w:color w:val="auto"/>
          <w:sz w:val="24"/>
          <w:szCs w:val="24"/>
          <w:highlight w:val="none"/>
        </w:rPr>
        <w:t>）</w:t>
      </w:r>
      <w:r>
        <w:rPr>
          <w:rFonts w:hint="eastAsia"/>
          <w:color w:val="auto"/>
          <w:sz w:val="24"/>
          <w:szCs w:val="24"/>
          <w:highlight w:val="none"/>
        </w:rPr>
        <w:t>箱体</w:t>
      </w:r>
      <w:r>
        <w:rPr>
          <w:rFonts w:hint="eastAsia"/>
          <w:color w:val="auto"/>
          <w:sz w:val="24"/>
          <w:szCs w:val="24"/>
          <w:highlight w:val="none"/>
          <w:lang w:val="en-US" w:eastAsia="zh-CN"/>
        </w:rPr>
        <w:t>顶盖采用双层，斜顶结构，</w:t>
      </w:r>
      <w:r>
        <w:rPr>
          <w:rFonts w:hint="eastAsia"/>
          <w:color w:val="auto"/>
          <w:sz w:val="24"/>
          <w:szCs w:val="24"/>
          <w:highlight w:val="none"/>
        </w:rPr>
        <w:t>顶盖的倾斜度不应小于3°</w:t>
      </w:r>
      <w:r>
        <w:rPr>
          <w:rFonts w:hint="eastAsia"/>
          <w:color w:val="auto"/>
          <w:sz w:val="24"/>
          <w:szCs w:val="24"/>
          <w:highlight w:val="none"/>
          <w:lang w:eastAsia="zh-CN"/>
        </w:rPr>
        <w:t>，</w:t>
      </w:r>
      <w:r>
        <w:rPr>
          <w:rFonts w:hint="eastAsia"/>
          <w:color w:val="auto"/>
          <w:sz w:val="24"/>
          <w:szCs w:val="24"/>
          <w:highlight w:val="none"/>
        </w:rPr>
        <w:t>并应装设防雨檐</w:t>
      </w:r>
      <w:r>
        <w:rPr>
          <w:rFonts w:hint="eastAsia"/>
          <w:color w:val="auto"/>
          <w:sz w:val="24"/>
          <w:szCs w:val="24"/>
          <w:highlight w:val="none"/>
          <w:lang w:eastAsia="zh-CN"/>
        </w:rPr>
        <w:t>。</w:t>
      </w:r>
      <w:r>
        <w:rPr>
          <w:rFonts w:hint="eastAsia"/>
          <w:color w:val="auto"/>
          <w:sz w:val="24"/>
          <w:szCs w:val="24"/>
          <w:highlight w:val="none"/>
        </w:rPr>
        <w:t>顶盖</w:t>
      </w:r>
      <w:r>
        <w:rPr>
          <w:rFonts w:hint="eastAsia"/>
          <w:color w:val="auto"/>
          <w:sz w:val="24"/>
          <w:szCs w:val="24"/>
          <w:highlight w:val="none"/>
          <w:lang w:val="en-US" w:eastAsia="zh-CN"/>
        </w:rPr>
        <w:t>有隔热作用，减少日照引起的变电站室内温度升高，顶部承受不小于2500N/m2负荷，并确保顶盖不渗水、滴漏。</w:t>
      </w:r>
    </w:p>
    <w:p w14:paraId="01B9168E">
      <w:pPr>
        <w:spacing w:line="360" w:lineRule="auto"/>
        <w:ind w:firstLine="480" w:firstLineChars="200"/>
        <w:rPr>
          <w:rFonts w:hint="eastAsia"/>
          <w:sz w:val="24"/>
          <w:szCs w:val="24"/>
          <w:highlight w:val="none"/>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cstheme="minorEastAsia"/>
          <w:color w:val="auto"/>
          <w:sz w:val="24"/>
          <w:szCs w:val="24"/>
          <w:highlight w:val="none"/>
        </w:rPr>
        <w:t>）</w:t>
      </w:r>
      <w:r>
        <w:rPr>
          <w:rFonts w:hint="eastAsia"/>
          <w:sz w:val="24"/>
          <w:szCs w:val="24"/>
          <w:highlight w:val="none"/>
        </w:rPr>
        <w:t>箱体基座和所有外露金属件均应进行防锈处理，并喷涂耐久的防护层。</w:t>
      </w:r>
    </w:p>
    <w:p w14:paraId="16DB85E6">
      <w:pPr>
        <w:spacing w:line="360" w:lineRule="auto"/>
        <w:ind w:firstLine="480" w:firstLineChars="200"/>
        <w:rPr>
          <w:rFonts w:hint="eastAsia"/>
          <w:sz w:val="24"/>
          <w:szCs w:val="24"/>
          <w:highlight w:val="none"/>
        </w:rPr>
      </w:pPr>
      <w:r>
        <w:rPr>
          <w:rFonts w:hint="eastAsia" w:asciiTheme="minorEastAsia" w:hAnsiTheme="minorEastAsia" w:cstheme="minorEastAsia"/>
          <w:color w:val="auto"/>
          <w:sz w:val="24"/>
          <w:szCs w:val="24"/>
          <w:highlight w:val="none"/>
          <w:lang w:val="en-US" w:eastAsia="zh-CN"/>
        </w:rPr>
        <w:t>6</w:t>
      </w:r>
      <w:r>
        <w:rPr>
          <w:rFonts w:hint="eastAsia" w:asciiTheme="minorEastAsia" w:hAnsiTheme="minorEastAsia" w:cstheme="minorEastAsia"/>
          <w:color w:val="auto"/>
          <w:sz w:val="24"/>
          <w:szCs w:val="24"/>
          <w:highlight w:val="none"/>
        </w:rPr>
        <w:t>）</w:t>
      </w:r>
      <w:r>
        <w:rPr>
          <w:rFonts w:hint="eastAsia"/>
          <w:sz w:val="24"/>
          <w:szCs w:val="24"/>
          <w:highlight w:val="none"/>
        </w:rPr>
        <w:t>箱体应有可靠的密封性能，门、窗和通风口应设防尘、防小动物进入和防渗、漏雨水措施。箱体的内部金属构件亦应进行防锈处理和喷涂防护层。</w:t>
      </w:r>
    </w:p>
    <w:p w14:paraId="4AD34583">
      <w:pPr>
        <w:spacing w:line="360" w:lineRule="auto"/>
        <w:ind w:firstLine="480" w:firstLineChars="200"/>
        <w:rPr>
          <w:sz w:val="24"/>
          <w:szCs w:val="24"/>
          <w:highlight w:val="none"/>
        </w:rPr>
      </w:pPr>
      <w:r>
        <w:rPr>
          <w:rFonts w:hint="eastAsia" w:asciiTheme="minorEastAsia" w:hAnsiTheme="minorEastAsia" w:cstheme="minorEastAsia"/>
          <w:color w:val="auto"/>
          <w:sz w:val="24"/>
          <w:szCs w:val="24"/>
          <w:highlight w:val="none"/>
          <w:lang w:val="en-US" w:eastAsia="zh-CN"/>
        </w:rPr>
        <w:t>7</w:t>
      </w:r>
      <w:r>
        <w:rPr>
          <w:rFonts w:hint="eastAsia" w:asciiTheme="minorEastAsia" w:hAnsiTheme="minorEastAsia" w:cstheme="minorEastAsia"/>
          <w:color w:val="auto"/>
          <w:sz w:val="24"/>
          <w:szCs w:val="24"/>
          <w:highlight w:val="none"/>
        </w:rPr>
        <w:t>）</w:t>
      </w:r>
      <w:r>
        <w:rPr>
          <w:rFonts w:hint="eastAsia"/>
          <w:sz w:val="24"/>
          <w:szCs w:val="24"/>
          <w:highlight w:val="none"/>
        </w:rPr>
        <w:t xml:space="preserve"> 高、低压室和变压器室应设自动开闭的照明设施。</w:t>
      </w:r>
    </w:p>
    <w:p w14:paraId="5FF44AE5">
      <w:pPr>
        <w:pStyle w:val="9"/>
        <w:spacing w:line="360" w:lineRule="auto"/>
        <w:rPr>
          <w:rFonts w:hint="eastAsia" w:asciiTheme="minorEastAsia" w:hAnsiTheme="minorEastAsia" w:cstheme="minorEastAsia"/>
          <w:b/>
          <w:bCs/>
          <w:sz w:val="24"/>
          <w:szCs w:val="24"/>
        </w:rPr>
      </w:pPr>
      <w:r>
        <w:rPr>
          <w:rFonts w:hint="eastAsia" w:asciiTheme="minorEastAsia" w:hAnsiTheme="minorEastAsia" w:cstheme="minorEastAsia"/>
          <w:sz w:val="24"/>
          <w:szCs w:val="24"/>
        </w:rPr>
        <w:t>3.</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2箱变内的</w:t>
      </w:r>
      <w:r>
        <w:rPr>
          <w:rFonts w:hint="eastAsia" w:asciiTheme="minorEastAsia" w:hAnsiTheme="minorEastAsia" w:cstheme="minorEastAsia"/>
          <w:sz w:val="24"/>
          <w:szCs w:val="24"/>
        </w:rPr>
        <w:t>变压器</w:t>
      </w:r>
      <w:r>
        <w:rPr>
          <w:rFonts w:hint="eastAsia" w:asciiTheme="minorEastAsia" w:hAnsiTheme="minorEastAsia" w:cstheme="minorEastAsia"/>
          <w:b/>
          <w:bCs/>
          <w:sz w:val="24"/>
          <w:szCs w:val="24"/>
        </w:rPr>
        <w:t>（</w:t>
      </w:r>
      <w:r>
        <w:rPr>
          <w:rFonts w:hint="eastAsia" w:asciiTheme="minorEastAsia" w:hAnsiTheme="minorEastAsia" w:cstheme="minorEastAsia"/>
          <w:b/>
          <w:bCs/>
          <w:sz w:val="24"/>
          <w:szCs w:val="24"/>
          <w:lang w:val="en-US" w:eastAsia="zh-CN"/>
        </w:rPr>
        <w:t>买方提</w:t>
      </w:r>
      <w:r>
        <w:rPr>
          <w:rFonts w:hint="eastAsia" w:asciiTheme="minorEastAsia" w:hAnsiTheme="minorEastAsia" w:cstheme="minorEastAsia"/>
          <w:b/>
          <w:bCs/>
          <w:sz w:val="24"/>
          <w:szCs w:val="24"/>
        </w:rPr>
        <w:t>供</w:t>
      </w:r>
      <w:r>
        <w:rPr>
          <w:rFonts w:hint="eastAsia" w:asciiTheme="minorEastAsia" w:hAnsiTheme="minorEastAsia" w:cstheme="minorEastAsia"/>
          <w:b/>
          <w:bCs/>
          <w:sz w:val="24"/>
          <w:szCs w:val="24"/>
          <w:lang w:val="en-US" w:eastAsia="zh-CN"/>
        </w:rPr>
        <w:t>变压器</w:t>
      </w:r>
      <w:r>
        <w:rPr>
          <w:rFonts w:hint="eastAsia" w:asciiTheme="minorEastAsia" w:hAnsiTheme="minorEastAsia" w:cstheme="minorEastAsia"/>
          <w:b/>
          <w:bCs/>
          <w:sz w:val="24"/>
          <w:szCs w:val="24"/>
          <w:lang w:eastAsia="zh-CN"/>
        </w:rPr>
        <w:t>；</w:t>
      </w:r>
      <w:r>
        <w:rPr>
          <w:rFonts w:hint="eastAsia" w:asciiTheme="minorEastAsia" w:hAnsiTheme="minorEastAsia" w:cstheme="minorEastAsia"/>
          <w:b/>
          <w:bCs/>
          <w:sz w:val="24"/>
          <w:szCs w:val="24"/>
          <w:lang w:val="en-US" w:eastAsia="zh-CN"/>
        </w:rPr>
        <w:t>卖方负责变压器的转运，并保证转运和装配过程中设备的完好，承担转运费用</w:t>
      </w:r>
      <w:r>
        <w:rPr>
          <w:rFonts w:hint="eastAsia" w:asciiTheme="minorEastAsia" w:hAnsiTheme="minorEastAsia" w:cstheme="minorEastAsia"/>
          <w:b/>
          <w:bCs/>
          <w:sz w:val="24"/>
          <w:szCs w:val="24"/>
        </w:rPr>
        <w:t>）</w:t>
      </w:r>
    </w:p>
    <w:p w14:paraId="136749D9">
      <w:pPr>
        <w:pStyle w:val="9"/>
        <w:spacing w:line="360" w:lineRule="auto"/>
        <w:ind w:firstLine="520" w:firstLineChars="217"/>
        <w:rPr>
          <w:rFonts w:hint="eastAsia" w:asciiTheme="minorEastAsia" w:hAnsiTheme="minorEastAsia" w:cstheme="minorEastAsia"/>
          <w:sz w:val="24"/>
          <w:szCs w:val="24"/>
        </w:rPr>
      </w:pPr>
      <w:r>
        <w:rPr>
          <w:rFonts w:hint="eastAsia" w:asciiTheme="minorEastAsia" w:hAnsiTheme="minorEastAsia" w:cstheme="minorEastAsia"/>
          <w:sz w:val="24"/>
          <w:szCs w:val="24"/>
        </w:rPr>
        <w:t>1）变压器的铭牌应面向箱门。</w:t>
      </w:r>
    </w:p>
    <w:p w14:paraId="38ABDAC7">
      <w:pPr>
        <w:pStyle w:val="9"/>
        <w:spacing w:line="360" w:lineRule="auto"/>
        <w:ind w:firstLine="520" w:firstLineChars="217"/>
        <w:rPr>
          <w:rFonts w:hint="eastAsia" w:asciiTheme="minorEastAsia" w:hAnsiTheme="minorEastAsia" w:cstheme="minorEastAsia"/>
          <w:sz w:val="24"/>
          <w:szCs w:val="24"/>
        </w:rPr>
      </w:pPr>
      <w:r>
        <w:rPr>
          <w:rFonts w:hint="eastAsia" w:asciiTheme="minorEastAsia" w:hAnsiTheme="minorEastAsia" w:cstheme="minorEastAsia"/>
          <w:sz w:val="24"/>
          <w:szCs w:val="24"/>
        </w:rPr>
        <w:t>2）与变压器相连接的高、低压连线可采用</w:t>
      </w:r>
      <w:r>
        <w:rPr>
          <w:rFonts w:hint="eastAsia" w:asciiTheme="minorEastAsia" w:hAnsiTheme="minorEastAsia" w:cstheme="minorEastAsia"/>
          <w:color w:val="auto"/>
          <w:sz w:val="24"/>
          <w:szCs w:val="24"/>
        </w:rPr>
        <w:t>铜排或绝缘线</w:t>
      </w:r>
      <w:r>
        <w:rPr>
          <w:rFonts w:hint="eastAsia" w:asciiTheme="minorEastAsia" w:hAnsiTheme="minorEastAsia" w:cstheme="minorEastAsia"/>
          <w:sz w:val="24"/>
          <w:szCs w:val="24"/>
        </w:rPr>
        <w:t>，其截面选择应满足额定电流和热稳定电流的要求，固定方式应满足动稳定电流的要求。铜排穿过箱变内壁时应采用绝缘封堵。</w:t>
      </w:r>
    </w:p>
    <w:p w14:paraId="47CCEE48">
      <w:pPr>
        <w:pStyle w:val="9"/>
        <w:spacing w:line="360" w:lineRule="auto"/>
        <w:ind w:firstLine="520" w:firstLineChars="217"/>
        <w:rPr>
          <w:rFonts w:hint="eastAsia" w:asciiTheme="minorEastAsia" w:hAnsiTheme="minorEastAsia" w:cstheme="minorEastAsia"/>
          <w:sz w:val="24"/>
          <w:szCs w:val="24"/>
        </w:rPr>
      </w:pPr>
      <w:r>
        <w:rPr>
          <w:rFonts w:hint="eastAsia" w:asciiTheme="minorEastAsia" w:hAnsiTheme="minorEastAsia" w:cstheme="minorEastAsia"/>
          <w:sz w:val="24"/>
          <w:szCs w:val="24"/>
        </w:rPr>
        <w:t>3）变压器室应根据高压配电装置设计技术规程的要求装设可靠的安全防护网或遮栏</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并设应具有带电闭锁防护网（或遮栏）打开的功能。</w:t>
      </w:r>
    </w:p>
    <w:p w14:paraId="5F778DA9">
      <w:pPr>
        <w:pStyle w:val="9"/>
        <w:spacing w:line="360" w:lineRule="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rPr>
        <w:t>3.</w:t>
      </w:r>
      <w:r>
        <w:rPr>
          <w:rFonts w:hint="eastAsia" w:asciiTheme="minorEastAsia" w:hAnsiTheme="minorEastAsia" w:cstheme="minorEastAsia"/>
          <w:b w:val="0"/>
          <w:bCs w:val="0"/>
          <w:sz w:val="24"/>
          <w:szCs w:val="24"/>
          <w:lang w:val="en-US" w:eastAsia="zh-CN"/>
        </w:rPr>
        <w:t>2</w:t>
      </w:r>
      <w:r>
        <w:rPr>
          <w:rFonts w:hint="eastAsia" w:asciiTheme="minorEastAsia" w:hAnsi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3箱变内的</w:t>
      </w:r>
      <w:r>
        <w:rPr>
          <w:rFonts w:hint="eastAsia" w:asciiTheme="minorEastAsia" w:hAnsiTheme="minorEastAsia" w:cstheme="minorEastAsia"/>
          <w:b w:val="0"/>
          <w:bCs w:val="0"/>
          <w:sz w:val="24"/>
          <w:szCs w:val="24"/>
        </w:rPr>
        <w:t>高压配电</w:t>
      </w:r>
      <w:r>
        <w:rPr>
          <w:rFonts w:hint="eastAsia" w:asciiTheme="minorEastAsia" w:hAnsiTheme="minorEastAsia" w:cstheme="minorEastAsia"/>
          <w:b w:val="0"/>
          <w:bCs w:val="0"/>
          <w:sz w:val="24"/>
          <w:szCs w:val="24"/>
          <w:lang w:val="en-US" w:eastAsia="zh-CN"/>
        </w:rPr>
        <w:t>柜技术要求</w:t>
      </w:r>
    </w:p>
    <w:p w14:paraId="088267D0">
      <w:pPr>
        <w:pStyle w:val="9"/>
        <w:spacing w:line="360" w:lineRule="auto"/>
        <w:ind w:firstLine="520" w:firstLineChars="217"/>
        <w:rPr>
          <w:rFonts w:hint="eastAsia" w:asciiTheme="minorEastAsia" w:hAnsiTheme="minorEastAsia" w:cstheme="minorEastAsia"/>
          <w:sz w:val="24"/>
          <w:szCs w:val="24"/>
        </w:rPr>
      </w:pPr>
      <w:r>
        <w:rPr>
          <w:rFonts w:hint="eastAsia" w:asciiTheme="minorEastAsia" w:hAnsiTheme="minorEastAsia" w:cstheme="minorEastAsia"/>
          <w:sz w:val="24"/>
          <w:szCs w:val="24"/>
        </w:rPr>
        <w:t>1）</w:t>
      </w:r>
      <w:r>
        <w:rPr>
          <w:sz w:val="24"/>
          <w:szCs w:val="24"/>
        </w:rPr>
        <w:t>高压开关柜应优先选择</w:t>
      </w:r>
      <w:r>
        <w:rPr>
          <w:color w:val="auto"/>
          <w:sz w:val="24"/>
          <w:szCs w:val="24"/>
        </w:rPr>
        <w:t>LSC2</w:t>
      </w:r>
      <w:r>
        <w:rPr>
          <w:sz w:val="24"/>
          <w:szCs w:val="24"/>
        </w:rPr>
        <w:t>类（具备运行连续性功能）高压开关柜，即当打开功能单元的任意一个可触及隔室时（除母线隔室外），所有其他功能单元仍可继续带电正常运行的开关柜。</w:t>
      </w:r>
    </w:p>
    <w:p w14:paraId="0DD53AC2">
      <w:pPr>
        <w:pStyle w:val="9"/>
        <w:spacing w:line="360" w:lineRule="auto"/>
        <w:ind w:firstLine="520" w:firstLineChars="217"/>
        <w:rPr>
          <w:rFonts w:hint="eastAsia" w:asciiTheme="minorEastAsia" w:hAnsiTheme="minorEastAsia" w:cstheme="minorEastAsia"/>
          <w:sz w:val="24"/>
          <w:szCs w:val="24"/>
        </w:rPr>
      </w:pPr>
      <w:r>
        <w:rPr>
          <w:rFonts w:hint="eastAsia" w:asciiTheme="minorEastAsia" w:hAnsiTheme="minorEastAsia" w:cstheme="minorEastAsia"/>
          <w:sz w:val="24"/>
          <w:szCs w:val="24"/>
        </w:rPr>
        <w:t>2）</w:t>
      </w:r>
      <w:r>
        <w:rPr>
          <w:sz w:val="24"/>
          <w:szCs w:val="24"/>
        </w:rPr>
        <w:t>高压开关柜应满足IAC级的要求，断路器室、母线室、电缆室等隔室的内部故障电弧允许持续时间不应小于1s，试验电流为</w:t>
      </w:r>
      <w:r>
        <w:rPr>
          <w:rFonts w:hint="eastAsia"/>
          <w:sz w:val="24"/>
          <w:szCs w:val="24"/>
        </w:rPr>
        <w:t>31.5</w:t>
      </w:r>
      <w:r>
        <w:rPr>
          <w:sz w:val="24"/>
          <w:szCs w:val="24"/>
        </w:rPr>
        <w:t>kA进行内部故障电弧试验</w:t>
      </w:r>
      <w:r>
        <w:rPr>
          <w:rFonts w:hint="eastAsia" w:asciiTheme="minorEastAsia" w:hAnsiTheme="minorEastAsia" w:cstheme="minorEastAsia"/>
          <w:sz w:val="24"/>
          <w:szCs w:val="24"/>
        </w:rPr>
        <w:t>。</w:t>
      </w:r>
    </w:p>
    <w:p w14:paraId="483BCDB0">
      <w:pPr>
        <w:pStyle w:val="9"/>
        <w:spacing w:line="360" w:lineRule="auto"/>
        <w:ind w:firstLine="520" w:firstLineChars="217"/>
        <w:rPr>
          <w:rFonts w:hint="eastAsia" w:asciiTheme="minorEastAsia" w:hAnsiTheme="minorEastAsia" w:cstheme="minorEastAsia"/>
          <w:sz w:val="24"/>
          <w:szCs w:val="24"/>
        </w:rPr>
      </w:pPr>
      <w:r>
        <w:rPr>
          <w:rFonts w:hint="eastAsia" w:asciiTheme="minorEastAsia" w:hAnsiTheme="minorEastAsia" w:cstheme="minorEastAsia"/>
          <w:sz w:val="24"/>
          <w:szCs w:val="24"/>
        </w:rPr>
        <w:t>3）</w:t>
      </w:r>
      <w:r>
        <w:rPr>
          <w:sz w:val="24"/>
          <w:szCs w:val="24"/>
        </w:rPr>
        <w:t>高压开关柜内的进出线套管、机械活门、母排拐弯处等场强较为集中的部位，应采取倒角处理等措施</w:t>
      </w:r>
      <w:r>
        <w:rPr>
          <w:rFonts w:hint="eastAsia"/>
          <w:sz w:val="24"/>
          <w:szCs w:val="24"/>
        </w:rPr>
        <w:t>。</w:t>
      </w:r>
    </w:p>
    <w:p w14:paraId="1438BB56">
      <w:pPr>
        <w:pStyle w:val="9"/>
        <w:spacing w:line="360" w:lineRule="auto"/>
        <w:ind w:firstLine="520" w:firstLineChars="217"/>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rPr>
        <w:t>）</w:t>
      </w:r>
      <w:r>
        <w:rPr>
          <w:sz w:val="24"/>
          <w:szCs w:val="24"/>
        </w:rPr>
        <w:t>开关柜应分为断路器室、母线室、</w:t>
      </w:r>
      <w:r>
        <w:rPr>
          <w:color w:val="auto"/>
          <w:sz w:val="24"/>
          <w:szCs w:val="24"/>
        </w:rPr>
        <w:t>电缆室</w:t>
      </w:r>
      <w:r>
        <w:rPr>
          <w:sz w:val="24"/>
          <w:szCs w:val="24"/>
        </w:rPr>
        <w:t>和控制仪表室等金属封闭的独立隔室，泄压通道或压力释放装置的位置应设计合理，当产生内部故障电弧时，压力释放装置应能可靠打开，压力释放方向应可靠避开人员和其他设备。</w:t>
      </w:r>
    </w:p>
    <w:p w14:paraId="2A3DD9D0">
      <w:pPr>
        <w:pStyle w:val="9"/>
        <w:spacing w:line="360" w:lineRule="auto"/>
        <w:ind w:firstLine="520" w:firstLineChars="217"/>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w:t>
      </w:r>
      <w:r>
        <w:rPr>
          <w:sz w:val="24"/>
          <w:szCs w:val="24"/>
        </w:rPr>
        <w:t>对接地的要求：每个开关柜的外壳应通过专门的接地点可靠接地，接地回路应满足短路电流的动、热稳定要求。主回路中凡规定或需要触及的所有部件都应可靠接地。</w:t>
      </w:r>
    </w:p>
    <w:p w14:paraId="7C3F6E40">
      <w:pPr>
        <w:pStyle w:val="9"/>
        <w:spacing w:line="360" w:lineRule="auto"/>
        <w:ind w:firstLine="520" w:firstLineChars="217"/>
        <w:rPr>
          <w:sz w:val="24"/>
          <w:szCs w:val="24"/>
        </w:rPr>
      </w:pPr>
      <w:r>
        <w:rPr>
          <w:rFonts w:hint="eastAsia"/>
          <w:sz w:val="24"/>
          <w:szCs w:val="24"/>
          <w:lang w:val="en-US" w:eastAsia="zh-CN"/>
        </w:rPr>
        <w:t>6</w:t>
      </w:r>
      <w:r>
        <w:rPr>
          <w:rFonts w:hint="eastAsia"/>
          <w:sz w:val="24"/>
          <w:szCs w:val="24"/>
        </w:rPr>
        <w:t>）</w:t>
      </w:r>
      <w:r>
        <w:rPr>
          <w:sz w:val="24"/>
          <w:szCs w:val="24"/>
        </w:rPr>
        <w:t>开关柜应具有可靠的“五防”功能：</w:t>
      </w:r>
    </w:p>
    <w:p w14:paraId="28758F8D">
      <w:pPr>
        <w:pStyle w:val="9"/>
        <w:numPr>
          <w:ilvl w:val="0"/>
          <w:numId w:val="2"/>
        </w:numPr>
        <w:spacing w:line="360" w:lineRule="auto"/>
        <w:ind w:left="1260" w:leftChars="0" w:hanging="420" w:firstLineChars="0"/>
        <w:rPr>
          <w:sz w:val="24"/>
          <w:szCs w:val="24"/>
        </w:rPr>
      </w:pPr>
      <w:bookmarkStart w:id="5" w:name="OLE_LINK10"/>
      <w:r>
        <w:rPr>
          <w:sz w:val="24"/>
          <w:szCs w:val="24"/>
        </w:rPr>
        <w:t>防止误分、误合断路器；</w:t>
      </w:r>
    </w:p>
    <w:p w14:paraId="4110E944">
      <w:pPr>
        <w:pStyle w:val="9"/>
        <w:numPr>
          <w:ilvl w:val="0"/>
          <w:numId w:val="3"/>
        </w:numPr>
        <w:spacing w:line="360" w:lineRule="auto"/>
        <w:ind w:left="1260" w:leftChars="0" w:hanging="420" w:firstLineChars="0"/>
        <w:rPr>
          <w:sz w:val="24"/>
          <w:szCs w:val="24"/>
        </w:rPr>
      </w:pPr>
      <w:r>
        <w:rPr>
          <w:sz w:val="24"/>
          <w:szCs w:val="24"/>
        </w:rPr>
        <w:t>防止带负荷分、合隔离开关（插头）；</w:t>
      </w:r>
    </w:p>
    <w:p w14:paraId="40D1B5C3">
      <w:pPr>
        <w:pStyle w:val="9"/>
        <w:numPr>
          <w:ilvl w:val="0"/>
          <w:numId w:val="3"/>
        </w:numPr>
        <w:spacing w:line="360" w:lineRule="auto"/>
        <w:ind w:left="1260" w:leftChars="0" w:hanging="420" w:firstLineChars="0"/>
        <w:rPr>
          <w:sz w:val="24"/>
          <w:szCs w:val="24"/>
        </w:rPr>
      </w:pPr>
      <w:r>
        <w:rPr>
          <w:sz w:val="24"/>
          <w:szCs w:val="24"/>
        </w:rPr>
        <w:t>防止带电分、合接地开关；</w:t>
      </w:r>
    </w:p>
    <w:p w14:paraId="4836CE6F">
      <w:pPr>
        <w:pStyle w:val="9"/>
        <w:numPr>
          <w:ilvl w:val="0"/>
          <w:numId w:val="3"/>
        </w:numPr>
        <w:spacing w:line="360" w:lineRule="auto"/>
        <w:ind w:left="1260" w:leftChars="0" w:hanging="420" w:firstLineChars="0"/>
        <w:rPr>
          <w:sz w:val="24"/>
          <w:szCs w:val="24"/>
        </w:rPr>
      </w:pPr>
      <w:r>
        <w:rPr>
          <w:sz w:val="24"/>
          <w:szCs w:val="24"/>
        </w:rPr>
        <w:t>防止带接地开关送电；</w:t>
      </w:r>
    </w:p>
    <w:p w14:paraId="799A54EF">
      <w:pPr>
        <w:pStyle w:val="9"/>
        <w:numPr>
          <w:ilvl w:val="0"/>
          <w:numId w:val="3"/>
        </w:numPr>
        <w:spacing w:line="360" w:lineRule="auto"/>
        <w:ind w:left="1260" w:leftChars="0" w:hanging="420" w:firstLineChars="0"/>
        <w:rPr>
          <w:sz w:val="24"/>
          <w:szCs w:val="24"/>
        </w:rPr>
      </w:pPr>
      <w:r>
        <w:rPr>
          <w:sz w:val="24"/>
          <w:szCs w:val="24"/>
        </w:rPr>
        <w:t>防止误入带电间隔。</w:t>
      </w:r>
    </w:p>
    <w:p w14:paraId="30B94225">
      <w:pPr>
        <w:pStyle w:val="9"/>
        <w:spacing w:line="360" w:lineRule="auto"/>
        <w:ind w:firstLine="520" w:firstLineChars="217"/>
        <w:rPr>
          <w:sz w:val="24"/>
          <w:szCs w:val="24"/>
        </w:rPr>
      </w:pPr>
      <w:r>
        <w:rPr>
          <w:rFonts w:hint="eastAsia"/>
          <w:sz w:val="24"/>
          <w:szCs w:val="24"/>
          <w:lang w:val="en-US" w:eastAsia="zh-CN"/>
        </w:rPr>
        <w:t>7</w:t>
      </w:r>
      <w:r>
        <w:rPr>
          <w:sz w:val="24"/>
          <w:szCs w:val="24"/>
        </w:rPr>
        <w:t>）电缆室门与接地开关采取机械闭锁方式，并有紧急解锁装置。</w:t>
      </w:r>
    </w:p>
    <w:p w14:paraId="671CAB4D">
      <w:pPr>
        <w:pStyle w:val="9"/>
        <w:spacing w:line="360" w:lineRule="auto"/>
        <w:ind w:firstLine="520" w:firstLineChars="217"/>
        <w:rPr>
          <w:sz w:val="24"/>
          <w:szCs w:val="24"/>
        </w:rPr>
      </w:pPr>
      <w:r>
        <w:rPr>
          <w:rFonts w:hint="eastAsia"/>
          <w:sz w:val="24"/>
          <w:szCs w:val="24"/>
          <w:lang w:val="en-US" w:eastAsia="zh-CN"/>
        </w:rPr>
        <w:t>8</w:t>
      </w:r>
      <w:r>
        <w:rPr>
          <w:sz w:val="24"/>
          <w:szCs w:val="24"/>
        </w:rPr>
        <w:t>）进出线柜应装有能反映出线侧有无电压，并具有自检功能的带电显示装置，并应装设在二次小室。当出线侧带电时，应闭锁操作接地开关，并通过电磁锁直接闭锁后柜门。</w:t>
      </w:r>
    </w:p>
    <w:p w14:paraId="47D427B7">
      <w:pPr>
        <w:pStyle w:val="9"/>
        <w:spacing w:line="360" w:lineRule="auto"/>
        <w:ind w:firstLine="520" w:firstLineChars="217"/>
        <w:rPr>
          <w:sz w:val="24"/>
          <w:szCs w:val="24"/>
        </w:rPr>
      </w:pPr>
      <w:r>
        <w:rPr>
          <w:rFonts w:hint="eastAsia"/>
          <w:sz w:val="24"/>
          <w:szCs w:val="24"/>
          <w:lang w:val="en-US" w:eastAsia="zh-CN"/>
        </w:rPr>
        <w:t>9</w:t>
      </w:r>
      <w:r>
        <w:rPr>
          <w:sz w:val="24"/>
          <w:szCs w:val="24"/>
        </w:rPr>
        <w:t>）变压器开关柜的前门应具有带电显示强制闭锁，并留有方便变压器检修时接地线的部位，要求与柜前门有相互闭锁。</w:t>
      </w:r>
    </w:p>
    <w:p w14:paraId="05A86F61">
      <w:pPr>
        <w:pStyle w:val="9"/>
        <w:spacing w:line="360" w:lineRule="auto"/>
        <w:ind w:firstLine="520" w:firstLineChars="217"/>
        <w:rPr>
          <w:rFonts w:asciiTheme="minorEastAsia" w:hAnsiTheme="minorEastAsia" w:cstheme="minorEastAsia"/>
          <w:sz w:val="24"/>
          <w:szCs w:val="24"/>
        </w:rPr>
      </w:pPr>
      <w:r>
        <w:rPr>
          <w:rFonts w:hint="eastAsia"/>
          <w:sz w:val="24"/>
          <w:szCs w:val="24"/>
          <w:lang w:val="en-US" w:eastAsia="zh-CN"/>
        </w:rPr>
        <w:t>10</w:t>
      </w:r>
      <w:r>
        <w:rPr>
          <w:sz w:val="24"/>
          <w:szCs w:val="24"/>
        </w:rPr>
        <w:t>）开关柜电气闭锁应单独设置电源回路，且</w:t>
      </w:r>
      <w:r>
        <w:rPr>
          <w:rFonts w:asciiTheme="minorEastAsia" w:hAnsiTheme="minorEastAsia" w:cstheme="minorEastAsia"/>
          <w:sz w:val="24"/>
          <w:szCs w:val="24"/>
        </w:rPr>
        <w:t>与其他回路独立。</w:t>
      </w:r>
    </w:p>
    <w:bookmarkEnd w:id="5"/>
    <w:p w14:paraId="3DBA5A14">
      <w:pPr>
        <w:pStyle w:val="9"/>
        <w:spacing w:line="360" w:lineRule="auto"/>
        <w:ind w:firstLine="520" w:firstLineChars="217"/>
        <w:rPr>
          <w:sz w:val="24"/>
          <w:szCs w:val="24"/>
        </w:rPr>
      </w:pPr>
      <w:bookmarkStart w:id="6" w:name="OLE_LINK9"/>
      <w:r>
        <w:rPr>
          <w:rFonts w:hint="eastAsia" w:asciiTheme="minorEastAsia" w:hAnsiTheme="minorEastAsia" w:cstheme="minorEastAsia"/>
          <w:sz w:val="24"/>
          <w:szCs w:val="24"/>
          <w:lang w:val="en-US" w:eastAsia="zh-CN"/>
        </w:rPr>
        <w:t>11</w:t>
      </w:r>
      <w:r>
        <w:rPr>
          <w:rFonts w:hint="eastAsia" w:asciiTheme="minorEastAsia" w:hAnsiTheme="minorEastAsia" w:cstheme="minorEastAsia"/>
          <w:sz w:val="24"/>
          <w:szCs w:val="24"/>
        </w:rPr>
        <w:t>）</w:t>
      </w:r>
      <w:bookmarkEnd w:id="6"/>
      <w:r>
        <w:rPr>
          <w:sz w:val="24"/>
          <w:szCs w:val="24"/>
        </w:rPr>
        <w:t>开关柜电缆连接在下部进行，电缆室有足够电缆头安装空间，连接处距地面高度大于</w:t>
      </w:r>
      <w:r>
        <w:rPr>
          <w:rFonts w:hint="eastAsia"/>
          <w:sz w:val="24"/>
          <w:szCs w:val="24"/>
        </w:rPr>
        <w:t>5</w:t>
      </w:r>
      <w:r>
        <w:rPr>
          <w:sz w:val="24"/>
          <w:szCs w:val="24"/>
        </w:rPr>
        <w:t>00mm。</w:t>
      </w:r>
    </w:p>
    <w:p w14:paraId="57814C8A">
      <w:pPr>
        <w:pStyle w:val="9"/>
        <w:spacing w:line="360" w:lineRule="auto"/>
        <w:ind w:firstLine="520" w:firstLineChars="217"/>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12</w:t>
      </w:r>
      <w:r>
        <w:rPr>
          <w:rFonts w:hint="eastAsia" w:asciiTheme="minorEastAsia" w:hAnsiTheme="minorEastAsia" w:cstheme="minorEastAsia"/>
          <w:sz w:val="24"/>
          <w:szCs w:val="24"/>
        </w:rPr>
        <w:t>）</w:t>
      </w:r>
      <w:r>
        <w:rPr>
          <w:rFonts w:asciiTheme="minorEastAsia" w:hAnsiTheme="minorEastAsia" w:cstheme="minorEastAsia"/>
          <w:sz w:val="24"/>
          <w:szCs w:val="24"/>
        </w:rPr>
        <w:t>装设观察窗，以便操作人员检查。</w:t>
      </w:r>
    </w:p>
    <w:p w14:paraId="7E8E2785">
      <w:pPr>
        <w:pStyle w:val="9"/>
        <w:numPr>
          <w:ilvl w:val="0"/>
          <w:numId w:val="0"/>
        </w:numPr>
        <w:spacing w:line="360"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3.</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rPr>
        <w:t>低压配电</w:t>
      </w:r>
      <w:r>
        <w:rPr>
          <w:rFonts w:hint="eastAsia" w:asciiTheme="minorEastAsia" w:hAnsiTheme="minorEastAsia" w:cstheme="minorEastAsia"/>
          <w:sz w:val="24"/>
          <w:szCs w:val="24"/>
          <w:lang w:val="en-US" w:eastAsia="zh-CN"/>
        </w:rPr>
        <w:t>柜技术要求</w:t>
      </w:r>
    </w:p>
    <w:p w14:paraId="1AB3A3B2">
      <w:pPr>
        <w:pStyle w:val="9"/>
        <w:spacing w:line="360" w:lineRule="auto"/>
        <w:ind w:firstLine="520" w:firstLineChars="217"/>
        <w:rPr>
          <w:rFonts w:hint="eastAsia" w:asciiTheme="minorEastAsia" w:hAnsiTheme="minorEastAsia" w:cstheme="minorEastAsia"/>
          <w:sz w:val="24"/>
          <w:szCs w:val="24"/>
        </w:rPr>
      </w:pPr>
      <w:bookmarkStart w:id="7" w:name="OLE_LINK16"/>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rPr>
        <w:t>）低压配电</w:t>
      </w:r>
      <w:r>
        <w:rPr>
          <w:rFonts w:hint="eastAsia" w:asciiTheme="minorEastAsia" w:hAnsiTheme="minorEastAsia" w:cstheme="minorEastAsia"/>
          <w:sz w:val="24"/>
          <w:szCs w:val="24"/>
          <w:lang w:val="en-US" w:eastAsia="zh-CN"/>
        </w:rPr>
        <w:t>柜</w:t>
      </w:r>
      <w:r>
        <w:rPr>
          <w:rFonts w:hint="eastAsia" w:asciiTheme="minorEastAsia" w:hAnsiTheme="minorEastAsia" w:cstheme="minorEastAsia"/>
          <w:sz w:val="24"/>
          <w:szCs w:val="24"/>
        </w:rPr>
        <w:t>所选用的电器产品，其技术性能应满足有关的国家标准，并且是通过国家正式认证的定型产品。</w:t>
      </w:r>
    </w:p>
    <w:bookmarkEnd w:id="7"/>
    <w:p w14:paraId="7850CA83">
      <w:pPr>
        <w:pStyle w:val="9"/>
        <w:spacing w:line="360" w:lineRule="auto"/>
        <w:ind w:firstLine="520" w:firstLineChars="217"/>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）低压柜采用固定式结构</w:t>
      </w:r>
      <w:r>
        <w:rPr>
          <w:rFonts w:hint="eastAsia" w:asciiTheme="minorEastAsia" w:hAnsiTheme="minorEastAsia" w:cstheme="minorEastAsia"/>
          <w:sz w:val="24"/>
          <w:szCs w:val="24"/>
          <w:lang w:val="en-US" w:eastAsia="zh-CN"/>
        </w:rPr>
        <w:t>的</w:t>
      </w:r>
      <w:r>
        <w:rPr>
          <w:rFonts w:hint="eastAsia" w:asciiTheme="minorEastAsia" w:hAnsiTheme="minorEastAsia" w:cstheme="minorEastAsia"/>
          <w:sz w:val="24"/>
          <w:szCs w:val="24"/>
        </w:rPr>
        <w:t>GGD柜型。</w:t>
      </w:r>
      <w:r>
        <w:rPr>
          <w:rFonts w:asciiTheme="minorEastAsia" w:hAnsiTheme="minorEastAsia" w:cstheme="minorEastAsia"/>
          <w:sz w:val="24"/>
          <w:szCs w:val="24"/>
        </w:rPr>
        <w:t>柜体框架采用敷铝锌钢板</w:t>
      </w:r>
      <w:r>
        <w:rPr>
          <w:rFonts w:hint="eastAsia" w:asciiTheme="minorEastAsia" w:hAnsiTheme="minorEastAsia" w:cstheme="minorEastAsia"/>
          <w:sz w:val="24"/>
          <w:szCs w:val="24"/>
        </w:rPr>
        <w:t>或型材</w:t>
      </w:r>
      <w:r>
        <w:rPr>
          <w:rFonts w:asciiTheme="minorEastAsia" w:hAnsiTheme="minorEastAsia" w:cstheme="minorEastAsia"/>
          <w:sz w:val="24"/>
          <w:szCs w:val="24"/>
        </w:rPr>
        <w:t>，钢板</w:t>
      </w:r>
      <w:bookmarkStart w:id="8" w:name="OLE_LINK17"/>
      <w:r>
        <w:rPr>
          <w:rFonts w:asciiTheme="minorEastAsia" w:hAnsiTheme="minorEastAsia" w:cstheme="minorEastAsia"/>
          <w:sz w:val="24"/>
          <w:szCs w:val="24"/>
        </w:rPr>
        <w:t>厚度不小于2.0mm，</w:t>
      </w:r>
      <w:bookmarkEnd w:id="8"/>
      <w:r>
        <w:rPr>
          <w:rFonts w:hint="eastAsia" w:asciiTheme="minorEastAsia" w:hAnsiTheme="minorEastAsia" w:cstheme="minorEastAsia"/>
          <w:sz w:val="24"/>
          <w:szCs w:val="24"/>
        </w:rPr>
        <w:t>前</w:t>
      </w:r>
      <w:r>
        <w:rPr>
          <w:rFonts w:asciiTheme="minorEastAsia" w:hAnsiTheme="minorEastAsia" w:cstheme="minorEastAsia"/>
          <w:sz w:val="24"/>
          <w:szCs w:val="24"/>
        </w:rPr>
        <w:t>门采用优质冷轧钢板，厚度不小于2.0mm</w:t>
      </w:r>
      <w:r>
        <w:rPr>
          <w:rFonts w:hint="eastAsia" w:asciiTheme="minorEastAsia" w:hAnsiTheme="minorEastAsia" w:cstheme="minorEastAsia"/>
          <w:sz w:val="24"/>
          <w:szCs w:val="24"/>
          <w:lang w:eastAsia="zh-CN"/>
        </w:rPr>
        <w:t>。</w:t>
      </w:r>
      <w:r>
        <w:rPr>
          <w:rFonts w:asciiTheme="minorEastAsia" w:hAnsiTheme="minorEastAsia" w:cstheme="minorEastAsia"/>
          <w:sz w:val="24"/>
          <w:szCs w:val="24"/>
        </w:rPr>
        <w:t>钢板经过除油、除锈或磷化处理后，采用环氧树脂粉末高温静电喷塑、固化处理，面漆美观、附着力强、硬度高、耐腐蚀、抗老化，保光保色性好，不低于国标要求。</w:t>
      </w:r>
    </w:p>
    <w:p w14:paraId="3D337ECC">
      <w:pPr>
        <w:pStyle w:val="9"/>
        <w:spacing w:line="360" w:lineRule="auto"/>
        <w:ind w:firstLine="520" w:firstLineChars="217"/>
        <w:rPr>
          <w:rFonts w:hint="eastAsia" w:asciiTheme="minorEastAsia" w:hAnsi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rPr>
        <w:t>）低压配电装置的连线均应有明显的相别标记。低压主开关应选择能可靠开断短路电流。</w:t>
      </w:r>
    </w:p>
    <w:p w14:paraId="7023761A">
      <w:pPr>
        <w:pStyle w:val="9"/>
        <w:spacing w:line="360" w:lineRule="auto"/>
        <w:ind w:firstLine="520" w:firstLineChars="217"/>
        <w:rPr>
          <w:rFonts w:hint="eastAsia" w:asciiTheme="minorEastAsia" w:hAnsiTheme="minorEastAsia" w:cstheme="minorEastAsia"/>
          <w:sz w:val="24"/>
          <w:szCs w:val="24"/>
        </w:rPr>
      </w:pPr>
      <w:bookmarkStart w:id="9" w:name="OLE_LINK18"/>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rPr>
        <w:t>）</w:t>
      </w:r>
      <w:bookmarkEnd w:id="9"/>
      <w:r>
        <w:rPr>
          <w:rFonts w:hint="eastAsia" w:asciiTheme="minorEastAsia" w:hAnsiTheme="minorEastAsia" w:cstheme="minorEastAsia"/>
          <w:sz w:val="24"/>
          <w:szCs w:val="24"/>
        </w:rPr>
        <w:t>箱变的低压出线</w:t>
      </w:r>
      <w:r>
        <w:rPr>
          <w:rFonts w:hint="eastAsia" w:asciiTheme="minorEastAsia" w:hAnsiTheme="minorEastAsia" w:cstheme="minorEastAsia"/>
          <w:sz w:val="24"/>
          <w:szCs w:val="24"/>
          <w:lang w:val="en-US" w:eastAsia="zh-CN"/>
        </w:rPr>
        <w:t>柜</w:t>
      </w:r>
      <w:r>
        <w:rPr>
          <w:rFonts w:hint="eastAsia" w:asciiTheme="minorEastAsia" w:hAnsiTheme="minorEastAsia" w:cstheme="minorEastAsia"/>
          <w:sz w:val="24"/>
          <w:szCs w:val="24"/>
        </w:rPr>
        <w:t>按图纸</w:t>
      </w:r>
      <w:r>
        <w:rPr>
          <w:rFonts w:hint="eastAsia" w:asciiTheme="minorEastAsia" w:hAnsiTheme="minorEastAsia" w:cstheme="minorEastAsia"/>
          <w:sz w:val="24"/>
          <w:szCs w:val="24"/>
          <w:lang w:val="en-US" w:eastAsia="zh-CN"/>
        </w:rPr>
        <w:t>。</w:t>
      </w:r>
      <w:r>
        <w:rPr>
          <w:rFonts w:hint="eastAsia" w:asciiTheme="minorEastAsia" w:hAnsiTheme="minorEastAsia" w:cstheme="minorEastAsia"/>
          <w:color w:val="auto"/>
          <w:sz w:val="24"/>
          <w:szCs w:val="24"/>
          <w:lang w:val="en-US" w:eastAsia="zh-CN"/>
        </w:rPr>
        <w:t>低压总</w:t>
      </w:r>
      <w:r>
        <w:rPr>
          <w:rFonts w:hint="eastAsia" w:asciiTheme="minorEastAsia" w:hAnsiTheme="minorEastAsia" w:cstheme="minorEastAsia"/>
          <w:color w:val="auto"/>
          <w:sz w:val="24"/>
          <w:szCs w:val="24"/>
        </w:rPr>
        <w:t>进</w:t>
      </w:r>
      <w:r>
        <w:rPr>
          <w:rFonts w:hint="eastAsia" w:asciiTheme="minorEastAsia" w:hAnsiTheme="minorEastAsia" w:cstheme="minorEastAsia"/>
          <w:sz w:val="24"/>
          <w:szCs w:val="24"/>
        </w:rPr>
        <w:t>线开关选用框架断路器，四段保护。各出线回路采用塑壳</w:t>
      </w:r>
      <w:r>
        <w:rPr>
          <w:rFonts w:hint="eastAsia" w:asciiTheme="minorEastAsia" w:hAnsiTheme="minorEastAsia" w:cstheme="minorEastAsia"/>
          <w:sz w:val="24"/>
          <w:szCs w:val="24"/>
          <w:lang w:val="en-US" w:eastAsia="zh-CN"/>
        </w:rPr>
        <w:t>断路器，</w:t>
      </w:r>
      <w:r>
        <w:rPr>
          <w:rFonts w:hint="eastAsia" w:asciiTheme="minorEastAsia" w:hAnsiTheme="minorEastAsia" w:cstheme="minorEastAsia"/>
          <w:sz w:val="24"/>
          <w:szCs w:val="24"/>
        </w:rPr>
        <w:t>低压室门的内侧应标出主回路的线路图，信号灯及仪表应装设在易于观察和方便、安全地更换的地方。</w:t>
      </w:r>
    </w:p>
    <w:p w14:paraId="607A11C6">
      <w:pPr>
        <w:pStyle w:val="9"/>
        <w:spacing w:line="360" w:lineRule="auto"/>
        <w:ind w:firstLine="520" w:firstLineChars="217"/>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5</w:t>
      </w:r>
      <w:r>
        <w:rPr>
          <w:rFonts w:hint="eastAsia" w:asciiTheme="minorEastAsia" w:hAnsiTheme="minorEastAsia" w:cstheme="minorEastAsia"/>
          <w:color w:val="auto"/>
          <w:sz w:val="24"/>
          <w:szCs w:val="24"/>
        </w:rPr>
        <w:t>）防涡流发热措施</w:t>
      </w:r>
    </w:p>
    <w:p w14:paraId="0D3F071C">
      <w:pPr>
        <w:pStyle w:val="9"/>
        <w:spacing w:line="360" w:lineRule="auto"/>
        <w:ind w:firstLine="520" w:firstLineChars="217"/>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大电流低压开关柜电磁涡流会带来柜体内温升过高，因此低压开关柜母线载流量在3000A以上时，柜体设计中要求考虑有效地解决涡流及散热的影响，原则上就是围绕母线的磁路形成不了环路。</w:t>
      </w:r>
    </w:p>
    <w:p w14:paraId="76526A73">
      <w:pPr>
        <w:pStyle w:val="9"/>
        <w:numPr>
          <w:ilvl w:val="0"/>
          <w:numId w:val="4"/>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断路器额定电流≥3000A柜断路器柜内静触头安装隔板以及进线柜的安装隔板均采用国家标准的有效防涡流发热措施。</w:t>
      </w:r>
    </w:p>
    <w:p w14:paraId="7562C064">
      <w:pPr>
        <w:pStyle w:val="9"/>
        <w:numPr>
          <w:ilvl w:val="0"/>
          <w:numId w:val="4"/>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柜体框架柱体采用304不锈钢材料骨架（为无磁的奥氏体不锈钢），304不锈钢母线夹夹紧螺杆等措施。</w:t>
      </w:r>
    </w:p>
    <w:p w14:paraId="6210B15C">
      <w:pPr>
        <w:pStyle w:val="9"/>
        <w:numPr>
          <w:ilvl w:val="0"/>
          <w:numId w:val="4"/>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柜内采用诸如铝、不锈钢、环氧树脂、工程高强度塑料板等不导磁的材料，切断磁路降低柜体涡流及发热。</w:t>
      </w:r>
    </w:p>
    <w:p w14:paraId="6C242DBE">
      <w:pPr>
        <w:pStyle w:val="9"/>
        <w:numPr>
          <w:ilvl w:val="0"/>
          <w:numId w:val="4"/>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大电流低压开关柜要求为抗涡流柜体结构，柜体主框架六面中每一面中至少有一个框架为不锈钢柱体结构，各柱体之间固定连接构成牢固结构，防止柜体因电磁涡流产生振动形成噪音，防止柜体发热，</w:t>
      </w:r>
    </w:p>
    <w:p w14:paraId="3A699156">
      <w:pPr>
        <w:pStyle w:val="9"/>
        <w:numPr>
          <w:ilvl w:val="0"/>
          <w:numId w:val="4"/>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当母线穿越柜间时，厂家应采取可靠的防涡流措施。固定母线夹用金属紧固螺栓均应选用304不锈钢材料，以保证母线进入母线夹本体时不形成导磁回路。</w:t>
      </w:r>
    </w:p>
    <w:p w14:paraId="1D9862DE">
      <w:pPr>
        <w:pStyle w:val="9"/>
        <w:spacing w:line="360" w:lineRule="auto"/>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3.2</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5高压</w:t>
      </w:r>
      <w:r>
        <w:rPr>
          <w:rFonts w:hint="eastAsia" w:asciiTheme="minorEastAsia" w:hAnsiTheme="minorEastAsia" w:cstheme="minorEastAsia"/>
          <w:sz w:val="24"/>
          <w:szCs w:val="24"/>
        </w:rPr>
        <w:t>柜内</w:t>
      </w:r>
      <w:r>
        <w:rPr>
          <w:rFonts w:hint="eastAsia" w:asciiTheme="minorEastAsia" w:hAnsiTheme="minorEastAsia" w:cstheme="minorEastAsia"/>
          <w:sz w:val="24"/>
          <w:szCs w:val="24"/>
          <w:lang w:val="en-US" w:eastAsia="zh-CN"/>
        </w:rPr>
        <w:t>主</w:t>
      </w:r>
      <w:r>
        <w:rPr>
          <w:rFonts w:hint="eastAsia" w:asciiTheme="minorEastAsia" w:hAnsiTheme="minorEastAsia" w:cstheme="minorEastAsia"/>
          <w:color w:val="auto"/>
          <w:sz w:val="24"/>
          <w:szCs w:val="24"/>
          <w:lang w:val="en-US" w:eastAsia="zh-CN"/>
        </w:rPr>
        <w:t>要电器</w:t>
      </w:r>
      <w:r>
        <w:rPr>
          <w:rFonts w:hint="eastAsia" w:asciiTheme="minorEastAsia" w:hAnsiTheme="minorEastAsia" w:cstheme="minorEastAsia"/>
          <w:color w:val="auto"/>
          <w:sz w:val="24"/>
          <w:szCs w:val="24"/>
        </w:rPr>
        <w:t>元器件</w:t>
      </w:r>
      <w:r>
        <w:rPr>
          <w:rFonts w:hint="eastAsia" w:asciiTheme="minorEastAsia" w:hAnsiTheme="minorEastAsia" w:cstheme="minorEastAsia"/>
          <w:sz w:val="24"/>
          <w:szCs w:val="24"/>
        </w:rPr>
        <w:t>技术要求</w:t>
      </w:r>
    </w:p>
    <w:p w14:paraId="071F2D19">
      <w:pPr>
        <w:numPr>
          <w:ilvl w:val="0"/>
          <w:numId w:val="0"/>
        </w:num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rPr>
        <w:t>）</w:t>
      </w:r>
      <w:r>
        <w:rPr>
          <w:rFonts w:asciiTheme="minorEastAsia" w:hAnsiTheme="minorEastAsia" w:cstheme="minorEastAsia"/>
          <w:sz w:val="24"/>
          <w:szCs w:val="24"/>
        </w:rPr>
        <w:t>对真空断路器的要求</w:t>
      </w:r>
    </w:p>
    <w:p w14:paraId="1F4B81CB">
      <w:pPr>
        <w:numPr>
          <w:ilvl w:val="0"/>
          <w:numId w:val="5"/>
        </w:numPr>
        <w:spacing w:line="360" w:lineRule="auto"/>
        <w:ind w:left="1050" w:leftChars="0" w:hanging="420" w:firstLineChars="0"/>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真空灭弧室选用陕西宝光、</w:t>
      </w:r>
      <w:r>
        <w:rPr>
          <w:rFonts w:hint="eastAsia" w:asciiTheme="minorEastAsia" w:hAnsiTheme="minorEastAsia" w:eastAsiaTheme="minorEastAsia" w:cstheme="minorEastAsia"/>
          <w:color w:val="auto"/>
          <w:kern w:val="2"/>
          <w:sz w:val="24"/>
          <w:szCs w:val="24"/>
          <w:lang w:val="en-US" w:eastAsia="zh-CN" w:bidi="ar-SA"/>
        </w:rPr>
        <w:t>成都旭光、贵州</w:t>
      </w:r>
      <w:r>
        <w:rPr>
          <w:rFonts w:hint="eastAsia" w:asciiTheme="minorEastAsia" w:hAnsiTheme="minorEastAsia" w:cstheme="minorEastAsia"/>
          <w:color w:val="auto"/>
          <w:sz w:val="24"/>
          <w:szCs w:val="24"/>
        </w:rPr>
        <w:t>宇光陶瓷灭弧室</w:t>
      </w:r>
      <w:r>
        <w:rPr>
          <w:rFonts w:hint="eastAsia" w:asciiTheme="minorEastAsia" w:hAnsiTheme="minorEastAsia" w:cstheme="minorEastAsia"/>
          <w:color w:val="auto"/>
          <w:sz w:val="24"/>
          <w:szCs w:val="24"/>
          <w:lang w:val="en-US" w:eastAsia="zh-CN"/>
        </w:rPr>
        <w:t>或同等品牌。</w:t>
      </w:r>
    </w:p>
    <w:p w14:paraId="0145EA3D">
      <w:pPr>
        <w:numPr>
          <w:ilvl w:val="0"/>
          <w:numId w:val="5"/>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真空断路器应采用操动机构与本体一体化的结构。</w:t>
      </w:r>
    </w:p>
    <w:p w14:paraId="18A9A97A">
      <w:pPr>
        <w:numPr>
          <w:ilvl w:val="0"/>
          <w:numId w:val="5"/>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 xml:space="preserve">真空灭弧室允许储存期不小于20年，出厂时灭弧室真空度不得大于 </w:t>
      </w:r>
      <w:r>
        <w:rPr>
          <w:rFonts w:hint="eastAsia" w:asciiTheme="minorEastAsia" w:hAnsiTheme="minorEastAsia" w:eastAsiaTheme="minorEastAsia" w:cstheme="minorEastAsia"/>
          <w:kern w:val="2"/>
          <w:sz w:val="24"/>
          <w:szCs w:val="24"/>
          <w:lang w:val="en-US" w:eastAsia="zh-CN" w:bidi="ar-SA"/>
        </w:rPr>
        <w:t>1.33×10</w:t>
      </w:r>
      <w:r>
        <w:rPr>
          <w:rFonts w:hint="eastAsia" w:asciiTheme="minorEastAsia" w:hAnsiTheme="minorEastAsia" w:eastAsiaTheme="minorEastAsia" w:cstheme="minorEastAsia"/>
          <w:kern w:val="2"/>
          <w:sz w:val="24"/>
          <w:szCs w:val="24"/>
          <w:vertAlign w:val="superscript"/>
          <w:lang w:val="en-US" w:eastAsia="zh-CN" w:bidi="ar-SA"/>
        </w:rPr>
        <w:t>−5</w:t>
      </w:r>
      <w:r>
        <w:rPr>
          <w:rFonts w:hint="eastAsia" w:asciiTheme="minorEastAsia" w:hAnsiTheme="minorEastAsia" w:eastAsiaTheme="minorEastAsia" w:cstheme="minorEastAsia"/>
          <w:kern w:val="2"/>
          <w:sz w:val="24"/>
          <w:szCs w:val="24"/>
          <w:lang w:val="en-US" w:eastAsia="zh-CN" w:bidi="ar-SA"/>
        </w:rPr>
        <w:t>Pa。在允许储存期内，其真空度应满足运行要求。</w:t>
      </w:r>
    </w:p>
    <w:p w14:paraId="01C81291">
      <w:pPr>
        <w:numPr>
          <w:ilvl w:val="0"/>
          <w:numId w:val="5"/>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真空断路器接地金属外壳上应有防锈的、导电性能良好的、直径为 12mm 的接地螺钉。接地点附近应标有接地符号。</w:t>
      </w:r>
    </w:p>
    <w:p w14:paraId="3A9F9CD6">
      <w:pPr>
        <w:numPr>
          <w:ilvl w:val="0"/>
          <w:numId w:val="0"/>
        </w:num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w:t>
      </w:r>
      <w:r>
        <w:rPr>
          <w:rFonts w:asciiTheme="minorEastAsia" w:hAnsiTheme="minorEastAsia" w:cstheme="minorEastAsia"/>
          <w:sz w:val="24"/>
          <w:szCs w:val="24"/>
        </w:rPr>
        <w:t>）真空断路器操动机构要求</w:t>
      </w:r>
    </w:p>
    <w:p w14:paraId="7A7C5877">
      <w:pPr>
        <w:numPr>
          <w:ilvl w:val="0"/>
          <w:numId w:val="6"/>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操动机构采用弹簧操动机构，应保证断路器能三相分/合闸以及自动重合闸。</w:t>
      </w:r>
    </w:p>
    <w:p w14:paraId="125BE386">
      <w:pPr>
        <w:numPr>
          <w:ilvl w:val="0"/>
          <w:numId w:val="6"/>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操动机构自身应具备防止跳跃的性能。应配备断路器的分/合闸指示，操动机构的计数器，储能状态指示应明显清晰，便于观察，且均用中文表示。</w:t>
      </w:r>
    </w:p>
    <w:p w14:paraId="5A52ADA5">
      <w:pPr>
        <w:numPr>
          <w:ilvl w:val="0"/>
          <w:numId w:val="7"/>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合闸操作的机械联锁应保证机构处于合闸时，不能再进行合闸动作；而当断路器处于合闸位置和储能状态时，能可靠地进行一次分-0.3s-合分操作循环。</w:t>
      </w:r>
    </w:p>
    <w:p w14:paraId="53F864B2">
      <w:pPr>
        <w:spacing w:line="360" w:lineRule="auto"/>
        <w:ind w:firstLine="48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3</w:t>
      </w:r>
      <w:r>
        <w:rPr>
          <w:rFonts w:asciiTheme="minorEastAsia" w:hAnsiTheme="minorEastAsia" w:cstheme="minorEastAsia"/>
          <w:sz w:val="24"/>
          <w:szCs w:val="24"/>
        </w:rPr>
        <w:t>）接地开关</w:t>
      </w:r>
    </w:p>
    <w:p w14:paraId="11BDF29E">
      <w:pPr>
        <w:numPr>
          <w:ilvl w:val="0"/>
          <w:numId w:val="8"/>
        </w:numPr>
        <w:spacing w:line="360" w:lineRule="auto"/>
        <w:ind w:left="1050" w:leftChars="0" w:hanging="420" w:firstLineChars="0"/>
        <w:rPr>
          <w:rFonts w:asciiTheme="minorEastAsia" w:hAnsiTheme="minorEastAsia" w:cstheme="minorEastAsia"/>
          <w:sz w:val="24"/>
          <w:szCs w:val="24"/>
        </w:rPr>
      </w:pPr>
      <w:r>
        <w:rPr>
          <w:rFonts w:hint="eastAsia" w:asciiTheme="minorEastAsia" w:hAnsiTheme="minorEastAsia" w:cstheme="minorEastAsia"/>
          <w:sz w:val="24"/>
          <w:szCs w:val="24"/>
        </w:rPr>
        <w:t>卖方应满足设备正常运行</w:t>
      </w:r>
      <w:r>
        <w:rPr>
          <w:rFonts w:asciiTheme="minorEastAsia" w:hAnsiTheme="minorEastAsia" w:cstheme="minorEastAsia"/>
          <w:sz w:val="24"/>
          <w:szCs w:val="24"/>
        </w:rPr>
        <w:t>要求。</w:t>
      </w:r>
    </w:p>
    <w:p w14:paraId="50D5CE8F">
      <w:pPr>
        <w:numPr>
          <w:ilvl w:val="0"/>
          <w:numId w:val="8"/>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操动机构要求：可手动和电动（如有）操作，每组接地开关应装设一个机械式的分/合闸位置指示器。</w:t>
      </w:r>
    </w:p>
    <w:p w14:paraId="6D31EB22">
      <w:pPr>
        <w:numPr>
          <w:ilvl w:val="0"/>
          <w:numId w:val="0"/>
        </w:numPr>
        <w:spacing w:line="360" w:lineRule="auto"/>
        <w:ind w:left="480" w:leftChars="0"/>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4</w:t>
      </w:r>
      <w:r>
        <w:rPr>
          <w:rFonts w:asciiTheme="minorEastAsia" w:hAnsiTheme="minorEastAsia" w:cstheme="minorEastAsia"/>
          <w:sz w:val="24"/>
          <w:szCs w:val="24"/>
        </w:rPr>
        <w:t>）电流互感器</w:t>
      </w:r>
    </w:p>
    <w:p w14:paraId="72CF9347">
      <w:pPr>
        <w:numPr>
          <w:ilvl w:val="0"/>
          <w:numId w:val="9"/>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开关柜内的电流互感器在出厂前应做伏安特性筛选，同一柜内的三相电流互感器伏安特性应相互匹配，并随出厂资料一并交付</w:t>
      </w:r>
      <w:r>
        <w:rPr>
          <w:rFonts w:hint="eastAsia" w:asciiTheme="minorEastAsia" w:hAnsiTheme="minorEastAsia" w:cstheme="minorEastAsia"/>
          <w:sz w:val="24"/>
          <w:szCs w:val="24"/>
        </w:rPr>
        <w:t>买方</w:t>
      </w:r>
      <w:r>
        <w:rPr>
          <w:rFonts w:hint="eastAsia" w:asciiTheme="minorEastAsia" w:hAnsiTheme="minorEastAsia" w:cstheme="minorEastAsia"/>
          <w:sz w:val="24"/>
          <w:szCs w:val="24"/>
          <w:lang w:eastAsia="zh-CN"/>
        </w:rPr>
        <w:t>。</w:t>
      </w:r>
    </w:p>
    <w:p w14:paraId="5B55EC15">
      <w:pPr>
        <w:spacing w:line="360" w:lineRule="auto"/>
        <w:ind w:firstLine="480"/>
        <w:rPr>
          <w:rFonts w:asciiTheme="minorEastAsia" w:hAnsiTheme="minorEastAsia" w:cstheme="minorEastAsia"/>
          <w:sz w:val="24"/>
          <w:szCs w:val="24"/>
        </w:rPr>
      </w:pPr>
      <w:bookmarkStart w:id="10" w:name="OLE_LINK14"/>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w:t>
      </w:r>
      <w:r>
        <w:rPr>
          <w:rFonts w:asciiTheme="minorEastAsia" w:hAnsiTheme="minorEastAsia" w:cstheme="minorEastAsia"/>
          <w:sz w:val="24"/>
          <w:szCs w:val="24"/>
        </w:rPr>
        <w:t>避雷器</w:t>
      </w:r>
    </w:p>
    <w:bookmarkEnd w:id="10"/>
    <w:p w14:paraId="71221414">
      <w:pPr>
        <w:numPr>
          <w:ilvl w:val="0"/>
          <w:numId w:val="10"/>
        </w:numPr>
        <w:spacing w:line="360" w:lineRule="auto"/>
        <w:ind w:left="1050" w:leftChars="0" w:hanging="420" w:firstLineChars="0"/>
        <w:rPr>
          <w:rFonts w:asciiTheme="minorEastAsia" w:hAnsiTheme="minorEastAsia" w:cstheme="minorEastAsia"/>
          <w:sz w:val="24"/>
          <w:szCs w:val="24"/>
        </w:rPr>
      </w:pPr>
      <w:r>
        <w:rPr>
          <w:rFonts w:asciiTheme="minorEastAsia" w:hAnsiTheme="minorEastAsia" w:cstheme="minorEastAsia"/>
          <w:sz w:val="24"/>
          <w:szCs w:val="24"/>
        </w:rPr>
        <w:t>开关柜内为防止真空断路器出现的操作过电压，配置无间隙氧化锌避雷器。</w:t>
      </w:r>
    </w:p>
    <w:p w14:paraId="3D4418C6">
      <w:pPr>
        <w:pStyle w:val="9"/>
        <w:numPr>
          <w:ilvl w:val="0"/>
          <w:numId w:val="0"/>
        </w:numPr>
        <w:spacing w:line="360" w:lineRule="auto"/>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lang w:val="en-US" w:eastAsia="zh-CN"/>
        </w:rPr>
        <w:t>6</w:t>
      </w:r>
      <w:r>
        <w:rPr>
          <w:rFonts w:hint="eastAsia" w:asciiTheme="minorEastAsia" w:hAnsiTheme="minorEastAsia" w:cstheme="minorEastAsia"/>
          <w:sz w:val="24"/>
          <w:szCs w:val="24"/>
        </w:rPr>
        <w:t>）微机保护装置</w:t>
      </w:r>
    </w:p>
    <w:p w14:paraId="3DC4F08F">
      <w:pPr>
        <w:pStyle w:val="9"/>
        <w:numPr>
          <w:ilvl w:val="0"/>
          <w:numId w:val="11"/>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具备</w:t>
      </w:r>
      <w:r>
        <w:rPr>
          <w:rFonts w:hint="eastAsia" w:asciiTheme="minorEastAsia" w:hAnsiTheme="minorEastAsia" w:cstheme="minorEastAsia"/>
          <w:color w:val="auto"/>
          <w:sz w:val="24"/>
          <w:szCs w:val="24"/>
        </w:rPr>
        <w:t>变压器</w:t>
      </w:r>
      <w:r>
        <w:rPr>
          <w:rFonts w:hint="eastAsia" w:asciiTheme="minorEastAsia" w:hAnsiTheme="minorEastAsia" w:cstheme="minorEastAsia"/>
          <w:color w:val="auto"/>
          <w:sz w:val="24"/>
          <w:szCs w:val="24"/>
          <w:lang w:val="en-US" w:eastAsia="zh-CN"/>
        </w:rPr>
        <w:t>速断、过流保护</w:t>
      </w:r>
      <w:r>
        <w:rPr>
          <w:rFonts w:hint="eastAsia" w:asciiTheme="minorEastAsia" w:hAnsiTheme="minorEastAsia" w:cstheme="minorEastAsia"/>
          <w:color w:val="auto"/>
          <w:sz w:val="24"/>
          <w:szCs w:val="24"/>
        </w:rPr>
        <w:t>、低压侧零序过流保护（其时间特性可选择定时限、正常反时限、非常反时限或超常反时限四种动作时间特性之一）、温度</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瓦斯</w:t>
      </w:r>
      <w:r>
        <w:rPr>
          <w:rFonts w:hint="eastAsia" w:asciiTheme="minorEastAsia" w:hAnsiTheme="minorEastAsia" w:cstheme="minorEastAsia"/>
          <w:color w:val="auto"/>
          <w:sz w:val="24"/>
          <w:szCs w:val="24"/>
        </w:rPr>
        <w:t>等非电量保护、低电压保护等功能。</w:t>
      </w:r>
    </w:p>
    <w:p w14:paraId="3A5DBD80">
      <w:pPr>
        <w:pStyle w:val="9"/>
        <w:numPr>
          <w:ilvl w:val="0"/>
          <w:numId w:val="11"/>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选用国电南自、国电南瑞</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许继或同等</w:t>
      </w:r>
      <w:r>
        <w:rPr>
          <w:rFonts w:hint="eastAsia" w:asciiTheme="minorEastAsia" w:hAnsiTheme="minorEastAsia" w:cstheme="minorEastAsia"/>
          <w:color w:val="auto"/>
          <w:sz w:val="24"/>
          <w:szCs w:val="24"/>
        </w:rPr>
        <w:t>国产优质产品</w:t>
      </w:r>
      <w:r>
        <w:rPr>
          <w:rFonts w:hint="eastAsia" w:asciiTheme="minorEastAsia" w:hAnsiTheme="minorEastAsia" w:cstheme="minorEastAsia"/>
          <w:color w:val="auto"/>
          <w:sz w:val="24"/>
          <w:szCs w:val="24"/>
          <w:lang w:eastAsia="zh-CN"/>
        </w:rPr>
        <w:t>。</w:t>
      </w:r>
    </w:p>
    <w:p w14:paraId="7EA112F6">
      <w:pPr>
        <w:pStyle w:val="4"/>
        <w:numPr>
          <w:ilvl w:val="0"/>
          <w:numId w:val="0"/>
        </w:numPr>
        <w:spacing w:line="360" w:lineRule="auto"/>
        <w:ind w:firstLine="480" w:firstLineChars="200"/>
        <w:rPr>
          <w:rFonts w:hint="eastAsia"/>
          <w:color w:val="auto"/>
          <w:sz w:val="24"/>
          <w:szCs w:val="24"/>
          <w:lang w:val="en-US" w:eastAsia="zh-CN"/>
        </w:rPr>
      </w:pPr>
      <w:r>
        <w:rPr>
          <w:rFonts w:hint="eastAsia"/>
          <w:color w:val="auto"/>
          <w:sz w:val="24"/>
          <w:szCs w:val="24"/>
          <w:lang w:val="en-US" w:eastAsia="zh-CN"/>
        </w:rPr>
        <w:t>7）智能操控装置</w:t>
      </w:r>
    </w:p>
    <w:p w14:paraId="646FD68C">
      <w:pPr>
        <w:pStyle w:val="4"/>
        <w:numPr>
          <w:ilvl w:val="0"/>
          <w:numId w:val="12"/>
        </w:numPr>
        <w:spacing w:line="360" w:lineRule="auto"/>
        <w:ind w:left="1050" w:leftChars="0" w:hanging="420" w:firstLineChars="0"/>
        <w:rPr>
          <w:rFonts w:hint="eastAsia"/>
          <w:color w:val="auto"/>
        </w:rPr>
      </w:pPr>
      <w:r>
        <w:rPr>
          <w:rFonts w:hint="eastAsia"/>
          <w:color w:val="auto"/>
          <w:sz w:val="24"/>
          <w:szCs w:val="24"/>
          <w:lang w:val="en-US" w:eastAsia="zh-CN"/>
        </w:rPr>
        <w:t>智能操控装置须具有动态一次模拟图显示、带电显示及闭锁（带电检测传感器由卖方配套提供）、液晶显示、温湿度控制、断路器和接地开关分合状态指示、储能指示、手车位置指示、分合闸回路完好指示、远方/就地操作切换、带触头及母排无线测温功能（6点测温）以及柜内照明等功能。</w:t>
      </w:r>
    </w:p>
    <w:p w14:paraId="399C9BB9">
      <w:pPr>
        <w:pStyle w:val="4"/>
        <w:numPr>
          <w:ilvl w:val="0"/>
          <w:numId w:val="12"/>
        </w:numPr>
        <w:spacing w:line="360" w:lineRule="auto"/>
        <w:ind w:left="1050" w:leftChars="0" w:hanging="420" w:firstLineChars="0"/>
        <w:rPr>
          <w:rFonts w:hint="eastAsia"/>
          <w:color w:val="auto"/>
        </w:rPr>
      </w:pPr>
      <w:r>
        <w:rPr>
          <w:rFonts w:hint="eastAsia"/>
          <w:color w:val="auto"/>
          <w:sz w:val="24"/>
          <w:szCs w:val="24"/>
          <w:lang w:val="en-US" w:eastAsia="zh-CN"/>
        </w:rPr>
        <w:t>选用四川斯谱瑞特科技有限公司SPRT2000系列、江苏佰德电气有限公司BD系列、江苏斯菲尔电气SKG系列或同等</w:t>
      </w:r>
      <w:r>
        <w:rPr>
          <w:rFonts w:hint="eastAsia"/>
          <w:color w:val="auto"/>
          <w:sz w:val="24"/>
          <w:szCs w:val="24"/>
        </w:rPr>
        <w:t>优质产品。</w:t>
      </w:r>
    </w:p>
    <w:p w14:paraId="0F8A041C">
      <w:pPr>
        <w:pStyle w:val="4"/>
        <w:numPr>
          <w:ilvl w:val="0"/>
          <w:numId w:val="0"/>
        </w:numPr>
        <w:spacing w:line="360" w:lineRule="auto"/>
        <w:rPr>
          <w:rFonts w:hint="eastAsia"/>
          <w:color w:val="auto"/>
          <w:sz w:val="24"/>
          <w:szCs w:val="24"/>
        </w:rPr>
      </w:pPr>
      <w:r>
        <w:rPr>
          <w:rFonts w:hint="eastAsia"/>
          <w:color w:val="auto"/>
          <w:sz w:val="24"/>
          <w:szCs w:val="24"/>
        </w:rPr>
        <w:t>3.2.</w:t>
      </w:r>
      <w:r>
        <w:rPr>
          <w:rFonts w:hint="eastAsia"/>
          <w:color w:val="auto"/>
          <w:sz w:val="24"/>
          <w:szCs w:val="24"/>
          <w:lang w:val="en-US" w:eastAsia="zh-CN"/>
        </w:rPr>
        <w:t>6</w:t>
      </w:r>
      <w:r>
        <w:rPr>
          <w:rFonts w:hint="eastAsia"/>
          <w:color w:val="auto"/>
          <w:sz w:val="24"/>
          <w:szCs w:val="24"/>
        </w:rPr>
        <w:t>低压柜内主要电器元器件技术要求</w:t>
      </w:r>
    </w:p>
    <w:p w14:paraId="01EFA6C7">
      <w:pPr>
        <w:numPr>
          <w:ilvl w:val="0"/>
          <w:numId w:val="0"/>
        </w:numPr>
        <w:spacing w:line="360" w:lineRule="auto"/>
        <w:ind w:firstLine="480" w:firstLineChars="200"/>
        <w:rPr>
          <w:rFonts w:hint="eastAsia" w:asciiTheme="minorEastAsia" w:hAnsiTheme="minorEastAsia" w:cstheme="minorEastAsia"/>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w:t>
      </w:r>
      <w:r>
        <w:rPr>
          <w:rFonts w:hint="eastAsia" w:asciiTheme="minorEastAsia" w:hAnsiTheme="minorEastAsia" w:cstheme="minorEastAsia"/>
          <w:color w:val="auto"/>
          <w:sz w:val="24"/>
          <w:szCs w:val="24"/>
        </w:rPr>
        <w:t>框架断路器</w:t>
      </w:r>
    </w:p>
    <w:p w14:paraId="22EB4BB4">
      <w:pPr>
        <w:numPr>
          <w:ilvl w:val="0"/>
          <w:numId w:val="13"/>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框架断路器的额定电气参数应与开关柜的母线电气参数相匹配，额定短路开断电流（有效值）Ics≥100kA，极限短路开断电流（有效值）Icu≥100kA。</w:t>
      </w:r>
    </w:p>
    <w:p w14:paraId="2492AEF0">
      <w:pPr>
        <w:numPr>
          <w:ilvl w:val="0"/>
          <w:numId w:val="14"/>
        </w:numPr>
        <w:spacing w:line="360" w:lineRule="auto"/>
        <w:ind w:left="1050" w:leftChars="0" w:hanging="420" w:firstLineChars="0"/>
        <w:rPr>
          <w:rFonts w:hint="eastAsia" w:ascii="宋体" w:hAnsi="宋体" w:eastAsia="宋体" w:cs="宋体"/>
          <w:color w:val="auto"/>
          <w:sz w:val="24"/>
          <w:szCs w:val="24"/>
          <w:highlight w:val="none"/>
        </w:rPr>
      </w:pPr>
      <w:r>
        <w:rPr>
          <w:rFonts w:hint="eastAsia" w:asciiTheme="minorEastAsia" w:hAnsiTheme="minorEastAsia" w:cstheme="minorEastAsia"/>
          <w:color w:val="auto"/>
          <w:sz w:val="24"/>
          <w:szCs w:val="24"/>
          <w:lang w:val="en-US" w:eastAsia="zh-CN"/>
        </w:rPr>
        <w:t>框架</w:t>
      </w:r>
      <w:r>
        <w:rPr>
          <w:rFonts w:hint="eastAsia" w:asciiTheme="minorEastAsia" w:hAnsiTheme="minorEastAsia" w:cstheme="minorEastAsia"/>
          <w:color w:val="auto"/>
          <w:sz w:val="24"/>
          <w:szCs w:val="24"/>
        </w:rPr>
        <w:t>断路器应为模块化结构设计、方便断路器功能的扩充。其技术性</w:t>
      </w:r>
      <w:r>
        <w:rPr>
          <w:rFonts w:hint="eastAsia" w:ascii="宋体" w:hAnsi="宋体" w:eastAsia="宋体" w:cs="宋体"/>
          <w:color w:val="auto"/>
          <w:sz w:val="24"/>
          <w:szCs w:val="24"/>
          <w:highlight w:val="none"/>
        </w:rPr>
        <w:t>能必须满足GB14048.2《低压开关设备和控制设备第2部分:断路器》及招标附图的要求，并通过国家强制性安全认证。</w:t>
      </w:r>
    </w:p>
    <w:p w14:paraId="2AC38321">
      <w:pPr>
        <w:numPr>
          <w:ilvl w:val="0"/>
          <w:numId w:val="14"/>
        </w:numPr>
        <w:spacing w:line="360" w:lineRule="auto"/>
        <w:ind w:left="1050" w:leftChars="0" w:hanging="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采用智能脱扣器，具有过载长延时保护功能、短路短延时保护功能、短路瞬时保护功能、过载长延时特性可提供多曲线匹配保护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遥信功能。</w:t>
      </w:r>
    </w:p>
    <w:p w14:paraId="422E0B63">
      <w:pPr>
        <w:numPr>
          <w:ilvl w:val="0"/>
          <w:numId w:val="14"/>
        </w:numPr>
        <w:spacing w:line="360" w:lineRule="auto"/>
        <w:ind w:left="1050" w:leftChars="0" w:hanging="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为了维护方便、操作简单要求框架断路器的智能控制器具有全中文液晶显示功能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智能控制器具有各种故障信号输出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具有</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相电流测量、电压测量、功率测量等。</w:t>
      </w:r>
    </w:p>
    <w:p w14:paraId="10263842">
      <w:pPr>
        <w:numPr>
          <w:ilvl w:val="0"/>
          <w:numId w:val="14"/>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宋体" w:hAnsi="宋体" w:eastAsia="宋体" w:cs="宋体"/>
          <w:color w:val="auto"/>
          <w:sz w:val="24"/>
          <w:szCs w:val="24"/>
          <w:highlight w:val="none"/>
        </w:rPr>
        <w:t>框架式空气断路器均采用电动操作机构。电动操作机构应为快速合闸型，并具有贮能机构，贮能机构带有明确贮能指示，断路器在所有位置上能电气和机械地自由脱扣。</w:t>
      </w:r>
    </w:p>
    <w:p w14:paraId="67F8F2F6">
      <w:pPr>
        <w:numPr>
          <w:ilvl w:val="0"/>
          <w:numId w:val="14"/>
        </w:numPr>
        <w:spacing w:line="360" w:lineRule="auto"/>
        <w:ind w:left="1050" w:leftChars="0" w:hanging="420" w:firstLineChars="0"/>
        <w:rPr>
          <w:rFonts w:hint="eastAsia" w:asciiTheme="minorEastAsia" w:hAnsiTheme="minorEastAsia" w:cstheme="minorEastAsia"/>
          <w:color w:val="auto"/>
          <w:sz w:val="24"/>
          <w:szCs w:val="24"/>
        </w:rPr>
      </w:pPr>
      <w:r>
        <w:rPr>
          <w:rFonts w:hint="eastAsia" w:ascii="宋体" w:hAnsi="宋体" w:eastAsia="宋体" w:cs="宋体"/>
          <w:color w:val="auto"/>
          <w:sz w:val="24"/>
          <w:szCs w:val="24"/>
          <w:highlight w:val="none"/>
          <w:lang w:val="en-US" w:eastAsia="zh-CN"/>
        </w:rPr>
        <w:t>选</w:t>
      </w:r>
      <w:r>
        <w:rPr>
          <w:rFonts w:hint="eastAsia" w:ascii="宋体" w:hAnsi="宋体" w:eastAsia="宋体" w:cs="宋体"/>
          <w:color w:val="auto"/>
          <w:sz w:val="24"/>
          <w:szCs w:val="24"/>
          <w:highlight w:val="none"/>
        </w:rPr>
        <w:t>用常熟开关制造有限公司（原常熟开关厂）（CW3）、</w:t>
      </w:r>
      <w:r>
        <w:rPr>
          <w:rFonts w:hint="eastAsia" w:ascii="宋体" w:hAnsi="宋体" w:eastAsia="宋体" w:cs="宋体"/>
          <w:color w:val="auto"/>
          <w:sz w:val="24"/>
          <w:szCs w:val="24"/>
          <w:highlight w:val="none"/>
          <w:lang w:val="en-US" w:eastAsia="zh-CN"/>
        </w:rPr>
        <w:t>上海</w:t>
      </w:r>
      <w:r>
        <w:rPr>
          <w:rFonts w:hint="eastAsia" w:ascii="宋体" w:hAnsi="宋体" w:eastAsia="宋体" w:cs="宋体"/>
          <w:color w:val="auto"/>
          <w:sz w:val="24"/>
          <w:szCs w:val="24"/>
          <w:highlight w:val="none"/>
        </w:rPr>
        <w:t>人民</w:t>
      </w:r>
      <w:r>
        <w:rPr>
          <w:rFonts w:hint="eastAsia" w:ascii="宋体" w:hAnsi="宋体" w:eastAsia="宋体" w:cs="宋体"/>
          <w:color w:val="auto"/>
          <w:sz w:val="24"/>
          <w:szCs w:val="24"/>
          <w:highlight w:val="none"/>
          <w:lang w:val="en-US" w:eastAsia="zh-CN"/>
        </w:rPr>
        <w:t>电器厂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上联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（RMW3型）</w:t>
      </w:r>
      <w:r>
        <w:rPr>
          <w:rFonts w:hint="eastAsia" w:asciiTheme="minorEastAsia" w:hAnsiTheme="minorEastAsia" w:cstheme="minorEastAsia"/>
          <w:color w:val="auto"/>
          <w:sz w:val="24"/>
          <w:szCs w:val="24"/>
        </w:rPr>
        <w:t>、北京北元电器有限公司BW3系列</w:t>
      </w:r>
      <w:r>
        <w:rPr>
          <w:rFonts w:hint="eastAsia" w:asciiTheme="minorEastAsia" w:hAnsiTheme="minorEastAsia" w:cstheme="minorEastAsia"/>
          <w:color w:val="auto"/>
          <w:sz w:val="24"/>
          <w:szCs w:val="24"/>
          <w:lang w:val="en-US" w:eastAsia="zh-CN"/>
        </w:rPr>
        <w:t>或</w:t>
      </w:r>
      <w:r>
        <w:rPr>
          <w:rFonts w:hint="eastAsia" w:asciiTheme="minorEastAsia" w:hAnsiTheme="minorEastAsia" w:cstheme="minorEastAsia"/>
          <w:color w:val="auto"/>
          <w:sz w:val="24"/>
          <w:szCs w:val="24"/>
        </w:rPr>
        <w:t>国内</w:t>
      </w:r>
      <w:r>
        <w:rPr>
          <w:rFonts w:hint="eastAsia" w:asciiTheme="minorEastAsia" w:hAnsiTheme="minorEastAsia" w:cstheme="minorEastAsia"/>
          <w:color w:val="auto"/>
          <w:sz w:val="24"/>
          <w:szCs w:val="24"/>
          <w:lang w:val="en-US" w:eastAsia="zh-CN"/>
        </w:rPr>
        <w:t>同等</w:t>
      </w:r>
      <w:r>
        <w:rPr>
          <w:rFonts w:hint="eastAsia" w:asciiTheme="minorEastAsia" w:hAnsiTheme="minorEastAsia" w:cstheme="minorEastAsia"/>
          <w:color w:val="auto"/>
          <w:sz w:val="24"/>
          <w:szCs w:val="24"/>
        </w:rPr>
        <w:t>品牌的产品</w:t>
      </w:r>
      <w:r>
        <w:rPr>
          <w:rFonts w:hint="eastAsia" w:asciiTheme="minorEastAsia" w:hAnsiTheme="minorEastAsia" w:cstheme="minorEastAsia"/>
          <w:color w:val="auto"/>
          <w:sz w:val="24"/>
          <w:szCs w:val="24"/>
          <w:lang w:eastAsia="zh-CN"/>
        </w:rPr>
        <w:t>。</w:t>
      </w:r>
    </w:p>
    <w:p w14:paraId="41087580">
      <w:pPr>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）塑壳</w:t>
      </w:r>
      <w:r>
        <w:rPr>
          <w:rFonts w:hint="eastAsia" w:ascii="宋体" w:hAnsi="宋体" w:eastAsia="宋体" w:cs="宋体"/>
          <w:color w:val="auto"/>
          <w:sz w:val="24"/>
          <w:szCs w:val="24"/>
          <w:highlight w:val="none"/>
        </w:rPr>
        <w:t>断路器</w:t>
      </w:r>
    </w:p>
    <w:p w14:paraId="4F61C150">
      <w:pPr>
        <w:numPr>
          <w:ilvl w:val="0"/>
          <w:numId w:val="15"/>
        </w:numPr>
        <w:spacing w:line="360" w:lineRule="auto"/>
        <w:ind w:left="1050" w:leftChars="0" w:hanging="42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塑壳断路器极限分断能力(Icu)≥</w:t>
      </w:r>
      <w:r>
        <w:rPr>
          <w:rFonts w:hint="eastAsia" w:ascii="宋体" w:hAnsi="宋体" w:eastAsia="宋体" w:cs="宋体"/>
          <w:color w:val="auto"/>
          <w:sz w:val="24"/>
          <w:szCs w:val="24"/>
          <w:highlight w:val="none"/>
          <w:lang w:val="en-US" w:eastAsia="zh-CN"/>
        </w:rPr>
        <w:t>70</w:t>
      </w:r>
      <w:r>
        <w:rPr>
          <w:rFonts w:hint="eastAsia" w:ascii="宋体" w:hAnsi="宋体" w:eastAsia="宋体" w:cs="宋体"/>
          <w:color w:val="auto"/>
          <w:sz w:val="24"/>
          <w:szCs w:val="24"/>
          <w:highlight w:val="none"/>
        </w:rPr>
        <w:t>kA</w:t>
      </w:r>
      <w:r>
        <w:rPr>
          <w:rFonts w:hint="eastAsia" w:ascii="宋体" w:hAnsi="宋体" w:eastAsia="宋体" w:cs="宋体"/>
          <w:color w:val="auto"/>
          <w:sz w:val="24"/>
          <w:szCs w:val="24"/>
          <w:highlight w:val="none"/>
          <w:lang w:val="en-US" w:eastAsia="zh-CN"/>
        </w:rPr>
        <w:t>,运行短路分断能力（ICS）≥70kA</w:t>
      </w:r>
    </w:p>
    <w:p w14:paraId="129CD3F3">
      <w:pPr>
        <w:numPr>
          <w:ilvl w:val="0"/>
          <w:numId w:val="15"/>
        </w:numPr>
        <w:spacing w:line="360" w:lineRule="auto"/>
        <w:ind w:left="1050" w:leftChars="0" w:hanging="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方配置的塑壳断路器脱扣器型式应满足招标文件附图要求。</w:t>
      </w:r>
    </w:p>
    <w:p w14:paraId="0F3B045A">
      <w:pPr>
        <w:numPr>
          <w:ilvl w:val="0"/>
          <w:numId w:val="15"/>
        </w:numPr>
        <w:spacing w:line="360" w:lineRule="auto"/>
        <w:ind w:left="1050" w:leftChars="0" w:hanging="420" w:firstLineChars="0"/>
        <w:rPr>
          <w:rFonts w:hint="eastAsia"/>
          <w:color w:val="auto"/>
          <w:highlight w:val="none"/>
        </w:rPr>
      </w:pPr>
      <w:r>
        <w:rPr>
          <w:rFonts w:hint="eastAsia" w:ascii="宋体" w:hAnsi="宋体" w:eastAsia="宋体" w:cs="宋体"/>
          <w:color w:val="auto"/>
          <w:sz w:val="24"/>
          <w:szCs w:val="24"/>
          <w:highlight w:val="none"/>
        </w:rPr>
        <w:t>应具有良好的散热，保证在45℃不降容，否则必须考虑降容影响，开关额定电流应上调一级。</w:t>
      </w:r>
    </w:p>
    <w:p w14:paraId="04F72B51">
      <w:pPr>
        <w:numPr>
          <w:ilvl w:val="0"/>
          <w:numId w:val="14"/>
        </w:numPr>
        <w:spacing w:line="360" w:lineRule="auto"/>
        <w:ind w:left="1050" w:leftChars="0" w:hanging="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选</w:t>
      </w:r>
      <w:r>
        <w:rPr>
          <w:rFonts w:hint="eastAsia" w:ascii="宋体" w:hAnsi="宋体" w:eastAsia="宋体" w:cs="宋体"/>
          <w:color w:val="auto"/>
          <w:sz w:val="24"/>
          <w:szCs w:val="24"/>
          <w:highlight w:val="none"/>
        </w:rPr>
        <w:t>用塑壳断路器采用常熟开关制造有限公司（原常熟开关厂）（CM</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型）、</w:t>
      </w:r>
      <w:r>
        <w:rPr>
          <w:rFonts w:hint="eastAsia" w:ascii="宋体" w:hAnsi="宋体" w:eastAsia="宋体" w:cs="宋体"/>
          <w:color w:val="auto"/>
          <w:sz w:val="24"/>
          <w:szCs w:val="24"/>
          <w:highlight w:val="none"/>
          <w:lang w:val="en-US" w:eastAsia="zh-CN"/>
        </w:rPr>
        <w:t>上海</w:t>
      </w:r>
      <w:r>
        <w:rPr>
          <w:rFonts w:hint="eastAsia" w:ascii="宋体" w:hAnsi="宋体" w:eastAsia="宋体" w:cs="宋体"/>
          <w:color w:val="auto"/>
          <w:sz w:val="24"/>
          <w:szCs w:val="24"/>
          <w:highlight w:val="none"/>
        </w:rPr>
        <w:t>人民</w:t>
      </w:r>
      <w:r>
        <w:rPr>
          <w:rFonts w:hint="eastAsia" w:ascii="宋体" w:hAnsi="宋体" w:eastAsia="宋体" w:cs="宋体"/>
          <w:color w:val="auto"/>
          <w:sz w:val="24"/>
          <w:szCs w:val="24"/>
          <w:highlight w:val="none"/>
          <w:lang w:val="en-US" w:eastAsia="zh-CN"/>
        </w:rPr>
        <w:t>电器厂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上联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（RMM</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型）、北京北元电器有限公司BM</w:t>
      </w:r>
      <w:r>
        <w:rPr>
          <w:rFonts w:hint="eastAsia" w:ascii="宋体" w:hAnsi="宋体" w:eastAsia="宋体" w:cs="宋体"/>
          <w:color w:val="auto"/>
          <w:sz w:val="24"/>
          <w:szCs w:val="24"/>
          <w:highlight w:val="none"/>
          <w:lang w:val="en-US" w:eastAsia="zh-CN"/>
        </w:rPr>
        <w:t>3型</w:t>
      </w:r>
      <w:r>
        <w:rPr>
          <w:rFonts w:hint="eastAsia" w:ascii="宋体" w:hAnsi="宋体" w:eastAsia="宋体" w:cs="宋体"/>
          <w:color w:val="auto"/>
          <w:sz w:val="24"/>
          <w:szCs w:val="24"/>
          <w:highlight w:val="none"/>
        </w:rPr>
        <w:t>系列</w:t>
      </w:r>
      <w:r>
        <w:rPr>
          <w:rFonts w:hint="eastAsia" w:asciiTheme="minorEastAsia" w:hAnsiTheme="minorEastAsia" w:cstheme="minorEastAsia"/>
          <w:color w:val="auto"/>
          <w:sz w:val="24"/>
          <w:szCs w:val="24"/>
          <w:lang w:val="en-US" w:eastAsia="zh-CN"/>
        </w:rPr>
        <w:t>或</w:t>
      </w:r>
      <w:r>
        <w:rPr>
          <w:rFonts w:hint="eastAsia" w:asciiTheme="minorEastAsia" w:hAnsiTheme="minorEastAsia" w:cstheme="minorEastAsia"/>
          <w:color w:val="auto"/>
          <w:sz w:val="24"/>
          <w:szCs w:val="24"/>
        </w:rPr>
        <w:t>国内</w:t>
      </w:r>
      <w:r>
        <w:rPr>
          <w:rFonts w:hint="eastAsia" w:asciiTheme="minorEastAsia" w:hAnsiTheme="minorEastAsia" w:cstheme="minorEastAsia"/>
          <w:color w:val="auto"/>
          <w:sz w:val="24"/>
          <w:szCs w:val="24"/>
          <w:lang w:val="en-US" w:eastAsia="zh-CN"/>
        </w:rPr>
        <w:t>同等</w:t>
      </w:r>
      <w:r>
        <w:rPr>
          <w:rFonts w:hint="eastAsia" w:asciiTheme="minorEastAsia" w:hAnsiTheme="minorEastAsia" w:cstheme="minorEastAsia"/>
          <w:color w:val="auto"/>
          <w:sz w:val="24"/>
          <w:szCs w:val="24"/>
        </w:rPr>
        <w:t>品牌的产品</w:t>
      </w:r>
      <w:r>
        <w:rPr>
          <w:rFonts w:hint="eastAsia" w:asciiTheme="minorEastAsia" w:hAnsiTheme="minorEastAsia" w:cstheme="minorEastAsia"/>
          <w:color w:val="auto"/>
          <w:sz w:val="24"/>
          <w:szCs w:val="24"/>
          <w:lang w:eastAsia="zh-CN"/>
        </w:rPr>
        <w:t>。</w:t>
      </w:r>
    </w:p>
    <w:p w14:paraId="067C5E94">
      <w:pPr>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rPr>
        <w:t>无功补偿</w:t>
      </w:r>
      <w:r>
        <w:rPr>
          <w:rFonts w:hint="eastAsia" w:ascii="宋体" w:hAnsi="宋体" w:eastAsia="宋体" w:cs="宋体"/>
          <w:color w:val="auto"/>
          <w:sz w:val="24"/>
          <w:szCs w:val="24"/>
          <w:highlight w:val="none"/>
          <w:lang w:val="en-US" w:eastAsia="zh-CN"/>
        </w:rPr>
        <w:t>装置</w:t>
      </w:r>
    </w:p>
    <w:p w14:paraId="1884157F">
      <w:pPr>
        <w:pStyle w:val="9"/>
        <w:numPr>
          <w:ilvl w:val="0"/>
          <w:numId w:val="0"/>
        </w:numPr>
        <w:spacing w:line="360" w:lineRule="auto"/>
        <w:ind w:leftChars="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a</w:t>
      </w:r>
      <w:r>
        <w:rPr>
          <w:rFonts w:hint="eastAsia" w:ascii="宋体" w:hAnsi="宋体" w:eastAsia="宋体" w:cs="宋体"/>
          <w:color w:val="auto"/>
          <w:sz w:val="24"/>
          <w:szCs w:val="24"/>
          <w:highlight w:val="none"/>
        </w:rPr>
        <w:t>、无功补偿装置</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性能及要求</w:t>
      </w:r>
    </w:p>
    <w:p w14:paraId="0D9B6C63">
      <w:pPr>
        <w:numPr>
          <w:ilvl w:val="0"/>
          <w:numId w:val="16"/>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无功补偿补偿装置能根据实际负荷的状态自动投切，实时跟踪补偿，能</w:t>
      </w:r>
    </w:p>
    <w:p w14:paraId="11044627">
      <w:pPr>
        <w:numPr>
          <w:ilvl w:val="0"/>
          <w:numId w:val="0"/>
        </w:numPr>
        <w:spacing w:line="360" w:lineRule="auto"/>
        <w:ind w:left="63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减</w:t>
      </w:r>
      <w:r>
        <w:rPr>
          <w:rFonts w:hint="eastAsia" w:ascii="宋体" w:hAnsi="宋体" w:eastAsia="宋体" w:cs="宋体"/>
          <w:color w:val="auto"/>
          <w:sz w:val="24"/>
          <w:szCs w:val="24"/>
          <w:highlight w:val="none"/>
          <w:lang w:val="en-US" w:eastAsia="zh-CN"/>
        </w:rPr>
        <w:t>少线路损耗，改善电压质量，提高电气设备的工作效率。功率因数能满足设定要求，并达到抑制谐波要求</w:t>
      </w:r>
      <w:r>
        <w:rPr>
          <w:rFonts w:hint="eastAsia" w:ascii="宋体" w:hAnsi="宋体" w:eastAsia="宋体" w:cs="宋体"/>
          <w:color w:val="auto"/>
          <w:sz w:val="24"/>
          <w:szCs w:val="24"/>
          <w:highlight w:val="none"/>
        </w:rPr>
        <w:t>。</w:t>
      </w:r>
    </w:p>
    <w:p w14:paraId="2106D083">
      <w:pPr>
        <w:numPr>
          <w:ilvl w:val="0"/>
          <w:numId w:val="16"/>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采用复合开关控制电容器的投切，实现无触点、无涌流、无过渡投切。</w:t>
      </w:r>
    </w:p>
    <w:p w14:paraId="38DB7084">
      <w:pPr>
        <w:numPr>
          <w:ilvl w:val="0"/>
          <w:numId w:val="0"/>
        </w:numPr>
        <w:spacing w:line="360" w:lineRule="auto"/>
        <w:ind w:left="63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能有效补偿、稳定系统电压、抑制电压闪变、避免谐振，提高电网质量，保证无操作过电压，无电弧重燃现象。</w:t>
      </w:r>
    </w:p>
    <w:p w14:paraId="162044D2">
      <w:pPr>
        <w:numPr>
          <w:ilvl w:val="0"/>
          <w:numId w:val="16"/>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根据负载无功和电压波动情况，在规定的响应时间内，多级补偿，一次</w:t>
      </w:r>
    </w:p>
    <w:p w14:paraId="543C9466">
      <w:pPr>
        <w:numPr>
          <w:ilvl w:val="0"/>
          <w:numId w:val="0"/>
        </w:numPr>
        <w:spacing w:line="360" w:lineRule="auto"/>
        <w:ind w:left="63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到位；功率因数自动补偿装置保护措施齐全，自动化程度高，能在外部停电时自动退出工作，送电后能自动恢复运行。</w:t>
      </w:r>
    </w:p>
    <w:p w14:paraId="140222C6">
      <w:pPr>
        <w:numPr>
          <w:ilvl w:val="0"/>
          <w:numId w:val="16"/>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需提供整柜3C证书及试验报告</w:t>
      </w:r>
    </w:p>
    <w:p w14:paraId="5470928F">
      <w:pPr>
        <w:numPr>
          <w:ilvl w:val="0"/>
          <w:numId w:val="0"/>
        </w:num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b</w:t>
      </w:r>
      <w:r>
        <w:rPr>
          <w:rFonts w:hint="eastAsia" w:ascii="宋体" w:hAnsi="宋体" w:eastAsia="宋体" w:cs="宋体"/>
          <w:color w:val="auto"/>
          <w:sz w:val="24"/>
          <w:szCs w:val="24"/>
          <w:highlight w:val="none"/>
        </w:rPr>
        <w:t>、无功补偿</w:t>
      </w:r>
      <w:r>
        <w:rPr>
          <w:rFonts w:hint="eastAsia" w:ascii="宋体" w:hAnsi="宋体" w:eastAsia="宋体" w:cs="宋体"/>
          <w:color w:val="auto"/>
          <w:sz w:val="24"/>
          <w:szCs w:val="24"/>
          <w:highlight w:val="none"/>
          <w:lang w:val="en-US" w:eastAsia="zh-CN"/>
        </w:rPr>
        <w:t>装置</w:t>
      </w:r>
      <w:r>
        <w:rPr>
          <w:rFonts w:hint="eastAsia" w:ascii="宋体" w:hAnsi="宋体" w:eastAsia="宋体" w:cs="宋体"/>
          <w:color w:val="auto"/>
          <w:sz w:val="24"/>
          <w:szCs w:val="24"/>
          <w:highlight w:val="none"/>
        </w:rPr>
        <w:t>电力电容器</w:t>
      </w:r>
    </w:p>
    <w:p w14:paraId="7C48939A">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电气特性符合IEC 831-1 +2和GB/T12747-2004；</w:t>
      </w:r>
    </w:p>
    <w:p w14:paraId="72C26DAA">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额定工作线电压：480V(匹配电抗率7%电抗器）；</w:t>
      </w:r>
    </w:p>
    <w:p w14:paraId="1F93FC0A">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三相角型连接；</w:t>
      </w:r>
    </w:p>
    <w:p w14:paraId="7EB373FA">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电容器介质损耗不得大于 0.3W/kar；</w:t>
      </w:r>
    </w:p>
    <w:p w14:paraId="13EEB803">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电容器容量偏差：0%～+10%；</w:t>
      </w:r>
    </w:p>
    <w:p w14:paraId="69125E8D">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电容器组件具有自愈功能；</w:t>
      </w:r>
    </w:p>
    <w:p w14:paraId="668B01FF">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连续过电压: 1.1Un；</w:t>
      </w:r>
    </w:p>
    <w:p w14:paraId="1573729B">
      <w:pPr>
        <w:numPr>
          <w:ilvl w:val="0"/>
          <w:numId w:val="17"/>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连续过流：1.35In；</w:t>
      </w:r>
    </w:p>
    <w:p w14:paraId="269F0966">
      <w:pPr>
        <w:numPr>
          <w:ilvl w:val="0"/>
          <w:numId w:val="0"/>
        </w:num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c</w:t>
      </w:r>
      <w:r>
        <w:rPr>
          <w:rFonts w:hint="eastAsia" w:ascii="宋体" w:hAnsi="宋体" w:eastAsia="宋体" w:cs="宋体"/>
          <w:color w:val="auto"/>
          <w:sz w:val="24"/>
          <w:szCs w:val="24"/>
          <w:highlight w:val="none"/>
        </w:rPr>
        <w:t>、无功补偿</w:t>
      </w:r>
      <w:r>
        <w:rPr>
          <w:rFonts w:hint="eastAsia" w:ascii="宋体" w:hAnsi="宋体" w:eastAsia="宋体" w:cs="宋体"/>
          <w:color w:val="auto"/>
          <w:sz w:val="24"/>
          <w:szCs w:val="24"/>
          <w:highlight w:val="none"/>
          <w:lang w:val="en-US" w:eastAsia="zh-CN"/>
        </w:rPr>
        <w:t>装置</w:t>
      </w:r>
      <w:r>
        <w:rPr>
          <w:rFonts w:hint="eastAsia" w:ascii="宋体" w:hAnsi="宋体" w:eastAsia="宋体" w:cs="宋体"/>
          <w:color w:val="auto"/>
          <w:sz w:val="24"/>
          <w:szCs w:val="24"/>
          <w:highlight w:val="none"/>
        </w:rPr>
        <w:t>滤波电抗器</w:t>
      </w:r>
    </w:p>
    <w:p w14:paraId="408CE6C0">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系统电压：400V（三相）/230V(单相)；</w:t>
      </w:r>
    </w:p>
    <w:p w14:paraId="278D13BE">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过电流：1.35 ×In；</w:t>
      </w:r>
    </w:p>
    <w:p w14:paraId="6E779DA3">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过电压：1.1×Un ；</w:t>
      </w:r>
    </w:p>
    <w:p w14:paraId="44484D37">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电感误差：±5%；</w:t>
      </w:r>
    </w:p>
    <w:p w14:paraId="1137EA4E">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1.35In温升：≤ 40K；</w:t>
      </w:r>
    </w:p>
    <w:p w14:paraId="1A502BB7">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1.5In线性度：≥0.9；</w:t>
      </w:r>
    </w:p>
    <w:p w14:paraId="2E8A3BB4">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工作温度：-25℃～＋105℃；</w:t>
      </w:r>
    </w:p>
    <w:p w14:paraId="1517C6F3">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噪    音：≤60dB；</w:t>
      </w:r>
    </w:p>
    <w:p w14:paraId="4BA8DFB5">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绝缘等级：F级；</w:t>
      </w:r>
    </w:p>
    <w:p w14:paraId="3501788E">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温控端子：配有温度控制端子，110～120℃过热断开（常闭型）；</w:t>
      </w:r>
    </w:p>
    <w:p w14:paraId="35FE3239">
      <w:pPr>
        <w:numPr>
          <w:ilvl w:val="0"/>
          <w:numId w:val="18"/>
        </w:numPr>
        <w:spacing w:line="360" w:lineRule="auto"/>
        <w:ind w:left="148" w:leftChars="0" w:firstLine="482" w:firstLineChars="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F级漆包铜线绕制</w:t>
      </w:r>
      <w:r>
        <w:rPr>
          <w:rFonts w:hint="eastAsia" w:ascii="宋体" w:hAnsi="宋体" w:eastAsia="宋体" w:cs="宋体"/>
          <w:color w:val="auto"/>
          <w:sz w:val="24"/>
          <w:szCs w:val="24"/>
          <w:highlight w:val="none"/>
        </w:rPr>
        <w:t>，电气特性符合VDE0532及IEC76标准；</w:t>
      </w:r>
    </w:p>
    <w:p w14:paraId="248686D1">
      <w:pPr>
        <w:numPr>
          <w:ilvl w:val="0"/>
          <w:numId w:val="0"/>
        </w:num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d</w:t>
      </w:r>
      <w:r>
        <w:rPr>
          <w:rFonts w:hint="eastAsia" w:ascii="宋体" w:hAnsi="宋体" w:eastAsia="宋体" w:cs="宋体"/>
          <w:color w:val="auto"/>
          <w:sz w:val="24"/>
          <w:szCs w:val="24"/>
          <w:highlight w:val="none"/>
        </w:rPr>
        <w:t>、无功补偿</w:t>
      </w:r>
      <w:r>
        <w:rPr>
          <w:rFonts w:hint="eastAsia" w:ascii="宋体" w:hAnsi="宋体" w:eastAsia="宋体" w:cs="宋体"/>
          <w:color w:val="auto"/>
          <w:sz w:val="24"/>
          <w:szCs w:val="24"/>
          <w:highlight w:val="none"/>
          <w:lang w:val="en-US" w:eastAsia="zh-CN"/>
        </w:rPr>
        <w:t>装置</w:t>
      </w:r>
      <w:r>
        <w:rPr>
          <w:rFonts w:hint="eastAsia" w:ascii="宋体" w:hAnsi="宋体" w:eastAsia="宋体" w:cs="宋体"/>
          <w:color w:val="auto"/>
          <w:sz w:val="24"/>
          <w:szCs w:val="24"/>
          <w:highlight w:val="none"/>
        </w:rPr>
        <w:t>复合开关</w:t>
      </w:r>
    </w:p>
    <w:p w14:paraId="5D4ECCC2">
      <w:pPr>
        <w:numPr>
          <w:ilvl w:val="0"/>
          <w:numId w:val="0"/>
        </w:num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电子开关，平滑投切，无机械磨损，无噪声，无暂态过渡过程。        </w:t>
      </w:r>
    </w:p>
    <w:p w14:paraId="40E8AC84">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工作电源：AC380V±20%  50Hz±10%；</w:t>
      </w:r>
    </w:p>
    <w:p w14:paraId="4C16500E">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额定电压：AC380V±20%；</w:t>
      </w:r>
    </w:p>
    <w:p w14:paraId="08544526">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额定频率：50Hz±10%；</w:t>
      </w:r>
    </w:p>
    <w:p w14:paraId="06264576">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额定功率：与无功补偿模块匹配；</w:t>
      </w:r>
    </w:p>
    <w:p w14:paraId="5F5FDA2F">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谐波畸变：≤5.0%；</w:t>
      </w:r>
    </w:p>
    <w:p w14:paraId="38343372">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控制电压：DC5～12V/10mA； </w:t>
      </w:r>
    </w:p>
    <w:p w14:paraId="3EFC9F6A">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本机功耗：≤6VA;</w:t>
      </w:r>
    </w:p>
    <w:p w14:paraId="093345FF">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环境温度：－25～+70℃；</w:t>
      </w:r>
    </w:p>
    <w:p w14:paraId="5B22880A">
      <w:pPr>
        <w:numPr>
          <w:ilvl w:val="0"/>
          <w:numId w:val="0"/>
        </w:num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e</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无功补偿装置</w:t>
      </w:r>
      <w:r>
        <w:rPr>
          <w:rFonts w:hint="eastAsia" w:ascii="宋体" w:hAnsi="宋体" w:eastAsia="宋体" w:cs="宋体"/>
          <w:color w:val="auto"/>
          <w:sz w:val="24"/>
          <w:szCs w:val="24"/>
          <w:highlight w:val="none"/>
        </w:rPr>
        <w:t>智能控制器</w:t>
      </w:r>
    </w:p>
    <w:p w14:paraId="75825FFC">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要求采用大屏幕液晶显示器，中文菜单，可实时显示电网功率因数、电</w:t>
      </w:r>
      <w:r>
        <w:rPr>
          <w:rFonts w:hint="eastAsia" w:ascii="宋体" w:hAnsi="宋体" w:eastAsia="宋体" w:cs="宋体"/>
          <w:color w:val="auto"/>
          <w:sz w:val="24"/>
          <w:szCs w:val="24"/>
          <w:highlight w:val="none"/>
          <w:lang w:val="en-US" w:eastAsia="zh-CN"/>
        </w:rPr>
        <w:t xml:space="preserve"> </w:t>
      </w:r>
    </w:p>
    <w:p w14:paraId="64F7D52D">
      <w:pPr>
        <w:numPr>
          <w:ilvl w:val="0"/>
          <w:numId w:val="0"/>
        </w:numPr>
        <w:spacing w:line="360" w:lineRule="auto"/>
        <w:ind w:left="63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压、电流、有功功率、无功功率、电压总谐波畸变率、电流总谐波畸变率、频率及电容投切状态等信息，并具有欠压、过压、谐波电压保护、谐波电流保护等。</w:t>
      </w:r>
    </w:p>
    <w:p w14:paraId="668C4E46">
      <w:pPr>
        <w:numPr>
          <w:ilvl w:val="0"/>
          <w:numId w:val="0"/>
        </w:numPr>
        <w:spacing w:line="360" w:lineRule="auto"/>
        <w:ind w:left="718" w:leftChars="342"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f</w:t>
      </w:r>
      <w:r>
        <w:rPr>
          <w:rFonts w:hint="eastAsia" w:ascii="宋体" w:hAnsi="宋体" w:eastAsia="宋体" w:cs="宋体"/>
          <w:color w:val="auto"/>
          <w:sz w:val="24"/>
          <w:szCs w:val="24"/>
          <w:highlight w:val="none"/>
        </w:rPr>
        <w:t>、无功补偿</w:t>
      </w:r>
      <w:r>
        <w:rPr>
          <w:rFonts w:hint="eastAsia" w:ascii="宋体" w:hAnsi="宋体" w:eastAsia="宋体" w:cs="宋体"/>
          <w:color w:val="auto"/>
          <w:sz w:val="24"/>
          <w:szCs w:val="24"/>
          <w:highlight w:val="none"/>
          <w:lang w:val="en-US" w:eastAsia="zh-CN"/>
        </w:rPr>
        <w:t>装置复合开关、电力电容器、滤波电抗器、</w:t>
      </w:r>
      <w:r>
        <w:rPr>
          <w:rFonts w:hint="eastAsia" w:ascii="宋体" w:hAnsi="宋体" w:eastAsia="宋体" w:cs="宋体"/>
          <w:color w:val="auto"/>
          <w:sz w:val="24"/>
          <w:szCs w:val="24"/>
          <w:highlight w:val="none"/>
        </w:rPr>
        <w:t>智能控制器</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主要元器件选用：无锡罗斯纬尔、深圳德克萨斯、江苏斯菲尔电气</w:t>
      </w:r>
      <w:r>
        <w:rPr>
          <w:rFonts w:hint="eastAsia" w:ascii="宋体" w:hAnsi="宋体" w:eastAsia="宋体" w:cs="宋体"/>
          <w:color w:val="auto"/>
          <w:sz w:val="24"/>
          <w:szCs w:val="24"/>
          <w:highlight w:val="none"/>
          <w:lang w:val="en-US" w:eastAsia="zh-CN"/>
        </w:rPr>
        <w:t>或同等国产优质产品</w:t>
      </w:r>
      <w:r>
        <w:rPr>
          <w:rFonts w:hint="eastAsia" w:ascii="宋体" w:hAnsi="宋体" w:eastAsia="宋体" w:cs="宋体"/>
          <w:color w:val="auto"/>
          <w:sz w:val="24"/>
          <w:szCs w:val="24"/>
          <w:highlight w:val="none"/>
        </w:rPr>
        <w:t>。</w:t>
      </w:r>
    </w:p>
    <w:p w14:paraId="1C9BB7BF">
      <w:pPr>
        <w:numPr>
          <w:ilvl w:val="0"/>
          <w:numId w:val="0"/>
        </w:numPr>
        <w:spacing w:line="360" w:lineRule="auto"/>
        <w:rPr>
          <w:rFonts w:hint="eastAsia" w:ascii="宋体" w:hAnsi="宋体" w:eastAsia="宋体" w:cs="宋体"/>
          <w:color w:val="auto"/>
          <w:sz w:val="24"/>
          <w:szCs w:val="24"/>
          <w:highlight w:val="none"/>
        </w:rPr>
      </w:pPr>
      <w:r>
        <w:rPr>
          <w:rFonts w:hint="eastAsia" w:asciiTheme="minorEastAsia" w:hAnsiTheme="minorEastAsia" w:cstheme="minorEastAsia"/>
          <w:color w:val="auto"/>
          <w:sz w:val="24"/>
          <w:szCs w:val="24"/>
        </w:rPr>
        <w:t>3.</w:t>
      </w:r>
      <w:r>
        <w:rPr>
          <w:rFonts w:hint="eastAsia" w:asciiTheme="minorEastAsia" w:hAnsiTheme="minorEastAsia" w:cstheme="minorEastAsia"/>
          <w:color w:val="auto"/>
          <w:sz w:val="24"/>
          <w:szCs w:val="24"/>
          <w:lang w:val="en-US" w:eastAsia="zh-CN"/>
        </w:rPr>
        <w:t>2</w:t>
      </w:r>
      <w:r>
        <w:rPr>
          <w:rFonts w:hint="eastAsia" w:asciiTheme="minorEastAsia" w:hAnsiTheme="minorEastAsia" w:cstheme="minorEastAsia"/>
          <w:color w:val="auto"/>
          <w:sz w:val="24"/>
          <w:szCs w:val="24"/>
        </w:rPr>
        <w:t>.</w:t>
      </w:r>
      <w:r>
        <w:rPr>
          <w:rFonts w:hint="eastAsia" w:asciiTheme="minorEastAsia" w:hAnsiTheme="minorEastAsia" w:cstheme="minorEastAsia"/>
          <w:color w:val="auto"/>
          <w:sz w:val="24"/>
          <w:szCs w:val="24"/>
          <w:lang w:val="en-US" w:eastAsia="zh-CN"/>
        </w:rPr>
        <w:t>7</w:t>
      </w:r>
      <w:r>
        <w:rPr>
          <w:rFonts w:hint="eastAsia" w:ascii="宋体" w:hAnsi="宋体" w:eastAsia="宋体" w:cs="宋体"/>
          <w:color w:val="auto"/>
          <w:sz w:val="24"/>
          <w:szCs w:val="24"/>
          <w:highlight w:val="none"/>
        </w:rPr>
        <w:t>多功能仪表</w:t>
      </w:r>
    </w:p>
    <w:p w14:paraId="19C0A452">
      <w:p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选用珠海派诺、</w:t>
      </w:r>
      <w:r>
        <w:rPr>
          <w:rFonts w:hint="eastAsia" w:ascii="宋体" w:hAnsi="宋体" w:eastAsia="宋体" w:cs="宋体"/>
          <w:color w:val="auto"/>
          <w:sz w:val="24"/>
          <w:szCs w:val="24"/>
          <w:highlight w:val="none"/>
          <w:lang w:val="en-US" w:eastAsia="zh-CN"/>
        </w:rPr>
        <w:t>安科瑞</w:t>
      </w:r>
      <w:r>
        <w:rPr>
          <w:rFonts w:hint="eastAsia" w:ascii="宋体" w:hAnsi="宋体" w:eastAsia="宋体" w:cs="宋体"/>
          <w:color w:val="auto"/>
          <w:sz w:val="24"/>
          <w:szCs w:val="24"/>
          <w:highlight w:val="none"/>
        </w:rPr>
        <w:t>、厦门诺贝斯特</w:t>
      </w:r>
      <w:r>
        <w:rPr>
          <w:rFonts w:hint="eastAsia" w:ascii="宋体" w:hAnsi="宋体" w:eastAsia="宋体" w:cs="宋体"/>
          <w:color w:val="auto"/>
          <w:sz w:val="24"/>
          <w:szCs w:val="24"/>
          <w:highlight w:val="none"/>
          <w:lang w:val="en-US" w:eastAsia="zh-CN"/>
        </w:rPr>
        <w:t>或同等</w:t>
      </w:r>
      <w:r>
        <w:rPr>
          <w:rFonts w:hint="eastAsia" w:ascii="宋体" w:hAnsi="宋体" w:eastAsia="宋体" w:cs="宋体"/>
          <w:color w:val="auto"/>
          <w:sz w:val="24"/>
          <w:szCs w:val="24"/>
          <w:highlight w:val="none"/>
        </w:rPr>
        <w:t>国产优质产品。</w:t>
      </w:r>
    </w:p>
    <w:p w14:paraId="1BD1EAB5">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val="en-US" w:eastAsia="zh-CN"/>
        </w:rPr>
        <w:t>8高压柜配套的UPS电源</w:t>
      </w:r>
    </w:p>
    <w:p w14:paraId="6E3C4EDC">
      <w:pPr>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选用</w:t>
      </w:r>
      <w:r>
        <w:rPr>
          <w:rFonts w:hint="eastAsia" w:ascii="宋体" w:hAnsi="宋体" w:eastAsia="宋体" w:cs="宋体"/>
          <w:color w:val="auto"/>
          <w:sz w:val="24"/>
          <w:szCs w:val="24"/>
          <w:highlight w:val="none"/>
          <w:lang w:val="en-US" w:eastAsia="zh-CN"/>
        </w:rPr>
        <w:t>华为、</w:t>
      </w:r>
      <w:r>
        <w:rPr>
          <w:rFonts w:hint="eastAsia" w:ascii="宋体" w:hAnsi="宋体" w:eastAsia="宋体" w:cs="宋体"/>
          <w:color w:val="auto"/>
          <w:sz w:val="24"/>
          <w:szCs w:val="24"/>
          <w:highlight w:val="none"/>
        </w:rPr>
        <w:t>科士达</w:t>
      </w:r>
      <w:r>
        <w:rPr>
          <w:rFonts w:hint="eastAsia" w:ascii="宋体" w:hAnsi="宋体" w:eastAsia="宋体" w:cs="宋体"/>
          <w:color w:val="auto"/>
          <w:sz w:val="24"/>
          <w:szCs w:val="24"/>
          <w:highlight w:val="none"/>
          <w:lang w:eastAsia="zh-CN"/>
        </w:rPr>
        <w:t>、易事特</w:t>
      </w:r>
      <w:r>
        <w:rPr>
          <w:rFonts w:hint="eastAsia" w:ascii="宋体" w:hAnsi="宋体" w:eastAsia="宋体" w:cs="宋体"/>
          <w:color w:val="auto"/>
          <w:sz w:val="24"/>
          <w:szCs w:val="24"/>
          <w:highlight w:val="none"/>
          <w:lang w:val="en-US" w:eastAsia="zh-CN"/>
        </w:rPr>
        <w:t>或同等</w:t>
      </w:r>
      <w:r>
        <w:rPr>
          <w:rFonts w:hint="eastAsia" w:ascii="宋体" w:hAnsi="宋体" w:eastAsia="宋体" w:cs="宋体"/>
          <w:color w:val="auto"/>
          <w:sz w:val="24"/>
          <w:szCs w:val="24"/>
          <w:highlight w:val="none"/>
          <w:lang w:eastAsia="zh-CN"/>
        </w:rPr>
        <w:t>国产优质产品。</w:t>
      </w:r>
    </w:p>
    <w:p w14:paraId="0A6A567E">
      <w:pPr>
        <w:spacing w:line="360" w:lineRule="auto"/>
        <w:rPr>
          <w:rFonts w:hint="eastAsia" w:asciiTheme="minorEastAsia" w:hAnsiTheme="minorEastAsia" w:cstheme="minorEastAsia"/>
          <w:sz w:val="24"/>
          <w:szCs w:val="24"/>
        </w:rPr>
      </w:pPr>
      <w:r>
        <w:rPr>
          <w:rFonts w:hint="eastAsia" w:asciiTheme="minorEastAsia" w:hAnsiTheme="minorEastAsia" w:cstheme="minorEastAsia"/>
          <w:sz w:val="24"/>
          <w:szCs w:val="24"/>
        </w:rPr>
        <w:t>3.</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9</w:t>
      </w:r>
      <w:r>
        <w:rPr>
          <w:rFonts w:hint="eastAsia" w:asciiTheme="minorEastAsia" w:hAnsiTheme="minorEastAsia" w:cstheme="minorEastAsia"/>
          <w:sz w:val="24"/>
          <w:szCs w:val="24"/>
        </w:rPr>
        <w:t>母线要求</w:t>
      </w:r>
    </w:p>
    <w:p w14:paraId="24BC2EE7">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bookmarkStart w:id="11" w:name="OLE_LINK8"/>
      <w:r>
        <w:rPr>
          <w:rFonts w:hint="eastAsia" w:ascii="宋体" w:hAnsi="宋体" w:eastAsia="宋体" w:cs="宋体"/>
          <w:color w:val="auto"/>
          <w:sz w:val="24"/>
          <w:szCs w:val="24"/>
          <w:highlight w:val="none"/>
        </w:rPr>
        <w:t>高、低压柜内母线</w:t>
      </w:r>
      <w:bookmarkEnd w:id="11"/>
      <w:r>
        <w:rPr>
          <w:rFonts w:hint="eastAsia" w:ascii="宋体" w:hAnsi="宋体" w:eastAsia="宋体" w:cs="宋体"/>
          <w:color w:val="auto"/>
          <w:sz w:val="24"/>
          <w:szCs w:val="24"/>
          <w:highlight w:val="none"/>
          <w:lang w:val="en-US" w:eastAsia="zh-CN"/>
        </w:rPr>
        <w:t>均</w:t>
      </w:r>
      <w:r>
        <w:rPr>
          <w:rFonts w:hint="eastAsia" w:ascii="宋体" w:hAnsi="宋体" w:eastAsia="宋体" w:cs="宋体"/>
          <w:color w:val="auto"/>
          <w:sz w:val="24"/>
          <w:szCs w:val="24"/>
          <w:highlight w:val="none"/>
        </w:rPr>
        <w:t>采用铜</w:t>
      </w:r>
      <w:r>
        <w:rPr>
          <w:rFonts w:hint="eastAsia" w:ascii="宋体" w:hAnsi="宋体" w:eastAsia="宋体" w:cs="宋体"/>
          <w:color w:val="auto"/>
          <w:sz w:val="24"/>
          <w:szCs w:val="24"/>
          <w:highlight w:val="none"/>
          <w:lang w:eastAsia="zh-CN"/>
        </w:rPr>
        <w:t>母线</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接合处应有防止电场集中和局部放电</w:t>
      </w:r>
    </w:p>
    <w:p w14:paraId="23D3111F">
      <w:pPr>
        <w:numPr>
          <w:ilvl w:val="0"/>
          <w:numId w:val="0"/>
        </w:numPr>
        <w:spacing w:line="360" w:lineRule="auto"/>
        <w:ind w:left="63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的措施。</w:t>
      </w:r>
      <w:r>
        <w:rPr>
          <w:rFonts w:hint="eastAsia" w:ascii="宋体" w:hAnsi="宋体" w:eastAsia="宋体" w:cs="宋体"/>
          <w:color w:val="auto"/>
          <w:sz w:val="24"/>
          <w:szCs w:val="24"/>
          <w:highlight w:val="none"/>
        </w:rPr>
        <w:t>具体规格见图纸要求。</w:t>
      </w:r>
    </w:p>
    <w:p w14:paraId="30C4E016">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高、低压柜内母线均需采用热缩套包裹。开关柜内部导体采用的绝缘护</w:t>
      </w:r>
    </w:p>
    <w:p w14:paraId="28DDDA34">
      <w:pPr>
        <w:numPr>
          <w:ilvl w:val="0"/>
          <w:numId w:val="0"/>
        </w:numPr>
        <w:spacing w:line="360" w:lineRule="auto"/>
        <w:ind w:left="63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套和热缩绝缘材料寿命应与开关柜的使用寿命一致。</w:t>
      </w:r>
    </w:p>
    <w:p w14:paraId="2323B719">
      <w:pPr>
        <w:numPr>
          <w:ilvl w:val="0"/>
          <w:numId w:val="19"/>
        </w:numPr>
        <w:spacing w:line="360" w:lineRule="auto"/>
        <w:ind w:left="150" w:leftChars="0" w:firstLine="48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0.4 kV 系统中性点直接接地；采用TN- S系统，N、PE线在变压器进线</w:t>
      </w:r>
    </w:p>
    <w:p w14:paraId="71F0E7A5">
      <w:pPr>
        <w:numPr>
          <w:ilvl w:val="0"/>
          <w:numId w:val="0"/>
        </w:numPr>
        <w:spacing w:line="360" w:lineRule="auto"/>
        <w:ind w:left="63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柜处分开</w:t>
      </w:r>
      <w:r>
        <w:rPr>
          <w:rFonts w:hint="eastAsia" w:ascii="宋体" w:hAnsi="宋体" w:eastAsia="宋体" w:cs="宋体"/>
          <w:color w:val="auto"/>
          <w:sz w:val="24"/>
          <w:szCs w:val="24"/>
          <w:highlight w:val="none"/>
          <w:lang w:eastAsia="zh-CN"/>
        </w:rPr>
        <w:t>。</w:t>
      </w:r>
    </w:p>
    <w:p w14:paraId="3A28C2FE">
      <w:pPr>
        <w:numPr>
          <w:ilvl w:val="0"/>
          <w:numId w:val="0"/>
        </w:numPr>
        <w:spacing w:line="360" w:lineRule="auto"/>
        <w:rPr>
          <w:rFonts w:hint="eastAsia" w:eastAsiaTheme="minorEastAsia"/>
          <w:color w:val="auto"/>
          <w:sz w:val="24"/>
          <w:szCs w:val="24"/>
          <w:lang w:val="en-US" w:eastAsia="zh-CN"/>
        </w:rPr>
      </w:pPr>
      <w:r>
        <w:rPr>
          <w:rFonts w:hint="eastAsia" w:asciiTheme="minorEastAsia" w:hAnsiTheme="minorEastAsia" w:cstheme="minorEastAsia"/>
          <w:color w:val="auto"/>
          <w:sz w:val="24"/>
          <w:szCs w:val="24"/>
        </w:rPr>
        <w:t>3.</w:t>
      </w:r>
      <w:r>
        <w:rPr>
          <w:rFonts w:hint="eastAsia" w:asciiTheme="minorEastAsia" w:hAnsiTheme="minorEastAsia" w:cstheme="minorEastAsia"/>
          <w:color w:val="auto"/>
          <w:sz w:val="24"/>
          <w:szCs w:val="24"/>
          <w:lang w:val="en-US" w:eastAsia="zh-CN"/>
        </w:rPr>
        <w:t>2</w:t>
      </w:r>
      <w:r>
        <w:rPr>
          <w:rFonts w:hint="eastAsia" w:asciiTheme="minorEastAsia" w:hAnsiTheme="minorEastAsia" w:cstheme="minorEastAsia"/>
          <w:color w:val="auto"/>
          <w:sz w:val="24"/>
          <w:szCs w:val="24"/>
        </w:rPr>
        <w:t>.</w:t>
      </w:r>
      <w:r>
        <w:rPr>
          <w:rFonts w:hint="eastAsia" w:asciiTheme="minorEastAsia" w:hAnsiTheme="minorEastAsia" w:cstheme="minorEastAsia"/>
          <w:color w:val="auto"/>
          <w:sz w:val="24"/>
          <w:szCs w:val="24"/>
          <w:lang w:val="en-US" w:eastAsia="zh-CN"/>
        </w:rPr>
        <w:t>10箱变</w:t>
      </w:r>
      <w:r>
        <w:rPr>
          <w:rFonts w:hint="eastAsia"/>
          <w:color w:val="auto"/>
          <w:sz w:val="24"/>
          <w:szCs w:val="24"/>
        </w:rPr>
        <w:t>接地</w:t>
      </w:r>
      <w:r>
        <w:rPr>
          <w:rFonts w:hint="eastAsia"/>
          <w:color w:val="auto"/>
          <w:sz w:val="24"/>
          <w:szCs w:val="24"/>
          <w:lang w:val="en-US" w:eastAsia="zh-CN"/>
        </w:rPr>
        <w:t>要求</w:t>
      </w:r>
    </w:p>
    <w:p w14:paraId="1BF0ACA9">
      <w:pPr>
        <w:numPr>
          <w:ilvl w:val="0"/>
          <w:numId w:val="0"/>
        </w:numPr>
        <w:spacing w:line="360" w:lineRule="auto"/>
        <w:ind w:firstLine="480" w:firstLineChars="200"/>
        <w:rPr>
          <w:rFonts w:hint="eastAsia"/>
          <w:color w:val="auto"/>
          <w:sz w:val="24"/>
          <w:szCs w:val="24"/>
        </w:rPr>
      </w:pPr>
      <w:r>
        <w:rPr>
          <w:rFonts w:hint="eastAsia"/>
          <w:sz w:val="24"/>
          <w:szCs w:val="24"/>
          <w:lang w:val="en-US" w:eastAsia="zh-CN"/>
        </w:rPr>
        <w:t>变压器主要接地点应有明显的接地标志。箱体中应设有不少于两个与接地系统相连的端</w:t>
      </w:r>
      <w:r>
        <w:rPr>
          <w:rFonts w:hint="eastAsia"/>
          <w:sz w:val="24"/>
          <w:szCs w:val="24"/>
        </w:rPr>
        <w:t>子，需要</w:t>
      </w:r>
      <w:r>
        <w:rPr>
          <w:rFonts w:hint="eastAsia"/>
          <w:color w:val="auto"/>
          <w:sz w:val="24"/>
          <w:szCs w:val="24"/>
        </w:rPr>
        <w:t>接地的高低压电器元件及金属部件均应有效接地。</w:t>
      </w:r>
    </w:p>
    <w:p w14:paraId="7D75DC49">
      <w:pPr>
        <w:spacing w:line="360" w:lineRule="auto"/>
        <w:rPr>
          <w:rFonts w:hint="eastAsia"/>
          <w:sz w:val="24"/>
          <w:szCs w:val="24"/>
        </w:rPr>
      </w:pPr>
      <w:r>
        <w:rPr>
          <w:rFonts w:hint="eastAsia" w:asciiTheme="minorEastAsia" w:hAnsiTheme="minorEastAsia" w:cstheme="minorEastAsia"/>
          <w:sz w:val="24"/>
          <w:szCs w:val="24"/>
        </w:rPr>
        <w:t>3.</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11箱变</w:t>
      </w:r>
      <w:r>
        <w:rPr>
          <w:rFonts w:hint="eastAsia"/>
          <w:sz w:val="24"/>
          <w:szCs w:val="24"/>
        </w:rPr>
        <w:t>温控及冷却装置</w:t>
      </w:r>
    </w:p>
    <w:p w14:paraId="1D0BD3F0">
      <w:pPr>
        <w:spacing w:line="360" w:lineRule="auto"/>
        <w:ind w:firstLine="480"/>
        <w:rPr>
          <w:rFonts w:hint="eastAsia"/>
          <w:sz w:val="24"/>
          <w:szCs w:val="24"/>
        </w:rPr>
      </w:pPr>
      <w:r>
        <w:rPr>
          <w:rFonts w:hint="eastAsia"/>
          <w:sz w:val="24"/>
          <w:szCs w:val="24"/>
          <w:lang w:val="en-US" w:eastAsia="zh-CN"/>
        </w:rPr>
        <w:t>箱变</w:t>
      </w:r>
      <w:r>
        <w:rPr>
          <w:rFonts w:hint="eastAsia"/>
          <w:sz w:val="24"/>
          <w:szCs w:val="24"/>
        </w:rPr>
        <w:t> 冷却装置配置</w:t>
      </w:r>
      <w:r>
        <w:rPr>
          <w:rFonts w:hint="eastAsia"/>
          <w:sz w:val="24"/>
          <w:szCs w:val="24"/>
          <w:lang w:val="en-US" w:eastAsia="zh-CN"/>
        </w:rPr>
        <w:t>的</w:t>
      </w:r>
      <w:r>
        <w:rPr>
          <w:rFonts w:hint="eastAsia"/>
          <w:sz w:val="24"/>
          <w:szCs w:val="24"/>
        </w:rPr>
        <w:t>温控装置，散热器的数量及冷却能力应能散去总损耗所产生的热量。</w:t>
      </w:r>
    </w:p>
    <w:p w14:paraId="404BD414">
      <w:pPr>
        <w:spacing w:line="360" w:lineRule="auto"/>
        <w:rPr>
          <w:rFonts w:hint="eastAsia"/>
          <w:sz w:val="24"/>
          <w:szCs w:val="24"/>
        </w:rPr>
      </w:pPr>
      <w:r>
        <w:rPr>
          <w:rFonts w:hint="eastAsia" w:asciiTheme="minorEastAsia" w:hAnsiTheme="minorEastAsia" w:cstheme="minorEastAsia"/>
          <w:sz w:val="24"/>
          <w:szCs w:val="24"/>
        </w:rPr>
        <w:t>3.</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12</w:t>
      </w:r>
      <w:r>
        <w:rPr>
          <w:rFonts w:hint="eastAsia"/>
          <w:sz w:val="24"/>
          <w:szCs w:val="24"/>
        </w:rPr>
        <w:t xml:space="preserve"> 耐地震要求</w:t>
      </w:r>
    </w:p>
    <w:p w14:paraId="45C6A484">
      <w:pPr>
        <w:spacing w:line="360" w:lineRule="auto"/>
        <w:ind w:firstLine="480"/>
        <w:rPr>
          <w:rFonts w:hint="eastAsia"/>
          <w:sz w:val="24"/>
          <w:szCs w:val="24"/>
        </w:rPr>
      </w:pPr>
      <w:r>
        <w:rPr>
          <w:rFonts w:hint="eastAsia"/>
          <w:sz w:val="24"/>
          <w:szCs w:val="24"/>
        </w:rPr>
        <w:t>设备及设备支座必须按承受地震荷载时能保持结构完整来设计。</w:t>
      </w:r>
    </w:p>
    <w:p w14:paraId="00DDC163">
      <w:pPr>
        <w:spacing w:line="360" w:lineRule="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3.2.13 铭牌</w:t>
      </w:r>
    </w:p>
    <w:p w14:paraId="4DE47DCC">
      <w:pPr>
        <w:numPr>
          <w:ilvl w:val="0"/>
          <w:numId w:val="20"/>
        </w:numPr>
        <w:spacing w:line="360" w:lineRule="auto"/>
        <w:ind w:left="840" w:leftChars="0" w:hanging="42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箱式变电站的铭牌应清晰，其内容应符合GB1984之规定。</w:t>
      </w:r>
    </w:p>
    <w:p w14:paraId="27F35266">
      <w:pPr>
        <w:numPr>
          <w:ilvl w:val="0"/>
          <w:numId w:val="20"/>
        </w:numPr>
        <w:spacing w:line="360" w:lineRule="auto"/>
        <w:ind w:left="840" w:leftChars="0" w:hanging="42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铭牌应为不锈钢材料；</w:t>
      </w:r>
    </w:p>
    <w:p w14:paraId="14DE387E">
      <w:pPr>
        <w:numPr>
          <w:ilvl w:val="0"/>
          <w:numId w:val="20"/>
        </w:numPr>
        <w:spacing w:line="360" w:lineRule="auto"/>
        <w:ind w:left="840" w:leftChars="0" w:hanging="42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设备零件及其附件上的指示牌、警告牌应标识清晰。</w:t>
      </w:r>
    </w:p>
    <w:p w14:paraId="5FD0117A">
      <w:pPr>
        <w:spacing w:line="360" w:lineRule="auto"/>
        <w:rPr>
          <w:rFonts w:hint="eastAsia"/>
          <w:b/>
          <w:bCs/>
          <w:sz w:val="28"/>
          <w:szCs w:val="28"/>
        </w:rPr>
      </w:pPr>
      <w:bookmarkStart w:id="12" w:name="_Toc445904012"/>
      <w:r>
        <w:rPr>
          <w:rFonts w:hint="eastAsia" w:asciiTheme="minorEastAsia" w:hAnsiTheme="minorEastAsia" w:eastAsiaTheme="minorEastAsia" w:cstheme="minorEastAsia"/>
          <w:b/>
          <w:bCs/>
          <w:kern w:val="2"/>
          <w:sz w:val="28"/>
          <w:szCs w:val="28"/>
          <w:lang w:val="en-US" w:eastAsia="zh-CN" w:bidi="ar-SA"/>
        </w:rPr>
        <w:t>4</w:t>
      </w:r>
      <w:r>
        <w:rPr>
          <w:rFonts w:hint="eastAsia" w:asciiTheme="minorEastAsia" w:hAnsiTheme="minorEastAsia" w:cstheme="minorEastAsia"/>
          <w:b/>
          <w:bCs/>
          <w:kern w:val="2"/>
          <w:sz w:val="28"/>
          <w:szCs w:val="28"/>
          <w:lang w:val="en-US" w:eastAsia="zh-CN" w:bidi="ar-SA"/>
        </w:rPr>
        <w:t>、</w:t>
      </w:r>
      <w:r>
        <w:rPr>
          <w:rFonts w:hint="eastAsia"/>
          <w:b/>
          <w:bCs/>
          <w:sz w:val="28"/>
          <w:szCs w:val="28"/>
        </w:rPr>
        <w:t>试验</w:t>
      </w:r>
      <w:bookmarkEnd w:id="12"/>
    </w:p>
    <w:p w14:paraId="567C9001">
      <w:pPr>
        <w:spacing w:line="360" w:lineRule="auto"/>
        <w:ind w:firstLine="480" w:firstLineChars="200"/>
        <w:rPr>
          <w:rFonts w:hint="eastAsia"/>
          <w:color w:val="FF0000"/>
          <w:sz w:val="24"/>
          <w:szCs w:val="24"/>
        </w:rPr>
      </w:pPr>
      <w:r>
        <w:rPr>
          <w:rFonts w:hint="eastAsia"/>
          <w:sz w:val="24"/>
          <w:szCs w:val="24"/>
        </w:rPr>
        <w:t>箱式变电站的型式试验、出厂试验均应符合国家相关标准要求。买方或制造商应提供投标产品全部</w:t>
      </w:r>
      <w:r>
        <w:rPr>
          <w:rFonts w:hint="eastAsia"/>
          <w:color w:val="FF0000"/>
          <w:sz w:val="24"/>
          <w:szCs w:val="24"/>
        </w:rPr>
        <w:t>有效的型式试验报告和国家强制性产品认证（CCC）试验报告及中国质量认证中心发放的CCC证书。</w:t>
      </w:r>
    </w:p>
    <w:p w14:paraId="7A1C16FF">
      <w:pPr>
        <w:spacing w:line="360" w:lineRule="auto"/>
        <w:rPr>
          <w:rFonts w:hint="eastAsia"/>
          <w:sz w:val="24"/>
          <w:szCs w:val="24"/>
        </w:rPr>
      </w:pPr>
      <w:r>
        <w:rPr>
          <w:rFonts w:hint="eastAsia"/>
          <w:sz w:val="24"/>
          <w:szCs w:val="24"/>
          <w:lang w:val="en-US" w:eastAsia="zh-CN"/>
        </w:rPr>
        <w:t>4</w:t>
      </w:r>
      <w:r>
        <w:rPr>
          <w:rFonts w:hint="eastAsia"/>
          <w:sz w:val="24"/>
          <w:szCs w:val="24"/>
        </w:rPr>
        <w:t>.1 型式试验</w:t>
      </w:r>
      <w:bookmarkStart w:id="13" w:name="_GoBack"/>
      <w:bookmarkEnd w:id="13"/>
    </w:p>
    <w:p w14:paraId="20ABE969">
      <w:pPr>
        <w:spacing w:line="360" w:lineRule="auto"/>
        <w:rPr>
          <w:rFonts w:hint="eastAsia"/>
          <w:sz w:val="24"/>
          <w:szCs w:val="24"/>
        </w:rPr>
      </w:pPr>
      <w:r>
        <w:rPr>
          <w:rFonts w:hint="eastAsia"/>
          <w:sz w:val="24"/>
          <w:szCs w:val="24"/>
          <w:lang w:val="en-US" w:eastAsia="zh-CN"/>
        </w:rPr>
        <w:t>4</w:t>
      </w:r>
      <w:r>
        <w:rPr>
          <w:rFonts w:hint="eastAsia"/>
          <w:sz w:val="24"/>
          <w:szCs w:val="24"/>
        </w:rPr>
        <w:t>.1.1 满足GB3804要求的负荷开关型式试验。</w:t>
      </w:r>
    </w:p>
    <w:p w14:paraId="2D9B604C">
      <w:pPr>
        <w:spacing w:line="360" w:lineRule="auto"/>
        <w:rPr>
          <w:rFonts w:hint="eastAsia"/>
          <w:sz w:val="24"/>
          <w:szCs w:val="24"/>
        </w:rPr>
      </w:pPr>
      <w:r>
        <w:rPr>
          <w:rFonts w:hint="eastAsia"/>
          <w:sz w:val="24"/>
          <w:szCs w:val="24"/>
          <w:lang w:val="en-US" w:eastAsia="zh-CN"/>
        </w:rPr>
        <w:t>4</w:t>
      </w:r>
      <w:r>
        <w:rPr>
          <w:rFonts w:hint="eastAsia"/>
          <w:sz w:val="24"/>
          <w:szCs w:val="24"/>
        </w:rPr>
        <w:t>.1.2满足GB/T17467要求的箱式配电站、箱式开关站壳体的机械强度型式试验。</w:t>
      </w:r>
    </w:p>
    <w:p w14:paraId="0FDDA045">
      <w:pPr>
        <w:spacing w:line="360" w:lineRule="auto"/>
        <w:rPr>
          <w:rFonts w:hint="eastAsia"/>
          <w:sz w:val="24"/>
          <w:szCs w:val="24"/>
        </w:rPr>
      </w:pPr>
      <w:r>
        <w:rPr>
          <w:rFonts w:hint="eastAsia"/>
          <w:sz w:val="24"/>
          <w:szCs w:val="24"/>
          <w:lang w:val="en-US" w:eastAsia="zh-CN"/>
        </w:rPr>
        <w:t>4</w:t>
      </w:r>
      <w:r>
        <w:rPr>
          <w:rFonts w:hint="eastAsia"/>
          <w:sz w:val="24"/>
          <w:szCs w:val="24"/>
        </w:rPr>
        <w:t>.1.3满足GB/T17467要求的型式试验</w:t>
      </w:r>
      <w:r>
        <w:rPr>
          <w:rFonts w:hint="eastAsia"/>
          <w:sz w:val="24"/>
          <w:szCs w:val="24"/>
          <w:lang w:eastAsia="zh-CN"/>
        </w:rPr>
        <w:t>（</w:t>
      </w:r>
      <w:r>
        <w:rPr>
          <w:rFonts w:hint="eastAsia"/>
          <w:sz w:val="24"/>
          <w:szCs w:val="24"/>
        </w:rPr>
        <w:t>箱式变电站</w:t>
      </w:r>
      <w:r>
        <w:rPr>
          <w:rFonts w:hint="eastAsia"/>
          <w:sz w:val="24"/>
          <w:szCs w:val="24"/>
          <w:lang w:eastAsia="zh-CN"/>
        </w:rPr>
        <w:t>）</w:t>
      </w:r>
      <w:r>
        <w:rPr>
          <w:rFonts w:hint="eastAsia"/>
          <w:sz w:val="24"/>
          <w:szCs w:val="24"/>
        </w:rPr>
        <w:t>。</w:t>
      </w:r>
    </w:p>
    <w:p w14:paraId="3D922973">
      <w:pPr>
        <w:spacing w:line="360" w:lineRule="auto"/>
        <w:rPr>
          <w:rFonts w:hint="eastAsia"/>
          <w:sz w:val="24"/>
          <w:szCs w:val="24"/>
        </w:rPr>
      </w:pPr>
      <w:r>
        <w:rPr>
          <w:rFonts w:hint="eastAsia"/>
          <w:sz w:val="24"/>
          <w:szCs w:val="24"/>
          <w:lang w:val="en-US" w:eastAsia="zh-CN"/>
        </w:rPr>
        <w:t>4</w:t>
      </w:r>
      <w:r>
        <w:rPr>
          <w:rFonts w:hint="eastAsia"/>
          <w:sz w:val="24"/>
          <w:szCs w:val="24"/>
        </w:rPr>
        <w:t>.1.4满足GB14048.2要求的0.4kV受总断路器电子脱扣器电磁场骚扰抗干扰、热冲击型式试验。</w:t>
      </w:r>
    </w:p>
    <w:p w14:paraId="214512F2">
      <w:pPr>
        <w:spacing w:line="360" w:lineRule="auto"/>
        <w:rPr>
          <w:rFonts w:hint="eastAsia"/>
          <w:sz w:val="24"/>
          <w:szCs w:val="24"/>
        </w:rPr>
      </w:pPr>
      <w:r>
        <w:rPr>
          <w:rFonts w:hint="eastAsia"/>
          <w:sz w:val="24"/>
          <w:szCs w:val="24"/>
          <w:lang w:val="en-US" w:eastAsia="zh-CN"/>
        </w:rPr>
        <w:t>4</w:t>
      </w:r>
      <w:r>
        <w:rPr>
          <w:rFonts w:hint="eastAsia"/>
          <w:sz w:val="24"/>
          <w:szCs w:val="24"/>
        </w:rPr>
        <w:t>.2 出厂试验</w:t>
      </w:r>
    </w:p>
    <w:p w14:paraId="1929735D">
      <w:pPr>
        <w:spacing w:line="360" w:lineRule="auto"/>
        <w:rPr>
          <w:rFonts w:hint="eastAsia"/>
          <w:sz w:val="24"/>
          <w:szCs w:val="24"/>
        </w:rPr>
      </w:pPr>
      <w:r>
        <w:rPr>
          <w:rFonts w:hint="eastAsia"/>
          <w:sz w:val="24"/>
          <w:szCs w:val="24"/>
          <w:lang w:val="en-US" w:eastAsia="zh-CN"/>
        </w:rPr>
        <w:t>4</w:t>
      </w:r>
      <w:r>
        <w:rPr>
          <w:rFonts w:hint="eastAsia"/>
          <w:sz w:val="24"/>
          <w:szCs w:val="24"/>
        </w:rPr>
        <w:t>.2.1 每台箱式变电站均应在工厂内进行整台组装和出厂试验，并附有满足国家出厂试验标准的测试数据和文件。出厂试验的技术数据应随产品一起交付项目单位。产品在拆前应对关键的连接部位和部件做好标记。</w:t>
      </w:r>
    </w:p>
    <w:p w14:paraId="25FE3896">
      <w:pPr>
        <w:spacing w:line="360" w:lineRule="auto"/>
        <w:rPr>
          <w:rFonts w:hint="eastAsia"/>
          <w:sz w:val="24"/>
          <w:szCs w:val="24"/>
        </w:rPr>
      </w:pPr>
      <w:r>
        <w:rPr>
          <w:rFonts w:hint="eastAsia"/>
          <w:sz w:val="24"/>
          <w:szCs w:val="24"/>
          <w:lang w:val="en-US" w:eastAsia="zh-CN"/>
        </w:rPr>
        <w:t>4</w:t>
      </w:r>
      <w:r>
        <w:rPr>
          <w:rFonts w:hint="eastAsia"/>
          <w:sz w:val="24"/>
          <w:szCs w:val="24"/>
        </w:rPr>
        <w:t>.2.2 试验项目及要求按照DL/T537第9章执行。</w:t>
      </w:r>
    </w:p>
    <w:p w14:paraId="25912B02">
      <w:pPr>
        <w:spacing w:line="360" w:lineRule="auto"/>
        <w:rPr>
          <w:rFonts w:hint="eastAsia"/>
          <w:sz w:val="24"/>
          <w:szCs w:val="24"/>
        </w:rPr>
      </w:pPr>
      <w:r>
        <w:rPr>
          <w:rFonts w:hint="eastAsia"/>
          <w:sz w:val="24"/>
          <w:szCs w:val="24"/>
          <w:lang w:val="en-US" w:eastAsia="zh-CN"/>
        </w:rPr>
        <w:t>4</w:t>
      </w:r>
      <w:r>
        <w:rPr>
          <w:rFonts w:hint="eastAsia"/>
          <w:sz w:val="24"/>
          <w:szCs w:val="24"/>
        </w:rPr>
        <w:t>.3 现场交接试验按GB50150执行。</w:t>
      </w:r>
    </w:p>
    <w:p w14:paraId="0BAB4451">
      <w:pPr>
        <w:widowControl/>
        <w:spacing w:line="360" w:lineRule="auto"/>
        <w:jc w:val="left"/>
        <w:rPr>
          <w:rFonts w:hint="eastAsia" w:asciiTheme="minorEastAsia" w:hAnsiTheme="minorEastAsia" w:cstheme="minorEastAsia"/>
          <w:b/>
          <w:bCs/>
          <w:sz w:val="28"/>
          <w:szCs w:val="28"/>
        </w:rPr>
      </w:pPr>
      <w:r>
        <w:rPr>
          <w:rFonts w:hint="eastAsia" w:asciiTheme="minorEastAsia" w:hAnsiTheme="minorEastAsia" w:cstheme="minorEastAsia"/>
          <w:b/>
          <w:bCs/>
          <w:sz w:val="28"/>
          <w:szCs w:val="28"/>
          <w:lang w:val="en-US" w:eastAsia="zh-CN"/>
        </w:rPr>
        <w:t>5、</w:t>
      </w:r>
      <w:r>
        <w:rPr>
          <w:rFonts w:hint="eastAsia" w:asciiTheme="minorEastAsia" w:hAnsiTheme="minorEastAsia" w:cstheme="minorEastAsia"/>
          <w:b/>
          <w:bCs/>
          <w:sz w:val="28"/>
          <w:szCs w:val="28"/>
        </w:rPr>
        <w:t>产品运输</w:t>
      </w:r>
    </w:p>
    <w:p w14:paraId="528AB4DF">
      <w:pPr>
        <w:widowControl/>
        <w:spacing w:line="360" w:lineRule="auto"/>
        <w:jc w:val="left"/>
        <w:rPr>
          <w:rFonts w:hint="eastAsia" w:asciiTheme="minorEastAsia" w:hAnsiTheme="minorEastAsia" w:cstheme="minorEastAsia"/>
          <w:color w:val="auto"/>
          <w:sz w:val="24"/>
          <w:szCs w:val="24"/>
        </w:rPr>
      </w:pPr>
      <w:r>
        <w:rPr>
          <w:rFonts w:hint="eastAsia" w:asciiTheme="minorEastAsia" w:hAnsiTheme="minorEastAsia" w:cstheme="minorEastAsia"/>
          <w:sz w:val="24"/>
          <w:szCs w:val="24"/>
        </w:rPr>
        <w:t>5</w:t>
      </w:r>
      <w:r>
        <w:rPr>
          <w:rFonts w:hint="eastAsia" w:asciiTheme="minorEastAsia" w:hAnsiTheme="minorEastAsia" w:cstheme="minorEastAsia"/>
          <w:color w:val="auto"/>
          <w:sz w:val="24"/>
          <w:szCs w:val="24"/>
        </w:rPr>
        <w:t>.1卖方负责将</w:t>
      </w:r>
      <w:r>
        <w:rPr>
          <w:rFonts w:hint="eastAsia" w:asciiTheme="minorEastAsia" w:hAnsiTheme="minorEastAsia" w:cstheme="minorEastAsia"/>
          <w:color w:val="auto"/>
          <w:sz w:val="24"/>
          <w:szCs w:val="24"/>
          <w:lang w:val="en-US" w:eastAsia="zh-CN"/>
        </w:rPr>
        <w:t>箱变</w:t>
      </w:r>
      <w:r>
        <w:rPr>
          <w:rFonts w:hint="eastAsia" w:asciiTheme="minorEastAsia" w:hAnsiTheme="minorEastAsia" w:cstheme="minorEastAsia"/>
          <w:color w:val="auto"/>
          <w:sz w:val="24"/>
          <w:szCs w:val="24"/>
        </w:rPr>
        <w:t>设备安全运抵现场，车板交货</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rPr>
        <w:t>卖方</w:t>
      </w:r>
      <w:r>
        <w:rPr>
          <w:rFonts w:hint="eastAsia" w:asciiTheme="minorEastAsia" w:hAnsiTheme="minorEastAsia" w:cstheme="minorEastAsia"/>
          <w:color w:val="auto"/>
          <w:sz w:val="24"/>
          <w:szCs w:val="24"/>
          <w:lang w:val="en-US" w:eastAsia="zh-CN"/>
        </w:rPr>
        <w:t>随车提供专用吊具，安装到位后回收</w:t>
      </w:r>
      <w:r>
        <w:rPr>
          <w:rFonts w:hint="eastAsia" w:asciiTheme="minorEastAsia" w:hAnsiTheme="minorEastAsia" w:cstheme="minorEastAsia"/>
          <w:color w:val="auto"/>
          <w:sz w:val="24"/>
          <w:szCs w:val="24"/>
        </w:rPr>
        <w:t>。</w:t>
      </w:r>
      <w:r>
        <w:rPr>
          <w:rFonts w:hint="eastAsia" w:asciiTheme="minorEastAsia" w:hAnsiTheme="minorEastAsia" w:cstheme="minorEastAsia"/>
          <w:color w:val="auto"/>
          <w:sz w:val="24"/>
          <w:szCs w:val="24"/>
          <w:lang w:val="en-US" w:eastAsia="zh-CN"/>
        </w:rPr>
        <w:t>业主方负责卸货、</w:t>
      </w:r>
      <w:r>
        <w:rPr>
          <w:rFonts w:hint="eastAsia" w:asciiTheme="minorEastAsia" w:hAnsiTheme="minorEastAsia" w:cstheme="minorEastAsia"/>
          <w:color w:val="auto"/>
          <w:sz w:val="24"/>
          <w:szCs w:val="24"/>
        </w:rPr>
        <w:t>搬运和安装。</w:t>
      </w:r>
    </w:p>
    <w:p w14:paraId="21AFB0F8">
      <w:pPr>
        <w:widowControl/>
        <w:spacing w:line="360" w:lineRule="auto"/>
        <w:jc w:val="lef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5.2运输方式：公路汽车运输或由双方协商确定。</w:t>
      </w:r>
    </w:p>
    <w:p w14:paraId="42DD5365">
      <w:pPr>
        <w:widowControl/>
        <w:spacing w:line="360" w:lineRule="auto"/>
        <w:jc w:val="lef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5.3在设备启运</w:t>
      </w:r>
      <w:r>
        <w:rPr>
          <w:rFonts w:hint="eastAsia" w:asciiTheme="minorEastAsia" w:hAnsiTheme="minorEastAsia" w:cstheme="minorEastAsia"/>
          <w:color w:val="auto"/>
          <w:sz w:val="24"/>
          <w:szCs w:val="24"/>
          <w:lang w:val="en-US" w:eastAsia="zh-CN"/>
        </w:rPr>
        <w:t>前</w:t>
      </w:r>
      <w:r>
        <w:rPr>
          <w:rFonts w:hint="eastAsia" w:asciiTheme="minorEastAsia" w:hAnsiTheme="minorEastAsia" w:cstheme="minorEastAsia"/>
          <w:color w:val="auto"/>
          <w:sz w:val="24"/>
          <w:szCs w:val="24"/>
        </w:rPr>
        <w:t>,卖方应以最快捷的方式通知买方</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包括但不限于</w:t>
      </w:r>
      <w:r>
        <w:rPr>
          <w:rFonts w:hint="eastAsia" w:asciiTheme="minorEastAsia" w:hAnsiTheme="minorEastAsia" w:cstheme="minorEastAsia"/>
          <w:color w:val="auto"/>
          <w:sz w:val="24"/>
          <w:szCs w:val="24"/>
        </w:rPr>
        <w:t>以下内容:</w:t>
      </w:r>
    </w:p>
    <w:p w14:paraId="176A6A16">
      <w:pPr>
        <w:widowControl/>
        <w:spacing w:line="360" w:lineRule="auto"/>
        <w:ind w:firstLine="283" w:firstLineChars="118"/>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cstheme="minorEastAsia"/>
          <w:color w:val="auto"/>
          <w:sz w:val="24"/>
          <w:szCs w:val="24"/>
        </w:rPr>
        <w:t>1) 设备名称</w:t>
      </w:r>
      <w:r>
        <w:rPr>
          <w:rFonts w:hint="eastAsia" w:asciiTheme="minorEastAsia" w:hAnsiTheme="minorEastAsia" w:cstheme="minorEastAsia"/>
          <w:color w:val="auto"/>
          <w:sz w:val="24"/>
          <w:szCs w:val="24"/>
          <w:lang w:eastAsia="zh-CN"/>
        </w:rPr>
        <w:t>；</w:t>
      </w:r>
    </w:p>
    <w:p w14:paraId="704B8294">
      <w:pPr>
        <w:widowControl/>
        <w:spacing w:line="360" w:lineRule="auto"/>
        <w:ind w:firstLine="283" w:firstLineChars="118"/>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cstheme="minorEastAsia"/>
          <w:color w:val="auto"/>
          <w:sz w:val="24"/>
          <w:szCs w:val="24"/>
        </w:rPr>
        <w:t>2) 件数、件号、重量</w:t>
      </w:r>
      <w:r>
        <w:rPr>
          <w:rFonts w:hint="eastAsia" w:asciiTheme="minorEastAsia" w:hAnsiTheme="minorEastAsia" w:cstheme="minorEastAsia"/>
          <w:color w:val="auto"/>
          <w:sz w:val="24"/>
          <w:szCs w:val="24"/>
          <w:lang w:eastAsia="zh-CN"/>
        </w:rPr>
        <w:t>；</w:t>
      </w:r>
    </w:p>
    <w:p w14:paraId="36A37F99">
      <w:pPr>
        <w:widowControl/>
        <w:spacing w:line="360" w:lineRule="auto"/>
        <w:ind w:firstLine="283" w:firstLineChars="118"/>
        <w:jc w:val="lef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3) 设备发出日期。</w:t>
      </w:r>
    </w:p>
    <w:p w14:paraId="348E44B4">
      <w:pPr>
        <w:widowControl/>
        <w:spacing w:line="360" w:lineRule="auto"/>
        <w:jc w:val="left"/>
        <w:rPr>
          <w:rFonts w:hint="eastAsia" w:asciiTheme="minorEastAsia" w:hAnsiTheme="minorEastAsia" w:cstheme="minorEastAsia"/>
          <w:color w:val="auto"/>
          <w:sz w:val="18"/>
          <w:szCs w:val="18"/>
        </w:rPr>
      </w:pPr>
      <w:r>
        <w:rPr>
          <w:rFonts w:hint="eastAsia" w:asciiTheme="minorEastAsia" w:hAnsiTheme="minorEastAsia" w:cstheme="minorEastAsia"/>
          <w:color w:val="auto"/>
          <w:sz w:val="24"/>
          <w:szCs w:val="24"/>
        </w:rPr>
        <w:t>5.4设备运抵后，卖方应派人进行现场指导</w:t>
      </w:r>
      <w:r>
        <w:rPr>
          <w:rFonts w:hint="eastAsia" w:asciiTheme="minorEastAsia" w:hAnsiTheme="minorEastAsia" w:cstheme="minorEastAsia"/>
          <w:color w:val="auto"/>
          <w:sz w:val="24"/>
          <w:szCs w:val="24"/>
          <w:lang w:val="en-US" w:eastAsia="zh-CN"/>
        </w:rPr>
        <w:t>卸货、</w:t>
      </w:r>
      <w:r>
        <w:rPr>
          <w:rFonts w:hint="eastAsia" w:asciiTheme="minorEastAsia" w:hAnsiTheme="minorEastAsia" w:cstheme="minorEastAsia"/>
          <w:color w:val="auto"/>
          <w:sz w:val="24"/>
          <w:szCs w:val="24"/>
        </w:rPr>
        <w:t xml:space="preserve">安装、调试及操作培训，保证设备的安装质量。  </w:t>
      </w:r>
      <w:r>
        <w:rPr>
          <w:rFonts w:hint="eastAsia" w:asciiTheme="minorEastAsia" w:hAnsiTheme="minorEastAsia" w:cstheme="minorEastAsia"/>
          <w:color w:val="auto"/>
          <w:sz w:val="18"/>
          <w:szCs w:val="18"/>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863832"/>
    </w:sdtPr>
    <w:sdtContent>
      <w:p w14:paraId="1B84FEA9">
        <w:pPr>
          <w:pStyle w:val="5"/>
          <w:jc w:val="center"/>
        </w:pPr>
        <w:r>
          <w:fldChar w:fldCharType="begin"/>
        </w:r>
        <w:r>
          <w:instrText xml:space="preserve"> PAGE   \* MERGEFORMAT </w:instrText>
        </w:r>
        <w:r>
          <w:fldChar w:fldCharType="separate"/>
        </w:r>
        <w:r>
          <w:rPr>
            <w:lang w:val="zh-CN"/>
          </w:rPr>
          <w:t>8</w:t>
        </w:r>
        <w:r>
          <w:rPr>
            <w:lang w:val="zh-CN"/>
          </w:rPr>
          <w:fldChar w:fldCharType="end"/>
        </w:r>
      </w:p>
    </w:sdtContent>
  </w:sdt>
  <w:p w14:paraId="304FE77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9C927"/>
    <w:multiLevelType w:val="singleLevel"/>
    <w:tmpl w:val="83C9C927"/>
    <w:lvl w:ilvl="0" w:tentative="0">
      <w:start w:val="1"/>
      <w:numFmt w:val="bullet"/>
      <w:lvlText w:val=""/>
      <w:lvlJc w:val="left"/>
      <w:pPr>
        <w:ind w:left="570" w:hanging="420"/>
      </w:pPr>
      <w:rPr>
        <w:rFonts w:hint="default" w:ascii="Wingdings" w:hAnsi="Wingdings"/>
      </w:rPr>
    </w:lvl>
  </w:abstractNum>
  <w:abstractNum w:abstractNumId="1">
    <w:nsid w:val="90F2883C"/>
    <w:multiLevelType w:val="singleLevel"/>
    <w:tmpl w:val="90F2883C"/>
    <w:lvl w:ilvl="0" w:tentative="0">
      <w:start w:val="1"/>
      <w:numFmt w:val="bullet"/>
      <w:lvlText w:val=""/>
      <w:lvlJc w:val="left"/>
      <w:pPr>
        <w:ind w:left="420" w:hanging="420"/>
      </w:pPr>
      <w:rPr>
        <w:rFonts w:hint="default" w:ascii="Wingdings" w:hAnsi="Wingdings"/>
      </w:rPr>
    </w:lvl>
  </w:abstractNum>
  <w:abstractNum w:abstractNumId="2">
    <w:nsid w:val="AA89B53A"/>
    <w:multiLevelType w:val="singleLevel"/>
    <w:tmpl w:val="AA89B53A"/>
    <w:lvl w:ilvl="0" w:tentative="0">
      <w:start w:val="1"/>
      <w:numFmt w:val="bullet"/>
      <w:lvlText w:val=""/>
      <w:lvlJc w:val="left"/>
      <w:pPr>
        <w:ind w:left="1050" w:hanging="420"/>
      </w:pPr>
      <w:rPr>
        <w:rFonts w:hint="default" w:ascii="Wingdings" w:hAnsi="Wingdings"/>
      </w:rPr>
    </w:lvl>
  </w:abstractNum>
  <w:abstractNum w:abstractNumId="3">
    <w:nsid w:val="B85B9243"/>
    <w:multiLevelType w:val="singleLevel"/>
    <w:tmpl w:val="B85B9243"/>
    <w:lvl w:ilvl="0" w:tentative="0">
      <w:start w:val="1"/>
      <w:numFmt w:val="bullet"/>
      <w:lvlText w:val=""/>
      <w:lvlJc w:val="left"/>
      <w:pPr>
        <w:ind w:left="1050" w:hanging="420"/>
      </w:pPr>
      <w:rPr>
        <w:rFonts w:hint="default" w:ascii="Wingdings" w:hAnsi="Wingdings"/>
      </w:rPr>
    </w:lvl>
  </w:abstractNum>
  <w:abstractNum w:abstractNumId="4">
    <w:nsid w:val="DFEC5582"/>
    <w:multiLevelType w:val="singleLevel"/>
    <w:tmpl w:val="DFEC5582"/>
    <w:lvl w:ilvl="0" w:tentative="0">
      <w:start w:val="1"/>
      <w:numFmt w:val="bullet"/>
      <w:lvlText w:val=""/>
      <w:lvlJc w:val="left"/>
      <w:pPr>
        <w:ind w:left="568" w:hanging="420"/>
      </w:pPr>
      <w:rPr>
        <w:rFonts w:hint="default" w:ascii="Wingdings" w:hAnsi="Wingdings"/>
      </w:rPr>
    </w:lvl>
  </w:abstractNum>
  <w:abstractNum w:abstractNumId="5">
    <w:nsid w:val="F19259AA"/>
    <w:multiLevelType w:val="singleLevel"/>
    <w:tmpl w:val="F19259AA"/>
    <w:lvl w:ilvl="0" w:tentative="0">
      <w:start w:val="1"/>
      <w:numFmt w:val="bullet"/>
      <w:lvlText w:val=""/>
      <w:lvlJc w:val="left"/>
      <w:pPr>
        <w:ind w:left="1050" w:hanging="420"/>
      </w:pPr>
      <w:rPr>
        <w:rFonts w:hint="default" w:ascii="Wingdings" w:hAnsi="Wingdings"/>
      </w:rPr>
    </w:lvl>
  </w:abstractNum>
  <w:abstractNum w:abstractNumId="6">
    <w:nsid w:val="F723B604"/>
    <w:multiLevelType w:val="singleLevel"/>
    <w:tmpl w:val="F723B604"/>
    <w:lvl w:ilvl="0" w:tentative="0">
      <w:start w:val="1"/>
      <w:numFmt w:val="bullet"/>
      <w:lvlText w:val=""/>
      <w:lvlJc w:val="left"/>
      <w:pPr>
        <w:ind w:left="1260" w:hanging="420"/>
      </w:pPr>
      <w:rPr>
        <w:rFonts w:hint="default" w:ascii="Wingdings" w:hAnsi="Wingdings"/>
      </w:rPr>
    </w:lvl>
  </w:abstractNum>
  <w:abstractNum w:abstractNumId="7">
    <w:nsid w:val="FF3FE12C"/>
    <w:multiLevelType w:val="singleLevel"/>
    <w:tmpl w:val="FF3FE12C"/>
    <w:lvl w:ilvl="0" w:tentative="0">
      <w:start w:val="1"/>
      <w:numFmt w:val="bullet"/>
      <w:lvlText w:val=""/>
      <w:lvlJc w:val="left"/>
      <w:pPr>
        <w:ind w:left="1050" w:hanging="420"/>
      </w:pPr>
      <w:rPr>
        <w:rFonts w:hint="default" w:ascii="Wingdings" w:hAnsi="Wingdings"/>
      </w:rPr>
    </w:lvl>
  </w:abstractNum>
  <w:abstractNum w:abstractNumId="8">
    <w:nsid w:val="00000029"/>
    <w:multiLevelType w:val="multilevel"/>
    <w:tmpl w:val="00000029"/>
    <w:lvl w:ilvl="0" w:tentative="0">
      <w:start w:val="1"/>
      <w:numFmt w:val="none"/>
      <w:pStyle w:val="65"/>
      <w:suff w:val="nothing"/>
      <w:lvlText w:val=""/>
      <w:lvlJc w:val="left"/>
      <w:pPr>
        <w:ind w:left="0" w:firstLine="0"/>
      </w:pPr>
      <w:rPr>
        <w:rFonts w:hint="eastAsia" w:ascii="黑体" w:hAnsi="Times New Roman" w:eastAsia="黑体"/>
        <w:b/>
        <w:i w:val="0"/>
        <w:sz w:val="28"/>
      </w:rPr>
    </w:lvl>
    <w:lvl w:ilvl="1" w:tentative="0">
      <w:start w:val="1"/>
      <w:numFmt w:val="decimal"/>
      <w:suff w:val="nothing"/>
      <w:lvlText w:val="%1%2 "/>
      <w:lvlJc w:val="left"/>
      <w:pPr>
        <w:ind w:left="0" w:firstLine="0"/>
      </w:pPr>
      <w:rPr>
        <w:rFonts w:hint="eastAsia" w:ascii="黑体" w:hAnsi="Times New Roman" w:eastAsia="黑体"/>
        <w:b/>
        <w:i w:val="0"/>
        <w:sz w:val="28"/>
      </w:rPr>
    </w:lvl>
    <w:lvl w:ilvl="2" w:tentative="0">
      <w:start w:val="1"/>
      <w:numFmt w:val="decimal"/>
      <w:pStyle w:val="67"/>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66"/>
      <w:suff w:val="nothing"/>
      <w:lvlText w:val="%1图%2.%3.%4-%6 "/>
      <w:lvlJc w:val="left"/>
      <w:pPr>
        <w:ind w:left="0" w:firstLine="0"/>
      </w:pPr>
      <w:rPr>
        <w:rFonts w:hint="eastAsia" w:ascii="黑体" w:hAnsi="Times New Roman" w:eastAsia="黑体"/>
        <w:b/>
        <w:i w:val="0"/>
        <w:sz w:val="21"/>
      </w:rPr>
    </w:lvl>
    <w:lvl w:ilvl="6" w:tentative="0">
      <w:start w:val="1"/>
      <w:numFmt w:val="decimal"/>
      <w:lvlRestart w:val="4"/>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lvlText w:val="    %1%8"/>
      <w:lvlJc w:val="left"/>
      <w:pPr>
        <w:tabs>
          <w:tab w:val="left" w:pos="720"/>
        </w:tabs>
        <w:ind w:left="0" w:firstLine="0"/>
      </w:pPr>
      <w:rPr>
        <w:rFonts w:hint="eastAsia" w:ascii="黑体" w:eastAsia="黑体"/>
        <w:b/>
        <w:i w:val="0"/>
        <w:sz w:val="21"/>
      </w:rPr>
    </w:lvl>
    <w:lvl w:ilvl="8" w:tentative="0">
      <w:start w:val="1"/>
      <w:numFmt w:val="decimal"/>
      <w:lvlRestart w:val="2"/>
      <w:pStyle w:val="64"/>
      <w:lvlText w:val="%2.0.%9"/>
      <w:lvlJc w:val="left"/>
      <w:pPr>
        <w:tabs>
          <w:tab w:val="left" w:pos="720"/>
        </w:tabs>
        <w:ind w:left="0" w:firstLine="0"/>
      </w:pPr>
      <w:rPr>
        <w:rFonts w:hint="eastAsia" w:ascii="黑体" w:hAnsi="华文细黑" w:eastAsia="黑体"/>
        <w:b/>
        <w:i w:val="0"/>
        <w:sz w:val="21"/>
      </w:rPr>
    </w:lvl>
  </w:abstractNum>
  <w:abstractNum w:abstractNumId="9">
    <w:nsid w:val="02130B51"/>
    <w:multiLevelType w:val="singleLevel"/>
    <w:tmpl w:val="02130B51"/>
    <w:lvl w:ilvl="0" w:tentative="0">
      <w:start w:val="1"/>
      <w:numFmt w:val="bullet"/>
      <w:lvlText w:val=""/>
      <w:lvlJc w:val="left"/>
      <w:pPr>
        <w:ind w:left="840" w:hanging="420"/>
      </w:pPr>
      <w:rPr>
        <w:rFonts w:hint="default" w:ascii="Wingdings" w:hAnsi="Wingdings"/>
      </w:rPr>
    </w:lvl>
  </w:abstractNum>
  <w:abstractNum w:abstractNumId="10">
    <w:nsid w:val="067A49B6"/>
    <w:multiLevelType w:val="singleLevel"/>
    <w:tmpl w:val="067A49B6"/>
    <w:lvl w:ilvl="0" w:tentative="0">
      <w:start w:val="1"/>
      <w:numFmt w:val="bullet"/>
      <w:lvlText w:val=""/>
      <w:lvlJc w:val="left"/>
      <w:pPr>
        <w:ind w:left="420" w:hanging="420"/>
      </w:pPr>
      <w:rPr>
        <w:rFonts w:hint="default" w:ascii="Wingdings" w:hAnsi="Wingdings"/>
      </w:rPr>
    </w:lvl>
  </w:abstractNum>
  <w:abstractNum w:abstractNumId="11">
    <w:nsid w:val="1E2EC85D"/>
    <w:multiLevelType w:val="singleLevel"/>
    <w:tmpl w:val="1E2EC85D"/>
    <w:lvl w:ilvl="0" w:tentative="0">
      <w:start w:val="1"/>
      <w:numFmt w:val="bullet"/>
      <w:lvlText w:val=""/>
      <w:lvlJc w:val="left"/>
      <w:pPr>
        <w:ind w:left="1260" w:hanging="420"/>
      </w:pPr>
      <w:rPr>
        <w:rFonts w:hint="default" w:ascii="Wingdings" w:hAnsi="Wingdings"/>
      </w:rPr>
    </w:lvl>
  </w:abstractNum>
  <w:abstractNum w:abstractNumId="12">
    <w:nsid w:val="31CE0E8C"/>
    <w:multiLevelType w:val="singleLevel"/>
    <w:tmpl w:val="31CE0E8C"/>
    <w:lvl w:ilvl="0" w:tentative="0">
      <w:start w:val="1"/>
      <w:numFmt w:val="bullet"/>
      <w:lvlText w:val=""/>
      <w:lvlJc w:val="left"/>
      <w:pPr>
        <w:ind w:left="1050" w:hanging="420"/>
      </w:pPr>
      <w:rPr>
        <w:rFonts w:hint="default" w:ascii="Wingdings" w:hAnsi="Wingdings"/>
      </w:rPr>
    </w:lvl>
  </w:abstractNum>
  <w:abstractNum w:abstractNumId="13">
    <w:nsid w:val="3C10E1DD"/>
    <w:multiLevelType w:val="singleLevel"/>
    <w:tmpl w:val="3C10E1DD"/>
    <w:lvl w:ilvl="0" w:tentative="0">
      <w:start w:val="1"/>
      <w:numFmt w:val="bullet"/>
      <w:lvlText w:val=""/>
      <w:lvlJc w:val="left"/>
      <w:pPr>
        <w:ind w:left="570" w:hanging="420"/>
      </w:pPr>
      <w:rPr>
        <w:rFonts w:hint="default" w:ascii="Wingdings" w:hAnsi="Wingdings"/>
      </w:rPr>
    </w:lvl>
  </w:abstractNum>
  <w:abstractNum w:abstractNumId="14">
    <w:nsid w:val="4106BF8C"/>
    <w:multiLevelType w:val="singleLevel"/>
    <w:tmpl w:val="4106BF8C"/>
    <w:lvl w:ilvl="0" w:tentative="0">
      <w:start w:val="1"/>
      <w:numFmt w:val="bullet"/>
      <w:lvlText w:val=""/>
      <w:lvlJc w:val="left"/>
      <w:pPr>
        <w:ind w:left="1050" w:hanging="420"/>
      </w:pPr>
      <w:rPr>
        <w:rFonts w:hint="default" w:ascii="Wingdings" w:hAnsi="Wingdings"/>
      </w:rPr>
    </w:lvl>
  </w:abstractNum>
  <w:abstractNum w:abstractNumId="15">
    <w:nsid w:val="485111B4"/>
    <w:multiLevelType w:val="singleLevel"/>
    <w:tmpl w:val="485111B4"/>
    <w:lvl w:ilvl="0" w:tentative="0">
      <w:start w:val="1"/>
      <w:numFmt w:val="bullet"/>
      <w:lvlText w:val=""/>
      <w:lvlJc w:val="left"/>
      <w:pPr>
        <w:ind w:left="570" w:hanging="420"/>
      </w:pPr>
      <w:rPr>
        <w:rFonts w:hint="default" w:ascii="Wingdings" w:hAnsi="Wingdings"/>
      </w:rPr>
    </w:lvl>
  </w:abstractNum>
  <w:abstractNum w:abstractNumId="16">
    <w:nsid w:val="4F9ADE5F"/>
    <w:multiLevelType w:val="singleLevel"/>
    <w:tmpl w:val="4F9ADE5F"/>
    <w:lvl w:ilvl="0" w:tentative="0">
      <w:start w:val="1"/>
      <w:numFmt w:val="bullet"/>
      <w:lvlText w:val=""/>
      <w:lvlJc w:val="left"/>
      <w:pPr>
        <w:ind w:left="420" w:hanging="420"/>
      </w:pPr>
      <w:rPr>
        <w:rFonts w:hint="default" w:ascii="Wingdings" w:hAnsi="Wingdings"/>
      </w:rPr>
    </w:lvl>
  </w:abstractNum>
  <w:abstractNum w:abstractNumId="17">
    <w:nsid w:val="5C4198A9"/>
    <w:multiLevelType w:val="singleLevel"/>
    <w:tmpl w:val="5C4198A9"/>
    <w:lvl w:ilvl="0" w:tentative="0">
      <w:start w:val="1"/>
      <w:numFmt w:val="bullet"/>
      <w:lvlText w:val=""/>
      <w:lvlJc w:val="left"/>
      <w:pPr>
        <w:ind w:left="1050" w:hanging="420"/>
      </w:pPr>
      <w:rPr>
        <w:rFonts w:hint="default" w:ascii="Wingdings" w:hAnsi="Wingdings"/>
      </w:rPr>
    </w:lvl>
  </w:abstractNum>
  <w:abstractNum w:abstractNumId="18">
    <w:nsid w:val="74C1F85E"/>
    <w:multiLevelType w:val="singleLevel"/>
    <w:tmpl w:val="74C1F85E"/>
    <w:lvl w:ilvl="0" w:tentative="0">
      <w:start w:val="1"/>
      <w:numFmt w:val="bullet"/>
      <w:lvlText w:val=""/>
      <w:lvlJc w:val="left"/>
      <w:pPr>
        <w:ind w:left="1050" w:hanging="420"/>
      </w:pPr>
      <w:rPr>
        <w:rFonts w:hint="default" w:ascii="Wingdings" w:hAnsi="Wingdings"/>
      </w:rPr>
    </w:lvl>
  </w:abstractNum>
  <w:abstractNum w:abstractNumId="19">
    <w:nsid w:val="7C22CF8D"/>
    <w:multiLevelType w:val="singleLevel"/>
    <w:tmpl w:val="7C22CF8D"/>
    <w:lvl w:ilvl="0" w:tentative="0">
      <w:start w:val="1"/>
      <w:numFmt w:val="bullet"/>
      <w:lvlText w:val=""/>
      <w:lvlJc w:val="left"/>
      <w:pPr>
        <w:ind w:left="1050" w:hanging="420"/>
      </w:pPr>
      <w:rPr>
        <w:rFonts w:hint="default" w:ascii="Wingdings" w:hAnsi="Wingdings"/>
      </w:rPr>
    </w:lvl>
  </w:abstractNum>
  <w:num w:numId="1">
    <w:abstractNumId w:val="8"/>
  </w:num>
  <w:num w:numId="2">
    <w:abstractNumId w:val="6"/>
  </w:num>
  <w:num w:numId="3">
    <w:abstractNumId w:val="11"/>
  </w:num>
  <w:num w:numId="4">
    <w:abstractNumId w:val="14"/>
  </w:num>
  <w:num w:numId="5">
    <w:abstractNumId w:val="19"/>
  </w:num>
  <w:num w:numId="6">
    <w:abstractNumId w:val="5"/>
  </w:num>
  <w:num w:numId="7">
    <w:abstractNumId w:val="18"/>
  </w:num>
  <w:num w:numId="8">
    <w:abstractNumId w:val="17"/>
  </w:num>
  <w:num w:numId="9">
    <w:abstractNumId w:val="10"/>
  </w:num>
  <w:num w:numId="10">
    <w:abstractNumId w:val="2"/>
  </w:num>
  <w:num w:numId="11">
    <w:abstractNumId w:val="12"/>
  </w:num>
  <w:num w:numId="12">
    <w:abstractNumId w:val="1"/>
  </w:num>
  <w:num w:numId="13">
    <w:abstractNumId w:val="3"/>
  </w:num>
  <w:num w:numId="14">
    <w:abstractNumId w:val="7"/>
  </w:num>
  <w:num w:numId="15">
    <w:abstractNumId w:val="16"/>
  </w:num>
  <w:num w:numId="16">
    <w:abstractNumId w:val="15"/>
  </w:num>
  <w:num w:numId="17">
    <w:abstractNumId w:val="13"/>
  </w:num>
  <w:num w:numId="18">
    <w:abstractNumId w:val="4"/>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7A8449DF"/>
    <w:rsid w:val="0001028F"/>
    <w:rsid w:val="00062035"/>
    <w:rsid w:val="00063B18"/>
    <w:rsid w:val="00071DD0"/>
    <w:rsid w:val="00085D37"/>
    <w:rsid w:val="0009075B"/>
    <w:rsid w:val="000976CF"/>
    <w:rsid w:val="000A2811"/>
    <w:rsid w:val="000D12CA"/>
    <w:rsid w:val="000E25B9"/>
    <w:rsid w:val="000F4D0A"/>
    <w:rsid w:val="001221B9"/>
    <w:rsid w:val="0017658D"/>
    <w:rsid w:val="00176658"/>
    <w:rsid w:val="00181555"/>
    <w:rsid w:val="001B0FD7"/>
    <w:rsid w:val="001C4B01"/>
    <w:rsid w:val="001D434C"/>
    <w:rsid w:val="001D7A02"/>
    <w:rsid w:val="001F4095"/>
    <w:rsid w:val="00201FA7"/>
    <w:rsid w:val="00251A9B"/>
    <w:rsid w:val="00271321"/>
    <w:rsid w:val="00284159"/>
    <w:rsid w:val="00292D8A"/>
    <w:rsid w:val="00294BF1"/>
    <w:rsid w:val="002C3203"/>
    <w:rsid w:val="002E0184"/>
    <w:rsid w:val="003150B8"/>
    <w:rsid w:val="00343376"/>
    <w:rsid w:val="00343EF8"/>
    <w:rsid w:val="00355F0B"/>
    <w:rsid w:val="00357ABA"/>
    <w:rsid w:val="00374368"/>
    <w:rsid w:val="003F6590"/>
    <w:rsid w:val="00422D46"/>
    <w:rsid w:val="00433DFE"/>
    <w:rsid w:val="0044321D"/>
    <w:rsid w:val="004732AB"/>
    <w:rsid w:val="004800D0"/>
    <w:rsid w:val="0050551C"/>
    <w:rsid w:val="0050665B"/>
    <w:rsid w:val="00535181"/>
    <w:rsid w:val="00545863"/>
    <w:rsid w:val="005517A4"/>
    <w:rsid w:val="005519B8"/>
    <w:rsid w:val="005672EF"/>
    <w:rsid w:val="00583C62"/>
    <w:rsid w:val="005A7176"/>
    <w:rsid w:val="005B0222"/>
    <w:rsid w:val="005E25D6"/>
    <w:rsid w:val="005E3734"/>
    <w:rsid w:val="00637849"/>
    <w:rsid w:val="00653F55"/>
    <w:rsid w:val="0066033B"/>
    <w:rsid w:val="006661D3"/>
    <w:rsid w:val="00666C34"/>
    <w:rsid w:val="00684030"/>
    <w:rsid w:val="006A24A1"/>
    <w:rsid w:val="006B2D13"/>
    <w:rsid w:val="006B63FF"/>
    <w:rsid w:val="006C1FDC"/>
    <w:rsid w:val="006E6942"/>
    <w:rsid w:val="006F065F"/>
    <w:rsid w:val="00703619"/>
    <w:rsid w:val="00712F80"/>
    <w:rsid w:val="00731B87"/>
    <w:rsid w:val="00735338"/>
    <w:rsid w:val="00780AD9"/>
    <w:rsid w:val="007F7810"/>
    <w:rsid w:val="00823D8B"/>
    <w:rsid w:val="00831548"/>
    <w:rsid w:val="0083593F"/>
    <w:rsid w:val="008626C7"/>
    <w:rsid w:val="008805A8"/>
    <w:rsid w:val="00893DAC"/>
    <w:rsid w:val="008D4459"/>
    <w:rsid w:val="00922520"/>
    <w:rsid w:val="00952DA8"/>
    <w:rsid w:val="00963988"/>
    <w:rsid w:val="00993F54"/>
    <w:rsid w:val="009964F1"/>
    <w:rsid w:val="009A1851"/>
    <w:rsid w:val="009C2210"/>
    <w:rsid w:val="009C3259"/>
    <w:rsid w:val="009D1409"/>
    <w:rsid w:val="009F746E"/>
    <w:rsid w:val="00A14601"/>
    <w:rsid w:val="00A42BB3"/>
    <w:rsid w:val="00A92CB6"/>
    <w:rsid w:val="00A94269"/>
    <w:rsid w:val="00AA0B2D"/>
    <w:rsid w:val="00AC7A7F"/>
    <w:rsid w:val="00AF1EF7"/>
    <w:rsid w:val="00B15C77"/>
    <w:rsid w:val="00B240C4"/>
    <w:rsid w:val="00B25CDD"/>
    <w:rsid w:val="00B45A33"/>
    <w:rsid w:val="00B91364"/>
    <w:rsid w:val="00BA7B09"/>
    <w:rsid w:val="00BC143C"/>
    <w:rsid w:val="00BD5359"/>
    <w:rsid w:val="00BD645F"/>
    <w:rsid w:val="00BF6BB5"/>
    <w:rsid w:val="00C20221"/>
    <w:rsid w:val="00C25178"/>
    <w:rsid w:val="00C3253B"/>
    <w:rsid w:val="00C6703C"/>
    <w:rsid w:val="00C84172"/>
    <w:rsid w:val="00C9680E"/>
    <w:rsid w:val="00CA280A"/>
    <w:rsid w:val="00CF010D"/>
    <w:rsid w:val="00D9115C"/>
    <w:rsid w:val="00D94B30"/>
    <w:rsid w:val="00DF5350"/>
    <w:rsid w:val="00E01DAF"/>
    <w:rsid w:val="00E0583E"/>
    <w:rsid w:val="00E47AE5"/>
    <w:rsid w:val="00E62A51"/>
    <w:rsid w:val="00E844E8"/>
    <w:rsid w:val="00E85987"/>
    <w:rsid w:val="00E959E1"/>
    <w:rsid w:val="00EB1A9B"/>
    <w:rsid w:val="00ED4689"/>
    <w:rsid w:val="00ED7810"/>
    <w:rsid w:val="00F00847"/>
    <w:rsid w:val="00F10223"/>
    <w:rsid w:val="00F1336C"/>
    <w:rsid w:val="00F26E7E"/>
    <w:rsid w:val="00F613DF"/>
    <w:rsid w:val="00F64BEE"/>
    <w:rsid w:val="00F8372E"/>
    <w:rsid w:val="00FC43EB"/>
    <w:rsid w:val="00FD01FC"/>
    <w:rsid w:val="00FF0428"/>
    <w:rsid w:val="00FF7745"/>
    <w:rsid w:val="01B2400A"/>
    <w:rsid w:val="02011DA3"/>
    <w:rsid w:val="021D673F"/>
    <w:rsid w:val="02F2197A"/>
    <w:rsid w:val="035C3775"/>
    <w:rsid w:val="037A05EF"/>
    <w:rsid w:val="03E80687"/>
    <w:rsid w:val="047A5783"/>
    <w:rsid w:val="04A45967"/>
    <w:rsid w:val="04A96068"/>
    <w:rsid w:val="04AE070E"/>
    <w:rsid w:val="04D035F5"/>
    <w:rsid w:val="0548762F"/>
    <w:rsid w:val="059607D0"/>
    <w:rsid w:val="05D2339D"/>
    <w:rsid w:val="05F17CC7"/>
    <w:rsid w:val="06B64A6C"/>
    <w:rsid w:val="07100621"/>
    <w:rsid w:val="071D61E2"/>
    <w:rsid w:val="07465DF0"/>
    <w:rsid w:val="07C551C1"/>
    <w:rsid w:val="07F35B6B"/>
    <w:rsid w:val="07F92E63"/>
    <w:rsid w:val="0884014E"/>
    <w:rsid w:val="08A0467E"/>
    <w:rsid w:val="08E753B1"/>
    <w:rsid w:val="08F0070A"/>
    <w:rsid w:val="09063A89"/>
    <w:rsid w:val="09554A11"/>
    <w:rsid w:val="0A0F16B0"/>
    <w:rsid w:val="0A3C34DB"/>
    <w:rsid w:val="0B5750F6"/>
    <w:rsid w:val="0B6B0713"/>
    <w:rsid w:val="0C087B18"/>
    <w:rsid w:val="0CCB1FAA"/>
    <w:rsid w:val="0CDA35F8"/>
    <w:rsid w:val="0D1F7D83"/>
    <w:rsid w:val="0D837D9E"/>
    <w:rsid w:val="0DEA202A"/>
    <w:rsid w:val="0DF93BBD"/>
    <w:rsid w:val="0E26697C"/>
    <w:rsid w:val="0E370B89"/>
    <w:rsid w:val="0F0740B7"/>
    <w:rsid w:val="0F9F0794"/>
    <w:rsid w:val="0FA87A47"/>
    <w:rsid w:val="0FE87A18"/>
    <w:rsid w:val="105C2345"/>
    <w:rsid w:val="10AA3894"/>
    <w:rsid w:val="10CA5CE4"/>
    <w:rsid w:val="11274EE5"/>
    <w:rsid w:val="113A1F67"/>
    <w:rsid w:val="121B11B9"/>
    <w:rsid w:val="122136E2"/>
    <w:rsid w:val="12704669"/>
    <w:rsid w:val="129A3494"/>
    <w:rsid w:val="12A8795F"/>
    <w:rsid w:val="12B37977"/>
    <w:rsid w:val="12FC27FD"/>
    <w:rsid w:val="13143247"/>
    <w:rsid w:val="13164834"/>
    <w:rsid w:val="13392385"/>
    <w:rsid w:val="137D6F6C"/>
    <w:rsid w:val="13AE71F7"/>
    <w:rsid w:val="142953E4"/>
    <w:rsid w:val="14575AE1"/>
    <w:rsid w:val="147B69EE"/>
    <w:rsid w:val="14922675"/>
    <w:rsid w:val="14FE7D0A"/>
    <w:rsid w:val="153B4ABB"/>
    <w:rsid w:val="15E213DA"/>
    <w:rsid w:val="15FA16F7"/>
    <w:rsid w:val="16027CCE"/>
    <w:rsid w:val="161377E5"/>
    <w:rsid w:val="1626576B"/>
    <w:rsid w:val="16297009"/>
    <w:rsid w:val="16B9038D"/>
    <w:rsid w:val="173E3CFA"/>
    <w:rsid w:val="175400B6"/>
    <w:rsid w:val="175B7696"/>
    <w:rsid w:val="17667DE9"/>
    <w:rsid w:val="17887D5F"/>
    <w:rsid w:val="17D166C6"/>
    <w:rsid w:val="17E4720C"/>
    <w:rsid w:val="18335F1D"/>
    <w:rsid w:val="18502F73"/>
    <w:rsid w:val="18A230A3"/>
    <w:rsid w:val="18D45952"/>
    <w:rsid w:val="19416DE7"/>
    <w:rsid w:val="196A0064"/>
    <w:rsid w:val="19776AD3"/>
    <w:rsid w:val="19CA48B1"/>
    <w:rsid w:val="19DB061A"/>
    <w:rsid w:val="1A977CF2"/>
    <w:rsid w:val="1ACA4B23"/>
    <w:rsid w:val="1BA34ACA"/>
    <w:rsid w:val="1BB64C62"/>
    <w:rsid w:val="1BC218C9"/>
    <w:rsid w:val="1C0E117B"/>
    <w:rsid w:val="1C4921B3"/>
    <w:rsid w:val="1C9B0535"/>
    <w:rsid w:val="1CA6067D"/>
    <w:rsid w:val="1D331864"/>
    <w:rsid w:val="1D526E45"/>
    <w:rsid w:val="1D6D0123"/>
    <w:rsid w:val="1DB70C19"/>
    <w:rsid w:val="1DEA7E9E"/>
    <w:rsid w:val="1DF35D7D"/>
    <w:rsid w:val="1E222CBC"/>
    <w:rsid w:val="1E407469"/>
    <w:rsid w:val="1E4E1D03"/>
    <w:rsid w:val="1EA4440A"/>
    <w:rsid w:val="1EB678A8"/>
    <w:rsid w:val="1EC22500"/>
    <w:rsid w:val="1FC259D5"/>
    <w:rsid w:val="210C1A01"/>
    <w:rsid w:val="21464F13"/>
    <w:rsid w:val="218311C4"/>
    <w:rsid w:val="218D7D89"/>
    <w:rsid w:val="2221772E"/>
    <w:rsid w:val="22673393"/>
    <w:rsid w:val="22E74A00"/>
    <w:rsid w:val="2329689A"/>
    <w:rsid w:val="233D5EA2"/>
    <w:rsid w:val="236E0751"/>
    <w:rsid w:val="238C5C8C"/>
    <w:rsid w:val="23B32608"/>
    <w:rsid w:val="243279D1"/>
    <w:rsid w:val="2480073C"/>
    <w:rsid w:val="24F56782"/>
    <w:rsid w:val="25B52667"/>
    <w:rsid w:val="25B849F4"/>
    <w:rsid w:val="2640388A"/>
    <w:rsid w:val="27AD3CE0"/>
    <w:rsid w:val="282355DE"/>
    <w:rsid w:val="282836FE"/>
    <w:rsid w:val="283E2A52"/>
    <w:rsid w:val="2890116A"/>
    <w:rsid w:val="29C35549"/>
    <w:rsid w:val="29F8110E"/>
    <w:rsid w:val="2A253C4A"/>
    <w:rsid w:val="2A5375A4"/>
    <w:rsid w:val="2A5D1834"/>
    <w:rsid w:val="2A835621"/>
    <w:rsid w:val="2AC621C3"/>
    <w:rsid w:val="2B27367F"/>
    <w:rsid w:val="2B9B5E5B"/>
    <w:rsid w:val="2C723060"/>
    <w:rsid w:val="2CEB4BC0"/>
    <w:rsid w:val="2DFA155F"/>
    <w:rsid w:val="2E494294"/>
    <w:rsid w:val="2EA86B87"/>
    <w:rsid w:val="2EC13E2B"/>
    <w:rsid w:val="2F154177"/>
    <w:rsid w:val="2F4B7B98"/>
    <w:rsid w:val="2FAD78B9"/>
    <w:rsid w:val="2FB361F0"/>
    <w:rsid w:val="2FC00586"/>
    <w:rsid w:val="30446AC1"/>
    <w:rsid w:val="309612E7"/>
    <w:rsid w:val="30B31B89"/>
    <w:rsid w:val="318669DB"/>
    <w:rsid w:val="318A0E4C"/>
    <w:rsid w:val="31D3080D"/>
    <w:rsid w:val="325133BE"/>
    <w:rsid w:val="327018CD"/>
    <w:rsid w:val="32D8097F"/>
    <w:rsid w:val="333426F4"/>
    <w:rsid w:val="334A7763"/>
    <w:rsid w:val="33557238"/>
    <w:rsid w:val="33664FA1"/>
    <w:rsid w:val="33ED7470"/>
    <w:rsid w:val="343B27DC"/>
    <w:rsid w:val="34725B9A"/>
    <w:rsid w:val="34C75F13"/>
    <w:rsid w:val="35480531"/>
    <w:rsid w:val="361138EA"/>
    <w:rsid w:val="36202BBD"/>
    <w:rsid w:val="362353CB"/>
    <w:rsid w:val="36372F61"/>
    <w:rsid w:val="36467992"/>
    <w:rsid w:val="364C0A1C"/>
    <w:rsid w:val="36987B67"/>
    <w:rsid w:val="377F2AD5"/>
    <w:rsid w:val="37BB017A"/>
    <w:rsid w:val="38440BCB"/>
    <w:rsid w:val="38514471"/>
    <w:rsid w:val="38DD7AB3"/>
    <w:rsid w:val="3A65181F"/>
    <w:rsid w:val="3AB42A96"/>
    <w:rsid w:val="3AF45588"/>
    <w:rsid w:val="3BE65D8D"/>
    <w:rsid w:val="3BEC4FCA"/>
    <w:rsid w:val="3C812E4B"/>
    <w:rsid w:val="3CC04181"/>
    <w:rsid w:val="3CEA4A31"/>
    <w:rsid w:val="3D0575D8"/>
    <w:rsid w:val="3E0D21CD"/>
    <w:rsid w:val="3E337525"/>
    <w:rsid w:val="3F1B1335"/>
    <w:rsid w:val="3F2B3F3E"/>
    <w:rsid w:val="3F6D0A65"/>
    <w:rsid w:val="3F8951C8"/>
    <w:rsid w:val="3FAA090B"/>
    <w:rsid w:val="3FC74FEB"/>
    <w:rsid w:val="3FD6525C"/>
    <w:rsid w:val="406A3401"/>
    <w:rsid w:val="40E01FAF"/>
    <w:rsid w:val="40E67DBA"/>
    <w:rsid w:val="415B010F"/>
    <w:rsid w:val="41D61543"/>
    <w:rsid w:val="41DD28D2"/>
    <w:rsid w:val="41E55C2A"/>
    <w:rsid w:val="421B47FD"/>
    <w:rsid w:val="427E5C8F"/>
    <w:rsid w:val="42A31D6D"/>
    <w:rsid w:val="42B55CBC"/>
    <w:rsid w:val="42EF6B9E"/>
    <w:rsid w:val="448E07FB"/>
    <w:rsid w:val="44EA6AD8"/>
    <w:rsid w:val="44F52628"/>
    <w:rsid w:val="45080E8A"/>
    <w:rsid w:val="451E56DB"/>
    <w:rsid w:val="45456A2D"/>
    <w:rsid w:val="458B7560"/>
    <w:rsid w:val="45975D02"/>
    <w:rsid w:val="45C344D5"/>
    <w:rsid w:val="45D40490"/>
    <w:rsid w:val="45E275F2"/>
    <w:rsid w:val="45EE1552"/>
    <w:rsid w:val="45F12DF0"/>
    <w:rsid w:val="46160AA8"/>
    <w:rsid w:val="467B090B"/>
    <w:rsid w:val="4687405A"/>
    <w:rsid w:val="470134AC"/>
    <w:rsid w:val="470D26AA"/>
    <w:rsid w:val="4758407E"/>
    <w:rsid w:val="47E51E85"/>
    <w:rsid w:val="483A647F"/>
    <w:rsid w:val="488A75B7"/>
    <w:rsid w:val="488E4926"/>
    <w:rsid w:val="48A50654"/>
    <w:rsid w:val="48AC47A2"/>
    <w:rsid w:val="48E86D71"/>
    <w:rsid w:val="48F14EB5"/>
    <w:rsid w:val="49417BEA"/>
    <w:rsid w:val="496B2C2B"/>
    <w:rsid w:val="49DA225F"/>
    <w:rsid w:val="4A007D8A"/>
    <w:rsid w:val="4A0F4E4C"/>
    <w:rsid w:val="4AB9714B"/>
    <w:rsid w:val="4B1355B6"/>
    <w:rsid w:val="4B46569C"/>
    <w:rsid w:val="4B663938"/>
    <w:rsid w:val="4B9D30D2"/>
    <w:rsid w:val="4BCF5981"/>
    <w:rsid w:val="4BE331DB"/>
    <w:rsid w:val="4C545E87"/>
    <w:rsid w:val="4CA11984"/>
    <w:rsid w:val="4CA432C3"/>
    <w:rsid w:val="4D452E2E"/>
    <w:rsid w:val="4D471547"/>
    <w:rsid w:val="4D534390"/>
    <w:rsid w:val="4D821B8C"/>
    <w:rsid w:val="4DA62712"/>
    <w:rsid w:val="4DE67456"/>
    <w:rsid w:val="4E28581D"/>
    <w:rsid w:val="4ED12FF4"/>
    <w:rsid w:val="4ED41007"/>
    <w:rsid w:val="4ED67027"/>
    <w:rsid w:val="4EE94FAC"/>
    <w:rsid w:val="4F495A4B"/>
    <w:rsid w:val="4F80124F"/>
    <w:rsid w:val="4F8B3F68"/>
    <w:rsid w:val="4FB07878"/>
    <w:rsid w:val="507F03F4"/>
    <w:rsid w:val="50BB4726"/>
    <w:rsid w:val="50C80BF1"/>
    <w:rsid w:val="51F15F26"/>
    <w:rsid w:val="52076465"/>
    <w:rsid w:val="52992670"/>
    <w:rsid w:val="529C2335"/>
    <w:rsid w:val="52EE4A1B"/>
    <w:rsid w:val="53496203"/>
    <w:rsid w:val="534E772B"/>
    <w:rsid w:val="54686973"/>
    <w:rsid w:val="54FC355F"/>
    <w:rsid w:val="55200FFC"/>
    <w:rsid w:val="554271C4"/>
    <w:rsid w:val="55E4027B"/>
    <w:rsid w:val="56150435"/>
    <w:rsid w:val="56331C6F"/>
    <w:rsid w:val="573B211D"/>
    <w:rsid w:val="57AA68DF"/>
    <w:rsid w:val="580A7D41"/>
    <w:rsid w:val="58900246"/>
    <w:rsid w:val="58D15D5E"/>
    <w:rsid w:val="58F06F37"/>
    <w:rsid w:val="58F5454D"/>
    <w:rsid w:val="594339FC"/>
    <w:rsid w:val="597D6C82"/>
    <w:rsid w:val="598F04FE"/>
    <w:rsid w:val="59941D88"/>
    <w:rsid w:val="5A221372"/>
    <w:rsid w:val="5A336735"/>
    <w:rsid w:val="5A4B51D6"/>
    <w:rsid w:val="5A5C40E4"/>
    <w:rsid w:val="5A84202D"/>
    <w:rsid w:val="5A8B5169"/>
    <w:rsid w:val="5A955FE8"/>
    <w:rsid w:val="5AD52888"/>
    <w:rsid w:val="5BAF4C6B"/>
    <w:rsid w:val="5BB35BA7"/>
    <w:rsid w:val="5BC7429C"/>
    <w:rsid w:val="5BE2700B"/>
    <w:rsid w:val="5C361105"/>
    <w:rsid w:val="5CEC27D4"/>
    <w:rsid w:val="5CEE3D47"/>
    <w:rsid w:val="5D060B0C"/>
    <w:rsid w:val="5DB6074F"/>
    <w:rsid w:val="5E1831B8"/>
    <w:rsid w:val="5E83071A"/>
    <w:rsid w:val="5F5F0972"/>
    <w:rsid w:val="5FAD7930"/>
    <w:rsid w:val="5FE60F35"/>
    <w:rsid w:val="5FF145BC"/>
    <w:rsid w:val="60DB56F4"/>
    <w:rsid w:val="61DF4FB3"/>
    <w:rsid w:val="632779F9"/>
    <w:rsid w:val="63350BFC"/>
    <w:rsid w:val="639C3F43"/>
    <w:rsid w:val="63AC1EF6"/>
    <w:rsid w:val="63B854D2"/>
    <w:rsid w:val="64306D81"/>
    <w:rsid w:val="64852C29"/>
    <w:rsid w:val="649C7F73"/>
    <w:rsid w:val="65332685"/>
    <w:rsid w:val="6618187B"/>
    <w:rsid w:val="66560D21"/>
    <w:rsid w:val="6660394E"/>
    <w:rsid w:val="66925AD1"/>
    <w:rsid w:val="670A6B9C"/>
    <w:rsid w:val="673D77EB"/>
    <w:rsid w:val="67780823"/>
    <w:rsid w:val="678C1F36"/>
    <w:rsid w:val="67A71109"/>
    <w:rsid w:val="68175EE0"/>
    <w:rsid w:val="68294213"/>
    <w:rsid w:val="68C63810"/>
    <w:rsid w:val="698A64A3"/>
    <w:rsid w:val="6A464C09"/>
    <w:rsid w:val="6ABF49BB"/>
    <w:rsid w:val="6AD57EEE"/>
    <w:rsid w:val="6ADC37BF"/>
    <w:rsid w:val="6AED44E8"/>
    <w:rsid w:val="6AFC6742"/>
    <w:rsid w:val="6AFD72E0"/>
    <w:rsid w:val="6B2113AF"/>
    <w:rsid w:val="6B252A70"/>
    <w:rsid w:val="6B480CEA"/>
    <w:rsid w:val="6B9938A9"/>
    <w:rsid w:val="6BBA79D5"/>
    <w:rsid w:val="6BF97CDA"/>
    <w:rsid w:val="6C975BF0"/>
    <w:rsid w:val="6C9B07CC"/>
    <w:rsid w:val="6CC30793"/>
    <w:rsid w:val="6CCC625B"/>
    <w:rsid w:val="6CE02047"/>
    <w:rsid w:val="6D5B09CB"/>
    <w:rsid w:val="6D63514F"/>
    <w:rsid w:val="6D7E5DF9"/>
    <w:rsid w:val="6D886741"/>
    <w:rsid w:val="6DF2413B"/>
    <w:rsid w:val="6E2F3C06"/>
    <w:rsid w:val="6E7E30C2"/>
    <w:rsid w:val="6E8D6DF3"/>
    <w:rsid w:val="6EE02C59"/>
    <w:rsid w:val="6F280D81"/>
    <w:rsid w:val="6F936B31"/>
    <w:rsid w:val="6FF505A3"/>
    <w:rsid w:val="700215D2"/>
    <w:rsid w:val="70F1449C"/>
    <w:rsid w:val="710B6BAC"/>
    <w:rsid w:val="714457C9"/>
    <w:rsid w:val="71A579FB"/>
    <w:rsid w:val="71C86630"/>
    <w:rsid w:val="726A05A8"/>
    <w:rsid w:val="728409C4"/>
    <w:rsid w:val="728707AC"/>
    <w:rsid w:val="730B4C41"/>
    <w:rsid w:val="73626993"/>
    <w:rsid w:val="738549F4"/>
    <w:rsid w:val="744A3547"/>
    <w:rsid w:val="74510D7A"/>
    <w:rsid w:val="74560A8E"/>
    <w:rsid w:val="749F1AE5"/>
    <w:rsid w:val="755503F6"/>
    <w:rsid w:val="75957D11"/>
    <w:rsid w:val="759E1D9D"/>
    <w:rsid w:val="761A519B"/>
    <w:rsid w:val="76217D8C"/>
    <w:rsid w:val="769136B0"/>
    <w:rsid w:val="777D4939"/>
    <w:rsid w:val="785235B8"/>
    <w:rsid w:val="785250C1"/>
    <w:rsid w:val="78784A77"/>
    <w:rsid w:val="78B151EF"/>
    <w:rsid w:val="78C22246"/>
    <w:rsid w:val="79022643"/>
    <w:rsid w:val="794367B0"/>
    <w:rsid w:val="79662CAD"/>
    <w:rsid w:val="797F3AA2"/>
    <w:rsid w:val="79FD2E0A"/>
    <w:rsid w:val="7A070FD1"/>
    <w:rsid w:val="7A2572F7"/>
    <w:rsid w:val="7A8449DF"/>
    <w:rsid w:val="7B705F89"/>
    <w:rsid w:val="7BC77785"/>
    <w:rsid w:val="7BD9299B"/>
    <w:rsid w:val="7BFD3595"/>
    <w:rsid w:val="7C9C4B5C"/>
    <w:rsid w:val="7CCA75F1"/>
    <w:rsid w:val="7D112ACE"/>
    <w:rsid w:val="7D1E37C3"/>
    <w:rsid w:val="7D8555F0"/>
    <w:rsid w:val="7D891584"/>
    <w:rsid w:val="7DC77303"/>
    <w:rsid w:val="7DDA1DE0"/>
    <w:rsid w:val="7E3C0F88"/>
    <w:rsid w:val="7F1A0323"/>
    <w:rsid w:val="7F477001"/>
    <w:rsid w:val="7FC9210C"/>
    <w:rsid w:val="7FF014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3"/>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style>
  <w:style w:type="paragraph" w:styleId="5">
    <w:name w:val="footer"/>
    <w:basedOn w:val="1"/>
    <w:link w:val="60"/>
    <w:qFormat/>
    <w:uiPriority w:val="99"/>
    <w:pPr>
      <w:tabs>
        <w:tab w:val="center" w:pos="4153"/>
        <w:tab w:val="right" w:pos="8306"/>
      </w:tabs>
      <w:snapToGrid w:val="0"/>
      <w:jc w:val="left"/>
    </w:pPr>
    <w:rPr>
      <w:sz w:val="18"/>
      <w:szCs w:val="18"/>
    </w:rPr>
  </w:style>
  <w:style w:type="paragraph" w:styleId="6">
    <w:name w:val="header"/>
    <w:basedOn w:val="1"/>
    <w:link w:val="59"/>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rtcspage_rtcscontent &gt; p"/>
    <w:basedOn w:val="1"/>
    <w:qFormat/>
    <w:uiPriority w:val="0"/>
    <w:pPr>
      <w:pBdr>
        <w:top w:val="none" w:color="auto" w:sz="0" w:space="6"/>
        <w:bottom w:val="none" w:color="auto" w:sz="0" w:space="6"/>
      </w:pBdr>
      <w:spacing w:line="360" w:lineRule="atLeast"/>
    </w:pPr>
  </w:style>
  <w:style w:type="character" w:customStyle="1" w:styleId="10">
    <w:name w:val="div_class_2_rtcscls2_r_4"/>
    <w:basedOn w:val="8"/>
    <w:qFormat/>
    <w:uiPriority w:val="0"/>
    <w:rPr>
      <w:b/>
      <w:bCs/>
    </w:rPr>
  </w:style>
  <w:style w:type="character" w:customStyle="1" w:styleId="11">
    <w:name w:val="div_class_2_rtcscls2_r_5"/>
    <w:basedOn w:val="8"/>
    <w:qFormat/>
    <w:uiPriority w:val="0"/>
  </w:style>
  <w:style w:type="character" w:customStyle="1" w:styleId="12">
    <w:name w:val="div_class_2_rtcscls2_r_6"/>
    <w:basedOn w:val="8"/>
    <w:qFormat/>
    <w:uiPriority w:val="0"/>
  </w:style>
  <w:style w:type="character" w:customStyle="1" w:styleId="13">
    <w:name w:val="div_class_3_rtcscls3_r_0"/>
    <w:basedOn w:val="8"/>
    <w:qFormat/>
    <w:uiPriority w:val="0"/>
  </w:style>
  <w:style w:type="character" w:customStyle="1" w:styleId="14">
    <w:name w:val="div_class_3_rtcscls3_r_1"/>
    <w:basedOn w:val="8"/>
    <w:qFormat/>
    <w:uiPriority w:val="0"/>
  </w:style>
  <w:style w:type="paragraph" w:customStyle="1" w:styleId="15">
    <w:name w:val="div_class_3_rtcscls3_r_0 Paragraph"/>
    <w:basedOn w:val="1"/>
    <w:qFormat/>
    <w:uiPriority w:val="0"/>
  </w:style>
  <w:style w:type="table" w:customStyle="1" w:styleId="16">
    <w:name w:val="div_class_3_rtcscls3_tbl_0"/>
    <w:basedOn w:val="7"/>
    <w:qFormat/>
    <w:uiPriority w:val="0"/>
  </w:style>
  <w:style w:type="character" w:customStyle="1" w:styleId="17">
    <w:name w:val="div_class_4_rtcscls4_r_1"/>
    <w:basedOn w:val="8"/>
    <w:qFormat/>
    <w:uiPriority w:val="0"/>
  </w:style>
  <w:style w:type="character" w:customStyle="1" w:styleId="18">
    <w:name w:val="div_class_4_rtcscls4_r_0"/>
    <w:basedOn w:val="8"/>
    <w:qFormat/>
    <w:uiPriority w:val="0"/>
  </w:style>
  <w:style w:type="paragraph" w:customStyle="1" w:styleId="19">
    <w:name w:val="div_class_4_rtcscls4_r_0 Paragraph"/>
    <w:basedOn w:val="1"/>
    <w:qFormat/>
    <w:uiPriority w:val="0"/>
  </w:style>
  <w:style w:type="table" w:customStyle="1" w:styleId="20">
    <w:name w:val="div_class_4_rtcscls4_tbl_0"/>
    <w:basedOn w:val="7"/>
    <w:qFormat/>
    <w:uiPriority w:val="0"/>
  </w:style>
  <w:style w:type="paragraph" w:customStyle="1" w:styleId="21">
    <w:name w:val="div_class_4_rtcscls4_p_2"/>
    <w:basedOn w:val="1"/>
    <w:qFormat/>
    <w:uiPriority w:val="0"/>
    <w:pPr>
      <w:spacing w:line="300" w:lineRule="auto"/>
      <w:jc w:val="center"/>
    </w:pPr>
  </w:style>
  <w:style w:type="character" w:customStyle="1" w:styleId="22">
    <w:name w:val="div_class_4_rtcscls4_r_3"/>
    <w:basedOn w:val="8"/>
    <w:qFormat/>
    <w:uiPriority w:val="0"/>
  </w:style>
  <w:style w:type="character" w:customStyle="1" w:styleId="23">
    <w:name w:val="div_class_4_rtcscls4_r_2"/>
    <w:basedOn w:val="8"/>
    <w:qFormat/>
    <w:uiPriority w:val="0"/>
  </w:style>
  <w:style w:type="character" w:customStyle="1" w:styleId="24">
    <w:name w:val="div_class_4_rtcscls4_r_5"/>
    <w:basedOn w:val="8"/>
    <w:qFormat/>
    <w:uiPriority w:val="0"/>
  </w:style>
  <w:style w:type="character" w:customStyle="1" w:styleId="25">
    <w:name w:val="div_class_4_rtcscls4_r_7"/>
    <w:basedOn w:val="8"/>
    <w:qFormat/>
    <w:uiPriority w:val="0"/>
  </w:style>
  <w:style w:type="character" w:customStyle="1" w:styleId="26">
    <w:name w:val="div_class_4_rtcscls4_r_6"/>
    <w:basedOn w:val="8"/>
    <w:qFormat/>
    <w:uiPriority w:val="0"/>
  </w:style>
  <w:style w:type="paragraph" w:customStyle="1" w:styleId="27">
    <w:name w:val="div_class_4_rtcscls4_r_8"/>
    <w:basedOn w:val="1"/>
    <w:qFormat/>
    <w:uiPriority w:val="0"/>
  </w:style>
  <w:style w:type="table" w:customStyle="1" w:styleId="28">
    <w:name w:val="div_class_4_rtcscls4_tbl_1"/>
    <w:basedOn w:val="7"/>
    <w:qFormat/>
    <w:uiPriority w:val="0"/>
  </w:style>
  <w:style w:type="character" w:customStyle="1" w:styleId="29">
    <w:name w:val="div_class_4_rtcscls4_r_9"/>
    <w:basedOn w:val="8"/>
    <w:qFormat/>
    <w:uiPriority w:val="0"/>
  </w:style>
  <w:style w:type="character" w:customStyle="1" w:styleId="30">
    <w:name w:val="div_class_4_rtcscls4_r_8 Character"/>
    <w:basedOn w:val="8"/>
    <w:qFormat/>
    <w:uiPriority w:val="0"/>
  </w:style>
  <w:style w:type="paragraph" w:customStyle="1" w:styleId="31">
    <w:name w:val="div_class_4_rtcscls4_s_sn_3_rId_Normal"/>
    <w:basedOn w:val="1"/>
    <w:qFormat/>
    <w:uiPriority w:val="0"/>
  </w:style>
  <w:style w:type="character" w:customStyle="1" w:styleId="32">
    <w:name w:val="div_class_4_rtcscls4_r_10"/>
    <w:basedOn w:val="8"/>
    <w:qFormat/>
    <w:uiPriority w:val="0"/>
  </w:style>
  <w:style w:type="character" w:customStyle="1" w:styleId="33">
    <w:name w:val="div_class_4_rtcscls4_r_11"/>
    <w:basedOn w:val="8"/>
    <w:qFormat/>
    <w:uiPriority w:val="0"/>
  </w:style>
  <w:style w:type="character" w:customStyle="1" w:styleId="34">
    <w:name w:val="div_class_4_rtcscls4_r_12"/>
    <w:basedOn w:val="8"/>
    <w:qFormat/>
    <w:uiPriority w:val="0"/>
    <w:rPr>
      <w:b/>
      <w:bCs/>
    </w:rPr>
  </w:style>
  <w:style w:type="character" w:customStyle="1" w:styleId="35">
    <w:name w:val="div_class_4_rtcscls4_r_13"/>
    <w:basedOn w:val="8"/>
    <w:qFormat/>
    <w:uiPriority w:val="0"/>
    <w:rPr>
      <w:b/>
      <w:bCs/>
    </w:rPr>
  </w:style>
  <w:style w:type="character" w:customStyle="1" w:styleId="36">
    <w:name w:val="div_class_5_rtcscls5_r_0"/>
    <w:basedOn w:val="8"/>
    <w:qFormat/>
    <w:uiPriority w:val="0"/>
  </w:style>
  <w:style w:type="character" w:customStyle="1" w:styleId="37">
    <w:name w:val="div_class_5_rtcscls5_r_1"/>
    <w:basedOn w:val="8"/>
    <w:qFormat/>
    <w:uiPriority w:val="0"/>
  </w:style>
  <w:style w:type="character" w:customStyle="1" w:styleId="38">
    <w:name w:val="div_class_6_rtcscls1_r_1"/>
    <w:basedOn w:val="8"/>
    <w:qFormat/>
    <w:uiPriority w:val="0"/>
  </w:style>
  <w:style w:type="character" w:customStyle="1" w:styleId="39">
    <w:name w:val="div_class_6_rtcscls1_r_0"/>
    <w:basedOn w:val="8"/>
    <w:qFormat/>
    <w:uiPriority w:val="0"/>
  </w:style>
  <w:style w:type="character" w:customStyle="1" w:styleId="40">
    <w:name w:val="div_class_6_rtcscls1_r_2"/>
    <w:basedOn w:val="8"/>
    <w:qFormat/>
    <w:uiPriority w:val="0"/>
    <w:rPr>
      <w:b/>
      <w:bCs/>
    </w:rPr>
  </w:style>
  <w:style w:type="character" w:customStyle="1" w:styleId="41">
    <w:name w:val="div_class_6_rtcscls1_r_3"/>
    <w:basedOn w:val="8"/>
    <w:qFormat/>
    <w:uiPriority w:val="0"/>
    <w:rPr>
      <w:b/>
      <w:bCs/>
    </w:rPr>
  </w:style>
  <w:style w:type="character" w:customStyle="1" w:styleId="42">
    <w:name w:val="div_class_6_rtcscls1_r_4"/>
    <w:basedOn w:val="8"/>
    <w:qFormat/>
    <w:uiPriority w:val="0"/>
  </w:style>
  <w:style w:type="character" w:customStyle="1" w:styleId="43">
    <w:name w:val="div_class_7_rtcscls2_r_0"/>
    <w:basedOn w:val="8"/>
    <w:qFormat/>
    <w:uiPriority w:val="0"/>
  </w:style>
  <w:style w:type="character" w:customStyle="1" w:styleId="44">
    <w:name w:val="div_class_7_rtcscls2_r_1"/>
    <w:basedOn w:val="8"/>
    <w:qFormat/>
    <w:uiPriority w:val="0"/>
  </w:style>
  <w:style w:type="character" w:customStyle="1" w:styleId="45">
    <w:name w:val="div_class_7_rtcscls2_r_2"/>
    <w:basedOn w:val="8"/>
    <w:qFormat/>
    <w:uiPriority w:val="0"/>
    <w:rPr>
      <w:b/>
      <w:bCs/>
    </w:rPr>
  </w:style>
  <w:style w:type="character" w:customStyle="1" w:styleId="46">
    <w:name w:val="div_class_7_rtcscls2_r_3"/>
    <w:basedOn w:val="8"/>
    <w:qFormat/>
    <w:uiPriority w:val="0"/>
    <w:rPr>
      <w:b/>
      <w:bCs/>
    </w:rPr>
  </w:style>
  <w:style w:type="character" w:customStyle="1" w:styleId="47">
    <w:name w:val="div_class_8_rtcscls3_r_0"/>
    <w:basedOn w:val="8"/>
    <w:qFormat/>
    <w:uiPriority w:val="0"/>
  </w:style>
  <w:style w:type="character" w:customStyle="1" w:styleId="48">
    <w:name w:val="div_class_8_rtcscls3_r_1"/>
    <w:basedOn w:val="8"/>
    <w:qFormat/>
    <w:uiPriority w:val="0"/>
  </w:style>
  <w:style w:type="character" w:customStyle="1" w:styleId="49">
    <w:name w:val="div_class_8_rtcscls3_r_2"/>
    <w:basedOn w:val="8"/>
    <w:qFormat/>
    <w:uiPriority w:val="0"/>
    <w:rPr>
      <w:b/>
      <w:bCs/>
    </w:rPr>
  </w:style>
  <w:style w:type="character" w:customStyle="1" w:styleId="50">
    <w:name w:val="div_class_8_rtcscls3_r_3"/>
    <w:basedOn w:val="8"/>
    <w:qFormat/>
    <w:uiPriority w:val="0"/>
    <w:rPr>
      <w:b/>
      <w:bCs/>
    </w:rPr>
  </w:style>
  <w:style w:type="character" w:customStyle="1" w:styleId="51">
    <w:name w:val="div_class_9_rtcscls4_r_1"/>
    <w:basedOn w:val="8"/>
    <w:qFormat/>
    <w:uiPriority w:val="0"/>
    <w:rPr>
      <w:b/>
      <w:bCs/>
    </w:rPr>
  </w:style>
  <w:style w:type="character" w:customStyle="1" w:styleId="52">
    <w:name w:val="div_class_9_rtcscls4_r_2"/>
    <w:basedOn w:val="8"/>
    <w:qFormat/>
    <w:uiPriority w:val="0"/>
    <w:rPr>
      <w:b/>
      <w:bCs/>
    </w:rPr>
  </w:style>
  <w:style w:type="character" w:customStyle="1" w:styleId="53">
    <w:name w:val="div_class_9_rtcscls4_r_3"/>
    <w:basedOn w:val="8"/>
    <w:qFormat/>
    <w:uiPriority w:val="0"/>
  </w:style>
  <w:style w:type="character" w:customStyle="1" w:styleId="54">
    <w:name w:val="div_class_9_rtcscls4_r_0"/>
    <w:basedOn w:val="8"/>
    <w:qFormat/>
    <w:uiPriority w:val="0"/>
  </w:style>
  <w:style w:type="character" w:customStyle="1" w:styleId="55">
    <w:name w:val="div_class_9_rtcscls4_r_4"/>
    <w:basedOn w:val="8"/>
    <w:qFormat/>
    <w:uiPriority w:val="0"/>
  </w:style>
  <w:style w:type="character" w:customStyle="1" w:styleId="56">
    <w:name w:val="div_class_9_rtcscls4_r_5"/>
    <w:basedOn w:val="8"/>
    <w:qFormat/>
    <w:uiPriority w:val="0"/>
  </w:style>
  <w:style w:type="character" w:customStyle="1" w:styleId="57">
    <w:name w:val="div_class_10_rtcscls5_r_3"/>
    <w:basedOn w:val="8"/>
    <w:qFormat/>
    <w:uiPriority w:val="0"/>
  </w:style>
  <w:style w:type="character" w:customStyle="1" w:styleId="58">
    <w:name w:val="div_class_10_rtcscls5_r_0"/>
    <w:basedOn w:val="8"/>
    <w:qFormat/>
    <w:uiPriority w:val="0"/>
  </w:style>
  <w:style w:type="character" w:customStyle="1" w:styleId="59">
    <w:name w:val="页眉 字符"/>
    <w:basedOn w:val="8"/>
    <w:link w:val="6"/>
    <w:qFormat/>
    <w:uiPriority w:val="0"/>
    <w:rPr>
      <w:rFonts w:asciiTheme="minorHAnsi" w:hAnsiTheme="minorHAnsi" w:cstheme="minorBidi"/>
      <w:kern w:val="2"/>
      <w:sz w:val="18"/>
      <w:szCs w:val="18"/>
    </w:rPr>
  </w:style>
  <w:style w:type="character" w:customStyle="1" w:styleId="60">
    <w:name w:val="页脚 字符"/>
    <w:basedOn w:val="8"/>
    <w:link w:val="5"/>
    <w:qFormat/>
    <w:uiPriority w:val="99"/>
    <w:rPr>
      <w:rFonts w:asciiTheme="minorHAnsi" w:hAnsiTheme="minorHAnsi" w:cstheme="minorBidi"/>
      <w:kern w:val="2"/>
      <w:sz w:val="18"/>
      <w:szCs w:val="18"/>
    </w:rPr>
  </w:style>
  <w:style w:type="paragraph" w:customStyle="1" w:styleId="61">
    <w:name w:val="样式 标题 1 + (中文) 宋体 黑色 两端对齐"/>
    <w:basedOn w:val="2"/>
    <w:qFormat/>
    <w:uiPriority w:val="0"/>
    <w:pPr>
      <w:keepLines w:val="0"/>
      <w:spacing w:before="0" w:after="0" w:line="360" w:lineRule="auto"/>
      <w:textAlignment w:val="baseline"/>
    </w:pPr>
    <w:rPr>
      <w:rFonts w:ascii="宋体" w:hAnsi="宋体" w:eastAsia="宋体" w:cs="宋体"/>
      <w:color w:val="000000"/>
      <w:sz w:val="28"/>
      <w:szCs w:val="20"/>
    </w:rPr>
  </w:style>
  <w:style w:type="character" w:customStyle="1" w:styleId="62">
    <w:name w:val="标题 1 字符"/>
    <w:basedOn w:val="8"/>
    <w:link w:val="2"/>
    <w:qFormat/>
    <w:uiPriority w:val="0"/>
    <w:rPr>
      <w:rFonts w:asciiTheme="minorHAnsi" w:hAnsiTheme="minorHAnsi" w:cstheme="minorBidi"/>
      <w:b/>
      <w:bCs/>
      <w:kern w:val="44"/>
      <w:sz w:val="44"/>
      <w:szCs w:val="44"/>
    </w:rPr>
  </w:style>
  <w:style w:type="character" w:customStyle="1" w:styleId="63">
    <w:name w:val="标题 2 字符"/>
    <w:basedOn w:val="8"/>
    <w:link w:val="3"/>
    <w:qFormat/>
    <w:uiPriority w:val="0"/>
    <w:rPr>
      <w:rFonts w:ascii="Arial" w:hAnsi="Arial" w:eastAsia="黑体"/>
      <w:b/>
      <w:bCs/>
      <w:kern w:val="2"/>
      <w:sz w:val="32"/>
      <w:szCs w:val="32"/>
    </w:rPr>
  </w:style>
  <w:style w:type="paragraph" w:customStyle="1" w:styleId="64">
    <w:name w:val="工程建设无节条标题"/>
    <w:basedOn w:val="1"/>
    <w:next w:val="1"/>
    <w:qFormat/>
    <w:uiPriority w:val="0"/>
    <w:pPr>
      <w:numPr>
        <w:ilvl w:val="8"/>
        <w:numId w:val="1"/>
      </w:numPr>
      <w:tabs>
        <w:tab w:val="clear" w:pos="720"/>
      </w:tabs>
      <w:outlineLvl w:val="3"/>
    </w:pPr>
    <w:rPr>
      <w:rFonts w:ascii="Times New Roman" w:hAnsi="Times New Roman" w:eastAsia="宋体" w:cs="Times New Roman"/>
      <w:szCs w:val="24"/>
    </w:rPr>
  </w:style>
  <w:style w:type="paragraph" w:customStyle="1" w:styleId="65">
    <w:name w:val="列项——"/>
    <w:qFormat/>
    <w:uiPriority w:val="0"/>
    <w:pPr>
      <w:widowControl w:val="0"/>
      <w:numPr>
        <w:ilvl w:val="0"/>
        <w:numId w:val="1"/>
      </w:numPr>
      <w:tabs>
        <w:tab w:val="left" w:pos="1080"/>
      </w:tabs>
      <w:spacing w:line="360" w:lineRule="auto"/>
      <w:jc w:val="both"/>
    </w:pPr>
    <w:rPr>
      <w:rFonts w:ascii="宋体" w:hAnsi="宋体" w:eastAsia="宋体" w:cs="Times New Roman"/>
      <w:sz w:val="21"/>
      <w:lang w:val="en-US" w:eastAsia="zh-CN" w:bidi="ar-SA"/>
    </w:rPr>
  </w:style>
  <w:style w:type="paragraph" w:customStyle="1" w:styleId="66">
    <w:name w:val="工程建设图标题"/>
    <w:basedOn w:val="1"/>
    <w:qFormat/>
    <w:uiPriority w:val="0"/>
    <w:pPr>
      <w:widowControl/>
      <w:numPr>
        <w:ilvl w:val="5"/>
        <w:numId w:val="1"/>
      </w:numPr>
      <w:tabs>
        <w:tab w:val="left" w:pos="771"/>
        <w:tab w:val="left" w:pos="2451"/>
      </w:tabs>
      <w:ind w:left="2451" w:hanging="420"/>
      <w:jc w:val="center"/>
      <w:outlineLvl w:val="5"/>
    </w:pPr>
    <w:rPr>
      <w:rFonts w:ascii="黑体" w:hAnsi="Times New Roman" w:eastAsia="黑体" w:cs="Times New Roman"/>
      <w:kern w:val="0"/>
      <w:szCs w:val="20"/>
    </w:rPr>
  </w:style>
  <w:style w:type="paragraph" w:customStyle="1" w:styleId="67">
    <w:name w:val="工程建设节标题"/>
    <w:basedOn w:val="1"/>
    <w:next w:val="1"/>
    <w:qFormat/>
    <w:uiPriority w:val="0"/>
    <w:pPr>
      <w:widowControl/>
      <w:numPr>
        <w:ilvl w:val="2"/>
        <w:numId w:val="1"/>
      </w:numPr>
      <w:tabs>
        <w:tab w:val="left" w:pos="771"/>
      </w:tabs>
      <w:spacing w:before="400" w:after="400"/>
      <w:jc w:val="center"/>
      <w:outlineLvl w:val="2"/>
    </w:pPr>
    <w:rPr>
      <w:rFonts w:ascii="黑体" w:hAnsi="Times New Roman" w:eastAsia="黑体" w:cs="Times New Roman"/>
      <w:b/>
      <w:kern w:val="0"/>
      <w:szCs w:val="20"/>
    </w:rPr>
  </w:style>
  <w:style w:type="paragraph" w:styleId="68">
    <w:name w:val="List Paragraph"/>
    <w:basedOn w:val="1"/>
    <w:unhideWhenUsed/>
    <w:qFormat/>
    <w:uiPriority w:val="99"/>
    <w:pPr>
      <w:ind w:firstLine="420" w:firstLineChars="200"/>
    </w:pPr>
  </w:style>
  <w:style w:type="paragraph" w:customStyle="1" w:styleId="69">
    <w:name w:val="+正文"/>
    <w:basedOn w:val="1"/>
    <w:qFormat/>
    <w:uiPriority w:val="0"/>
    <w:pPr>
      <w:spacing w:line="360" w:lineRule="auto"/>
    </w:pPr>
    <w:rPr>
      <w:rFonts w:ascii="Times New Roman" w:hAnsi="Times New Roman" w:eastAsia="宋体" w:cs="Times New Roman"/>
      <w:sz w:val="24"/>
      <w:szCs w:val="28"/>
    </w:rPr>
  </w:style>
  <w:style w:type="paragraph" w:customStyle="1" w:styleId="70">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市委办</Company>
  <Pages>13</Pages>
  <Words>142</Words>
  <Characters>152</Characters>
  <Lines>36</Lines>
  <Paragraphs>10</Paragraphs>
  <TotalTime>6</TotalTime>
  <ScaleCrop>false</ScaleCrop>
  <LinksUpToDate>false</LinksUpToDate>
  <CharactersWithSpaces>154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2023-05-17T06:21:00Z</dcterms:created>
  <dc:creator>Administrator</dc:creator>
  <cp:lastModifiedBy>HUAWEI</cp:lastModifiedBy>
  <dcterms:modified xsi:type="dcterms:W3CDTF">2026-04-07T01:45:06Z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C72D60B6C4044E4FA6A366B5B257258F_13</vt:lpwstr>
  </property>
  <property fmtid="{D5CDD505-2E9C-101B-9397-08002B2CF9AE}" pid="4" name="KSOTemplateDocerSaveRecord">
    <vt:lpwstr>eyJoZGlkIjoiMzEwNTM5NzYwMDRjMzkwZTVkZjY2ODkwMGIxNGU0OTUiLCJ1c2VySWQiOiI1ODMxMTg2NzEifQ==</vt:lpwstr>
  </property>
</Properties>
</file>