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BC3FD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 w14:paraId="5ED8E4FD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 w14:paraId="6213D976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四川宏达股份有限公司</w:t>
      </w:r>
    </w:p>
    <w:p w14:paraId="3FC562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6"/>
          <w:szCs w:val="36"/>
        </w:rPr>
      </w:pPr>
    </w:p>
    <w:p w14:paraId="605AAB26">
      <w:pPr>
        <w:widowControl/>
        <w:ind w:firstLine="4337" w:firstLineChars="1200"/>
        <w:rPr>
          <w:rFonts w:hint="eastAsia" w:asciiTheme="minorEastAsia" w:hAnsiTheme="minorEastAsia"/>
          <w:b/>
          <w:kern w:val="0"/>
          <w:sz w:val="36"/>
          <w:szCs w:val="36"/>
          <w:lang w:val="en-US" w:eastAsia="zh-CN"/>
        </w:rPr>
      </w:pPr>
    </w:p>
    <w:p w14:paraId="4B4A13E6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一般工业固体废物运输利用处置</w:t>
      </w:r>
    </w:p>
    <w:p w14:paraId="69EA8129">
      <w:pPr>
        <w:pStyle w:val="12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/>
    <w:p w14:paraId="538FE227">
      <w:pPr>
        <w:pStyle w:val="12"/>
      </w:pPr>
    </w:p>
    <w:p w14:paraId="4A986D31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0948E841">
      <w:pPr>
        <w:pStyle w:val="5"/>
        <w:ind w:firstLine="643"/>
        <w:jc w:val="center"/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 xml:space="preserve">  </w:t>
      </w:r>
    </w:p>
    <w:p w14:paraId="4DC4C3E0">
      <w:pPr>
        <w:pStyle w:val="5"/>
        <w:ind w:firstLine="2570" w:firstLineChars="800"/>
        <w:jc w:val="both"/>
        <w:rPr>
          <w:rFonts w:hint="default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编号：HDGF-GKBX-2026-FW12</w:t>
      </w:r>
    </w:p>
    <w:p w14:paraId="39730B5E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7628825F">
      <w:pPr>
        <w:jc w:val="center"/>
        <w:rPr>
          <w:rFonts w:cs="黑体" w:asciiTheme="minorEastAsia" w:hAnsiTheme="minorEastAsia"/>
          <w:lang w:val="zh-CN"/>
        </w:rPr>
      </w:pPr>
    </w:p>
    <w:p w14:paraId="36F00592">
      <w:pPr>
        <w:jc w:val="center"/>
        <w:rPr>
          <w:rFonts w:cs="黑体" w:asciiTheme="minorEastAsia" w:hAnsiTheme="minorEastAsia"/>
          <w:lang w:val="zh-CN"/>
        </w:rPr>
      </w:pPr>
    </w:p>
    <w:p w14:paraId="3CEDA20A">
      <w:pPr>
        <w:jc w:val="center"/>
        <w:rPr>
          <w:rFonts w:cs="黑体" w:asciiTheme="minorEastAsia" w:hAnsiTheme="minorEastAsia"/>
          <w:lang w:val="zh-CN"/>
        </w:rPr>
      </w:pPr>
    </w:p>
    <w:p w14:paraId="1055B68C">
      <w:pPr>
        <w:jc w:val="center"/>
        <w:rPr>
          <w:rFonts w:cs="黑体" w:asciiTheme="minorEastAsia" w:hAnsiTheme="minorEastAsia"/>
          <w:lang w:val="zh-CN"/>
        </w:rPr>
      </w:pPr>
    </w:p>
    <w:p w14:paraId="0CAE3763">
      <w:pPr>
        <w:jc w:val="center"/>
        <w:rPr>
          <w:rFonts w:cs="黑体" w:asciiTheme="minorEastAsia" w:hAnsiTheme="minorEastAsia"/>
          <w:lang w:val="zh-CN"/>
        </w:rPr>
      </w:pPr>
    </w:p>
    <w:p w14:paraId="22283A8E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623FA7CD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  <w:lang w:val="en-US" w:eastAsia="zh-CN"/>
        </w:rPr>
        <w:t xml:space="preserve">      </w:t>
      </w: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12EA1061">
      <w:pPr>
        <w:autoSpaceDE w:val="0"/>
        <w:autoSpaceDN w:val="0"/>
        <w:adjustRightInd w:val="0"/>
        <w:spacing w:line="480" w:lineRule="auto"/>
        <w:jc w:val="center"/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 xml:space="preserve"> </w:t>
      </w:r>
    </w:p>
    <w:p w14:paraId="40DE81F1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4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23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1B45AB23">
      <w:pPr>
        <w:jc w:val="center"/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  <w:lang w:val="en-US" w:eastAsia="zh-CN"/>
        </w:rPr>
        <w:t>第一章</w:t>
      </w:r>
    </w:p>
    <w:p w14:paraId="327F57F5">
      <w:pPr>
        <w:jc w:val="center"/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</w:rPr>
        <w:t>四川宏达股份有限公司</w:t>
      </w:r>
    </w:p>
    <w:p w14:paraId="3AD7C951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一般工业固体废物运输利用处置</w:t>
      </w:r>
    </w:p>
    <w:p w14:paraId="38A8A1F4">
      <w:pPr>
        <w:autoSpaceDE w:val="0"/>
        <w:autoSpaceDN w:val="0"/>
        <w:adjustRightInd w:val="0"/>
        <w:spacing w:before="100" w:after="100"/>
        <w:jc w:val="center"/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</w:rPr>
        <w:t>比选文件</w:t>
      </w:r>
    </w:p>
    <w:p w14:paraId="72E7094E">
      <w:pPr>
        <w:pStyle w:val="5"/>
        <w:ind w:firstLine="2409" w:firstLineChars="800"/>
        <w:jc w:val="both"/>
        <w:rPr>
          <w:rFonts w:hint="default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</w:rPr>
        <w:t xml:space="preserve">                    </w:t>
      </w:r>
      <w:r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  <w:t>编号：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HDGF-GKBX-2026-FW12</w:t>
      </w:r>
    </w:p>
    <w:p w14:paraId="69E04206">
      <w:pPr>
        <w:autoSpaceDE w:val="0"/>
        <w:autoSpaceDN w:val="0"/>
        <w:adjustRightInd w:val="0"/>
        <w:spacing w:before="100" w:after="100"/>
        <w:ind w:firstLine="240" w:firstLineChars="10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四川宏达股份有限公司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需对一般工业固体废物进行运输、利用、处置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，本着“公开、公平、公正”的原则，现对该次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一般工业固体废物进行运输、利用、处置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进行公开比选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欢迎贵公司前来报价，现将相关事项公告如下：</w:t>
      </w:r>
    </w:p>
    <w:p w14:paraId="306D7094">
      <w:pPr>
        <w:numPr>
          <w:ilvl w:val="0"/>
          <w:numId w:val="1"/>
        </w:numPr>
        <w:autoSpaceDE w:val="0"/>
        <w:autoSpaceDN w:val="0"/>
        <w:adjustRightInd w:val="0"/>
        <w:spacing w:before="100" w:after="10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标的物：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一般工业固体废物进行运输、利用、处置</w:t>
      </w:r>
    </w:p>
    <w:p w14:paraId="002510F2">
      <w:pPr>
        <w:numPr>
          <w:ilvl w:val="0"/>
          <w:numId w:val="0"/>
        </w:numPr>
        <w:autoSpaceDE w:val="0"/>
        <w:autoSpaceDN w:val="0"/>
        <w:adjustRightInd w:val="0"/>
        <w:spacing w:before="100" w:after="10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 xml:space="preserve">二、比选人：四川宏达股份有限公司  </w:t>
      </w:r>
    </w:p>
    <w:p w14:paraId="6C307437">
      <w:pPr>
        <w:spacing w:line="240" w:lineRule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三、具体内容及要求：</w:t>
      </w:r>
    </w:p>
    <w:p w14:paraId="2AC9E1FC">
      <w:pPr>
        <w:numPr>
          <w:ilvl w:val="0"/>
          <w:numId w:val="0"/>
        </w:numPr>
        <w:autoSpaceDE w:val="0"/>
        <w:autoSpaceDN w:val="0"/>
        <w:adjustRightInd w:val="0"/>
        <w:spacing w:before="100" w:after="10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1.根据《固体废物分类与代码目录》，对外运输、利用、处置的一般工业固体废物主要包括：SW17可再生类废物、SW59其他工业固体废物，具体固废以现场核实为准；</w:t>
      </w:r>
    </w:p>
    <w:p w14:paraId="3F92019D">
      <w:pPr>
        <w:spacing w:line="240" w:lineRule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2.比选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人资格</w:t>
      </w:r>
    </w:p>
    <w:p w14:paraId="1221AEC0">
      <w:pPr>
        <w:widowControl/>
        <w:shd w:val="clear" w:color="auto" w:fill="FFFFFF"/>
        <w:spacing w:line="460" w:lineRule="exact"/>
        <w:jc w:val="left"/>
        <w:rPr>
          <w:rFonts w:hint="default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bookmarkStart w:id="0" w:name="_bookmark3"/>
      <w:bookmarkEnd w:id="0"/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资质要求：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具有效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营业执照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和一般工业固体废弃物处理企业服务能力等级资质证书。</w:t>
      </w:r>
    </w:p>
    <w:p w14:paraId="333F3C11">
      <w:pPr>
        <w:numPr>
          <w:ilvl w:val="0"/>
          <w:numId w:val="2"/>
        </w:num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服务地址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：</w:t>
      </w:r>
    </w:p>
    <w:p w14:paraId="3D7FB022">
      <w:pPr>
        <w:numPr>
          <w:ilvl w:val="0"/>
          <w:numId w:val="0"/>
        </w:num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3.1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四川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宏达股份有限公司什邡磷化工分公司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（四川省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什邡市洛水镇）</w:t>
      </w:r>
    </w:p>
    <w:p w14:paraId="1887DA86">
      <w:pPr>
        <w:numPr>
          <w:ilvl w:val="0"/>
          <w:numId w:val="0"/>
        </w:num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3.2四川宏达股份有限公司什邡有色金属分公司（四川省什邡市师古镇）</w:t>
      </w:r>
    </w:p>
    <w:p w14:paraId="091949A2">
      <w:pPr>
        <w:numPr>
          <w:ilvl w:val="0"/>
          <w:numId w:val="0"/>
        </w:numPr>
        <w:spacing w:line="480" w:lineRule="exact"/>
        <w:rPr>
          <w:rFonts w:hint="default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3.3四川绵竹川润化工有限公司（四川省绵竹市茶店子村9组）</w:t>
      </w:r>
    </w:p>
    <w:p w14:paraId="0B3ABD86">
      <w:p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.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完成时限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2年（具体时间以合同为准）</w:t>
      </w:r>
      <w:r>
        <w:rPr>
          <w:rFonts w:hint="eastAsia" w:asciiTheme="majorEastAsia" w:hAnsiTheme="majorEastAsia" w:eastAsiaTheme="majorEastAsia" w:cstheme="majorEastAsia"/>
          <w:kern w:val="1"/>
          <w:sz w:val="24"/>
          <w:szCs w:val="24"/>
        </w:rPr>
        <w:t>。</w:t>
      </w:r>
    </w:p>
    <w:p w14:paraId="06BFB64A">
      <w:pPr>
        <w:spacing w:line="480" w:lineRule="exact"/>
        <w:outlineLvl w:val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.比选文件的获取</w:t>
      </w:r>
    </w:p>
    <w:p w14:paraId="184D71F7">
      <w:pPr>
        <w:spacing w:line="480" w:lineRule="exact"/>
        <w:outlineLvl w:val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获取方式为：自 202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24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 00 时 00 分至 202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>
      <w:pPr>
        <w:tabs>
          <w:tab w:val="left" w:pos="312"/>
        </w:tabs>
        <w:spacing w:line="480" w:lineRule="exac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.响应性文件的递交</w:t>
      </w:r>
    </w:p>
    <w:p w14:paraId="7995D338">
      <w:pPr>
        <w:spacing w:line="480" w:lineRule="exac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递交截止时间：202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日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时 00 分。</w:t>
      </w:r>
    </w:p>
    <w:p w14:paraId="78CB7961">
      <w:pPr>
        <w:spacing w:line="480" w:lineRule="exac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比选申请人按本比选文件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响应性文件格式制作报价文件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。所有上述资料组成响应性文件，比选申请人需将响应性文件打印盖章后，以电子文件方式（PDF、扫描文件等）上传至宏达股份集采平台。</w:t>
      </w:r>
    </w:p>
    <w:p w14:paraId="5A1FBF7F">
      <w:pPr>
        <w:spacing w:line="480" w:lineRule="exac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.响应性文件的要求</w:t>
      </w:r>
    </w:p>
    <w:p w14:paraId="7DF235C9">
      <w:pPr>
        <w:spacing w:line="480" w:lineRule="exact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①比选申请人需提供</w:t>
      </w:r>
      <w:bookmarkStart w:id="1" w:name="OLE_LINK3"/>
      <w:bookmarkStart w:id="2" w:name="OLE_LINK4"/>
      <w:r>
        <w:rPr>
          <w:rFonts w:hint="eastAsia" w:asciiTheme="majorEastAsia" w:hAnsiTheme="majorEastAsia" w:eastAsiaTheme="majorEastAsia" w:cstheme="majorEastAsia"/>
          <w:sz w:val="24"/>
          <w:szCs w:val="24"/>
        </w:rPr>
        <w:t>营业执照</w:t>
      </w:r>
      <w:bookmarkEnd w:id="1"/>
      <w:bookmarkEnd w:id="2"/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 w14:paraId="45C46A78">
      <w:pPr>
        <w:spacing w:line="480" w:lineRule="exac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②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一般工业固体废弃物处理企业服务能力等级资质证书</w:t>
      </w:r>
    </w:p>
    <w:p w14:paraId="0E3754E3">
      <w:pPr>
        <w:spacing w:line="480" w:lineRule="exac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③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投标文件需盖章</w:t>
      </w:r>
    </w:p>
    <w:p w14:paraId="1203F862">
      <w:pPr>
        <w:numPr>
          <w:ilvl w:val="0"/>
          <w:numId w:val="3"/>
        </w:numPr>
        <w:spacing w:line="480" w:lineRule="exac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比选办法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：</w:t>
      </w:r>
    </w:p>
    <w:p w14:paraId="03B07BA3">
      <w:pPr>
        <w:numPr>
          <w:ilvl w:val="0"/>
          <w:numId w:val="0"/>
        </w:numPr>
        <w:spacing w:line="480" w:lineRule="exact"/>
        <w:rPr>
          <w:rFonts w:hint="eastAsia" w:ascii="Calibri" w:hAnsi="Calibri" w:cs="Calibri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比选时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在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资质符合要求的前提下以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最低价中选，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评审时</w:t>
      </w:r>
      <w:r>
        <w:rPr>
          <w:rFonts w:hint="eastAsia" w:ascii="Calibri" w:hAnsi="Calibri" w:cs="Calibri" w:eastAsiaTheme="majorEastAsia"/>
          <w:sz w:val="24"/>
          <w:szCs w:val="24"/>
          <w:lang w:val="en-US" w:eastAsia="zh-CN"/>
        </w:rPr>
        <w:t>不在进行二次议价。</w:t>
      </w:r>
    </w:p>
    <w:p w14:paraId="3FD4BCAF">
      <w:pPr>
        <w:pStyle w:val="13"/>
        <w:spacing w:before="0" w:beforeAutospacing="0" w:after="0" w:afterAutospacing="0" w:line="480" w:lineRule="exact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9.资格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评审标准：</w:t>
      </w:r>
    </w:p>
    <w:p w14:paraId="335930EE">
      <w:pPr>
        <w:pStyle w:val="13"/>
        <w:spacing w:before="0" w:beforeAutospacing="0" w:after="0" w:afterAutospacing="0" w:line="480" w:lineRule="exact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.1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比选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人营业执照</w:t>
      </w:r>
    </w:p>
    <w:p w14:paraId="377E296B">
      <w:pPr>
        <w:pStyle w:val="13"/>
        <w:spacing w:before="0" w:beforeAutospacing="0" w:after="0" w:afterAutospacing="0" w:line="480" w:lineRule="exact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9.2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一般工业固体废弃物处理企业服务能力等级资质证书</w:t>
      </w:r>
    </w:p>
    <w:p w14:paraId="289EBD7C">
      <w:pPr>
        <w:pStyle w:val="13"/>
        <w:spacing w:before="0" w:beforeAutospacing="0" w:after="0" w:afterAutospacing="0" w:line="480" w:lineRule="exact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10.投标时需缴纳投标保证金5000.00元。</w:t>
      </w:r>
    </w:p>
    <w:p w14:paraId="1B2E63DB">
      <w:pPr>
        <w:pStyle w:val="13"/>
        <w:spacing w:before="0" w:beforeAutospacing="0" w:after="0" w:afterAutospacing="0" w:line="480" w:lineRule="exact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保证金收款单位：四川宏达股份有限公司</w:t>
      </w:r>
    </w:p>
    <w:p w14:paraId="72D6DBB4">
      <w:pPr>
        <w:pStyle w:val="13"/>
        <w:spacing w:before="0" w:beforeAutospacing="0" w:after="0" w:afterAutospacing="0" w:line="480" w:lineRule="exact"/>
        <w:jc w:val="both"/>
        <w:rPr>
          <w:rFonts w:hint="default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开户行：工行什邡支行</w:t>
      </w:r>
    </w:p>
    <w:p w14:paraId="4A2832EC">
      <w:pPr>
        <w:pStyle w:val="13"/>
        <w:spacing w:before="0" w:beforeAutospacing="0" w:after="0" w:afterAutospacing="0" w:line="480" w:lineRule="exact"/>
        <w:jc w:val="both"/>
        <w:rPr>
          <w:rFonts w:hint="default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账 号：2305 3711 1910 0157 626</w:t>
      </w:r>
    </w:p>
    <w:p w14:paraId="2A1A9F10">
      <w:p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1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.交送报价文件前，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投标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方可自愿来我公司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现场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进行实地查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看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交流或咨询。</w:t>
      </w:r>
    </w:p>
    <w:p w14:paraId="6780F317">
      <w:pPr>
        <w:spacing w:line="480" w:lineRule="exact"/>
        <w:ind w:firstLine="240" w:firstLineChars="100"/>
        <w:rPr>
          <w:rFonts w:hint="default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联系人：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曾伟13890211318</w:t>
      </w:r>
    </w:p>
    <w:p w14:paraId="59B0CE85">
      <w:pPr>
        <w:adjustRightInd w:val="0"/>
        <w:spacing w:line="480" w:lineRule="exact"/>
        <w:ind w:firstLine="240" w:firstLineChars="10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地 址：四川省德阳市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什邡洛水镇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 xml:space="preserve">       </w:t>
      </w:r>
    </w:p>
    <w:p w14:paraId="2C148EF1">
      <w:pPr>
        <w:adjustRightInd w:val="0"/>
        <w:spacing w:line="480" w:lineRule="exact"/>
        <w:ind w:firstLine="4680" w:firstLineChars="195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</w:p>
    <w:p w14:paraId="1F10E468">
      <w:pPr>
        <w:adjustRightInd w:val="0"/>
        <w:spacing w:line="480" w:lineRule="exact"/>
        <w:ind w:firstLine="4680" w:firstLineChars="195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</w:p>
    <w:p w14:paraId="6C01640F">
      <w:pPr>
        <w:adjustRightInd w:val="0"/>
        <w:spacing w:line="480" w:lineRule="exact"/>
        <w:ind w:firstLine="4800" w:firstLineChars="200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</w:p>
    <w:p w14:paraId="1AA20AC0">
      <w:pPr>
        <w:adjustRightInd w:val="0"/>
        <w:spacing w:line="480" w:lineRule="exact"/>
        <w:ind w:firstLine="5520" w:firstLineChars="230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四川宏达股份有限公司</w:t>
      </w:r>
    </w:p>
    <w:p w14:paraId="5845C29C">
      <w:pPr>
        <w:spacing w:line="480" w:lineRule="exact"/>
        <w:ind w:firstLine="6000" w:firstLineChars="25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202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23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日</w:t>
      </w:r>
    </w:p>
    <w:p w14:paraId="2BB0A7D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bookmarkStart w:id="3" w:name="_Toc303149804"/>
      <w:bookmarkStart w:id="4" w:name="_Toc318986166"/>
      <w:bookmarkStart w:id="5" w:name="_Toc268793030"/>
      <w:bookmarkStart w:id="6" w:name="_Hlk155791057"/>
      <w:bookmarkStart w:id="7" w:name="_Toc275019290"/>
      <w:bookmarkStart w:id="8" w:name="_Toc269113527"/>
      <w:bookmarkStart w:id="9" w:name="_Toc275019836"/>
      <w:bookmarkStart w:id="10" w:name="_Toc238552273"/>
      <w:bookmarkStart w:id="11" w:name="_Toc16684"/>
      <w:bookmarkStart w:id="12" w:name="_Toc275019684"/>
      <w:bookmarkStart w:id="13" w:name="_Toc274596702"/>
      <w:bookmarkStart w:id="14" w:name="_Toc274236999"/>
      <w:bookmarkStart w:id="15" w:name="_Toc238797630"/>
      <w:bookmarkStart w:id="16" w:name="_Toc275014947"/>
    </w:p>
    <w:p w14:paraId="4A3D776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38132228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19BD8215">
      <w:p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0852AA06">
      <w:p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bookmarkStart w:id="20" w:name="_GoBack"/>
      <w:bookmarkEnd w:id="20"/>
    </w:p>
    <w:p w14:paraId="290F6028">
      <w:p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56722DFA">
      <w:p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167D8B85">
      <w:p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365502D8">
      <w:pPr>
        <w:ind w:firstLine="4560" w:firstLineChars="1900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3543871F">
      <w:pPr>
        <w:ind w:firstLine="4480" w:firstLineChars="1400"/>
        <w:jc w:val="both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430CFC2E">
      <w:pPr>
        <w:ind w:firstLine="4480" w:firstLineChars="1400"/>
        <w:jc w:val="both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第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章 </w:t>
      </w:r>
    </w:p>
    <w:p w14:paraId="259FECCD">
      <w:pPr>
        <w:ind w:firstLine="640" w:firstLineChars="200"/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val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报价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zh-CN"/>
        </w:rPr>
        <w:t>文件格式</w:t>
      </w:r>
    </w:p>
    <w:p w14:paraId="0A1A3FC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640" w:firstLineChars="200"/>
        <w:jc w:val="left"/>
        <w:textAlignment w:val="bottom"/>
        <w:rPr>
          <w:rFonts w:hint="eastAsia" w:asciiTheme="majorEastAsia" w:hAnsiTheme="majorEastAsia" w:eastAsiaTheme="majorEastAsia" w:cstheme="majorEastAsia"/>
          <w:sz w:val="32"/>
          <w:szCs w:val="32"/>
          <w:u w:val="single"/>
        </w:rPr>
      </w:pPr>
    </w:p>
    <w:p w14:paraId="6A3A3A1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640" w:firstLineChars="200"/>
        <w:jc w:val="center"/>
        <w:textAlignment w:val="bottom"/>
        <w:rPr>
          <w:rFonts w:hint="eastAsia" w:asciiTheme="majorEastAsia" w:hAnsiTheme="majorEastAsia" w:eastAsiaTheme="majorEastAsia" w:cstheme="majorEastAsia"/>
          <w:kern w:val="0"/>
          <w:sz w:val="32"/>
          <w:szCs w:val="32"/>
        </w:rPr>
      </w:pPr>
    </w:p>
    <w:p w14:paraId="45DAD0F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640" w:firstLineChars="200"/>
        <w:jc w:val="center"/>
        <w:textAlignment w:val="bottom"/>
        <w:rPr>
          <w:rFonts w:hint="eastAsia" w:asciiTheme="majorEastAsia" w:hAnsiTheme="majorEastAsia" w:eastAsiaTheme="majorEastAsia" w:cstheme="majorEastAsia"/>
          <w:kern w:val="0"/>
          <w:sz w:val="32"/>
          <w:szCs w:val="32"/>
        </w:rPr>
      </w:pPr>
    </w:p>
    <w:p w14:paraId="26E7C410"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一般工业固体废物进行运输利用处置</w:t>
      </w:r>
    </w:p>
    <w:p w14:paraId="3D420DAB">
      <w:pPr>
        <w:ind w:firstLine="4160" w:firstLineChars="1300"/>
        <w:jc w:val="both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52C92C64">
      <w:pPr>
        <w:ind w:firstLine="5760" w:firstLineChars="18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</w:p>
    <w:p w14:paraId="5CCD5D66">
      <w:pPr>
        <w:ind w:firstLine="5760" w:firstLineChars="18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</w:p>
    <w:p w14:paraId="1C0B653D">
      <w:pPr>
        <w:ind w:firstLine="4160" w:firstLineChars="1300"/>
        <w:jc w:val="both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响应性文件</w:t>
      </w:r>
    </w:p>
    <w:p w14:paraId="3E1EAFF6">
      <w:pPr>
        <w:ind w:firstLine="640" w:firstLineChars="200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0EA31673"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36568ABF"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715F9D63">
      <w:pPr>
        <w:spacing w:line="440" w:lineRule="exact"/>
        <w:ind w:firstLine="6080" w:firstLineChars="19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75450172">
      <w:pPr>
        <w:spacing w:line="440" w:lineRule="exact"/>
        <w:ind w:firstLine="6080" w:firstLineChars="19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47C55DA1">
      <w:pPr>
        <w:spacing w:line="440" w:lineRule="exact"/>
        <w:ind w:firstLine="6080" w:firstLineChars="19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38EC14CC">
      <w:pPr>
        <w:spacing w:line="440" w:lineRule="exact"/>
        <w:ind w:firstLine="6080" w:firstLineChars="19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53B9594A">
      <w:pPr>
        <w:spacing w:line="440" w:lineRule="exact"/>
        <w:ind w:firstLine="6080" w:firstLineChars="19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5FFA551B">
      <w:pPr>
        <w:spacing w:line="440" w:lineRule="exact"/>
        <w:ind w:firstLine="6080" w:firstLineChars="19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20464A6D">
      <w:pPr>
        <w:spacing w:line="440" w:lineRule="exact"/>
        <w:ind w:firstLine="6080" w:firstLineChars="19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177AE57F">
      <w:pPr>
        <w:spacing w:line="440" w:lineRule="exact"/>
        <w:ind w:firstLine="2400" w:firstLineChars="800"/>
        <w:jc w:val="left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供应商名称：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</w:rPr>
        <w:t xml:space="preserve">            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（盖单位章）</w:t>
      </w:r>
    </w:p>
    <w:p w14:paraId="70EAECBB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jc w:val="both"/>
        <w:rPr>
          <w:rFonts w:hint="eastAsia" w:asciiTheme="majorEastAsia" w:hAnsiTheme="majorEastAsia" w:eastAsiaTheme="majorEastAsia" w:cstheme="majorEastAsia"/>
          <w:b/>
          <w:bCs/>
          <w:kern w:val="44"/>
          <w:sz w:val="24"/>
          <w:szCs w:val="24"/>
          <w:lang w:val="zh-CN"/>
        </w:rPr>
      </w:pPr>
      <w:bookmarkStart w:id="17" w:name="_Toc30198"/>
      <w:bookmarkStart w:id="18" w:name="_Toc9978"/>
      <w:bookmarkStart w:id="19" w:name="_Toc4384"/>
    </w:p>
    <w:p w14:paraId="00374C22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jc w:val="both"/>
        <w:rPr>
          <w:rFonts w:hint="eastAsia" w:asciiTheme="majorEastAsia" w:hAnsiTheme="majorEastAsia" w:eastAsiaTheme="majorEastAsia" w:cstheme="majorEastAsia"/>
          <w:b/>
          <w:bCs/>
          <w:kern w:val="44"/>
          <w:sz w:val="24"/>
          <w:szCs w:val="24"/>
          <w:lang w:val="zh-CN"/>
        </w:rPr>
      </w:pPr>
    </w:p>
    <w:p w14:paraId="05B977C0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jc w:val="both"/>
        <w:rPr>
          <w:rFonts w:hint="eastAsia" w:asciiTheme="majorEastAsia" w:hAnsiTheme="majorEastAsia" w:eastAsiaTheme="majorEastAsia" w:cstheme="majorEastAsia"/>
          <w:b/>
          <w:bCs/>
          <w:kern w:val="44"/>
          <w:sz w:val="24"/>
          <w:szCs w:val="24"/>
          <w:lang w:val="zh-CN"/>
        </w:rPr>
      </w:pPr>
    </w:p>
    <w:p w14:paraId="456D87ED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jc w:val="both"/>
        <w:rPr>
          <w:rFonts w:hint="eastAsia" w:asciiTheme="majorEastAsia" w:hAnsiTheme="majorEastAsia" w:eastAsiaTheme="majorEastAsia" w:cstheme="majorEastAsia"/>
          <w:b/>
          <w:bCs/>
          <w:kern w:val="44"/>
          <w:sz w:val="24"/>
          <w:szCs w:val="24"/>
          <w:lang w:val="zh-CN"/>
        </w:rPr>
      </w:pPr>
    </w:p>
    <w:p w14:paraId="473857A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jc w:val="both"/>
        <w:rPr>
          <w:rFonts w:hint="eastAsia" w:asciiTheme="majorEastAsia" w:hAnsiTheme="majorEastAsia" w:eastAsiaTheme="majorEastAsia" w:cstheme="majorEastAsia"/>
          <w:b/>
          <w:bCs/>
          <w:kern w:val="44"/>
          <w:sz w:val="24"/>
          <w:szCs w:val="24"/>
          <w:lang w:val="zh-CN"/>
        </w:rPr>
      </w:pPr>
    </w:p>
    <w:p w14:paraId="3573B21E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jc w:val="both"/>
        <w:rPr>
          <w:rFonts w:hint="eastAsia" w:asciiTheme="majorEastAsia" w:hAnsiTheme="majorEastAsia" w:eastAsiaTheme="majorEastAsia" w:cstheme="majorEastAsia"/>
          <w:b/>
          <w:bCs/>
          <w:kern w:val="44"/>
          <w:sz w:val="24"/>
          <w:szCs w:val="24"/>
          <w:lang w:val="zh-CN"/>
        </w:rPr>
      </w:pPr>
    </w:p>
    <w:p w14:paraId="5C372D6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jc w:val="both"/>
        <w:rPr>
          <w:rFonts w:hint="eastAsia" w:asciiTheme="majorEastAsia" w:hAnsiTheme="majorEastAsia" w:eastAsiaTheme="majorEastAsia" w:cstheme="majorEastAsia"/>
          <w:b/>
          <w:bCs/>
          <w:kern w:val="44"/>
          <w:sz w:val="24"/>
          <w:szCs w:val="24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44"/>
          <w:sz w:val="24"/>
          <w:szCs w:val="24"/>
          <w:lang w:val="zh-CN"/>
        </w:rPr>
        <w:t>（一）</w:t>
      </w:r>
      <w:r>
        <w:rPr>
          <w:rFonts w:hint="eastAsia" w:asciiTheme="majorEastAsia" w:hAnsiTheme="majorEastAsia" w:eastAsiaTheme="majorEastAsia" w:cstheme="majorEastAsia"/>
          <w:b/>
          <w:bCs/>
          <w:kern w:val="44"/>
          <w:sz w:val="24"/>
          <w:szCs w:val="24"/>
        </w:rPr>
        <w:t>投标报价</w:t>
      </w:r>
      <w:bookmarkEnd w:id="17"/>
      <w:bookmarkEnd w:id="18"/>
      <w:bookmarkEnd w:id="19"/>
    </w:p>
    <w:p w14:paraId="1F6B339B">
      <w:pPr>
        <w:jc w:val="center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1、我方已仔细研究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和实地查看并了解一般工业固体废物进行运输、利用、处置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比选文件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：</w:t>
      </w:r>
    </w:p>
    <w:p w14:paraId="3FD3862E">
      <w:pPr>
        <w:spacing w:line="560" w:lineRule="exact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1.1我公司收取处置费单价为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：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u w:val="single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元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lang w:val="en-US" w:eastAsia="zh-CN"/>
        </w:rPr>
        <w:t>/吨</w:t>
      </w:r>
      <w:r>
        <w:rPr>
          <w:rFonts w:hint="eastAsia" w:asciiTheme="majorEastAsia" w:hAnsiTheme="majorEastAsia" w:eastAsiaTheme="majorEastAsia" w:cstheme="majorEastAsia"/>
          <w:spacing w:val="-13"/>
          <w:sz w:val="24"/>
          <w:szCs w:val="24"/>
          <w:lang w:val="en-US" w:eastAsia="zh-CN"/>
        </w:rPr>
        <w:t>为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比选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包干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总报价，按比选文件规定的条件和要求承担合同规定的全部工作，并承担相关的责任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 w14:paraId="604541FE">
      <w:pPr>
        <w:spacing w:line="560" w:lineRule="exact"/>
        <w:rPr>
          <w:rFonts w:hint="eastAsia" w:asciiTheme="majorEastAsia" w:hAnsiTheme="majorEastAsia" w:eastAsiaTheme="majorEastAsia" w:cstheme="majorEastAsia"/>
          <w:sz w:val="24"/>
          <w:szCs w:val="24"/>
          <w:u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1.2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付款方式：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</w:rPr>
        <w:t>。</w:t>
      </w:r>
    </w:p>
    <w:p w14:paraId="2F7B7E45">
      <w:pPr>
        <w:spacing w:line="560" w:lineRule="exact"/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val="en-US" w:eastAsia="zh-CN"/>
        </w:rPr>
        <w:t>1.3发票：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投标人开具     发票，税率  %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。</w:t>
      </w:r>
    </w:p>
    <w:p w14:paraId="3136D075">
      <w:pPr>
        <w:pStyle w:val="36"/>
        <w:spacing w:before="120" w:line="400" w:lineRule="exac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2、我公司承诺在投标有效期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30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日历天内不修改、撤销比选文件。</w:t>
      </w:r>
    </w:p>
    <w:p w14:paraId="787BDA0A">
      <w:pPr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3、如我方中标，我方承诺：</w:t>
      </w:r>
    </w:p>
    <w:p w14:paraId="3770725F">
      <w:pPr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（1）在签订合同时不向你方提出附加条件；</w:t>
      </w:r>
    </w:p>
    <w:p w14:paraId="44F54EA4">
      <w:pPr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（2）在合同约定的期限内完成合同规定的全部义务。</w:t>
      </w:r>
    </w:p>
    <w:p w14:paraId="4EE2BFCE">
      <w:pPr>
        <w:spacing w:line="560" w:lineRule="exac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4.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。（其他补充说明）。</w:t>
      </w:r>
    </w:p>
    <w:p w14:paraId="4AD2E58E">
      <w:pPr>
        <w:spacing w:line="560" w:lineRule="exact"/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联系人：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电话：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    </w:t>
      </w:r>
    </w:p>
    <w:p w14:paraId="66BC0C25">
      <w:pPr>
        <w:spacing w:line="240" w:lineRule="auto"/>
        <w:ind w:firstLine="0" w:firstLineChars="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68DA29D8">
      <w:pPr>
        <w:spacing w:line="560" w:lineRule="exact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092F7D91">
      <w:pPr>
        <w:spacing w:line="240" w:lineRule="auto"/>
        <w:ind w:firstLine="5040" w:firstLineChars="21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报价单位：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（盖单位章）</w:t>
      </w:r>
    </w:p>
    <w:p w14:paraId="6EADBF41">
      <w:pPr>
        <w:spacing w:line="560" w:lineRule="exact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</w:t>
      </w:r>
    </w:p>
    <w:p w14:paraId="09306449">
      <w:pPr>
        <w:spacing w:line="400" w:lineRule="exac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                                      </w:t>
      </w:r>
    </w:p>
    <w:p w14:paraId="712648C9">
      <w:pPr>
        <w:spacing w:line="400" w:lineRule="exact"/>
        <w:ind w:firstLine="4800" w:firstLineChars="20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val="en-US" w:eastAsia="zh-CN"/>
        </w:rPr>
        <w:t>2026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</w:rPr>
        <w:t xml:space="preserve"> 年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</w:rPr>
        <w:t xml:space="preserve"> 月  日</w:t>
      </w:r>
    </w:p>
    <w:p w14:paraId="57ACEA3C">
      <w:pPr>
        <w:spacing w:line="400" w:lineRule="exac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36BB4774">
      <w:pPr>
        <w:spacing w:line="24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注：</w:t>
      </w:r>
    </w:p>
    <w:p w14:paraId="39ED553F">
      <w:pPr>
        <w:spacing w:line="400" w:lineRule="exac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1.对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比选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文件提出的要求和条件作出明确响应，投标人需要说明的内容若需特殊表达，应先在本表中进行相应说明，再另页应答，否则投标无效。</w:t>
      </w:r>
    </w:p>
    <w:p w14:paraId="2A1DC018">
      <w:pPr>
        <w:widowControl/>
        <w:spacing w:line="400" w:lineRule="exact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.投标人必须据实填写，不得虚假应答，否则将取消其响应或中选资格。</w:t>
      </w:r>
    </w:p>
    <w:p w14:paraId="1FC9827A">
      <w:pPr>
        <w:widowControl/>
        <w:spacing w:line="400" w:lineRule="exact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.若未明确应答的条款均视为接受及满足采购文件要求。  </w:t>
      </w:r>
    </w:p>
    <w:p w14:paraId="5700C492">
      <w:pPr>
        <w:spacing w:line="400" w:lineRule="exact"/>
        <w:ind w:firstLine="3120" w:firstLineChars="1300"/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投标人名称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（全称并加盖公章）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u w:val="single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</w:t>
      </w:r>
    </w:p>
    <w:p w14:paraId="323459B4">
      <w:pPr>
        <w:spacing w:line="400" w:lineRule="exact"/>
        <w:ind w:firstLine="3120" w:firstLineChars="1300"/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日 期: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u w:val="single"/>
        </w:rPr>
        <w:t xml:space="preserve">      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日</w:t>
      </w:r>
    </w:p>
    <w:p w14:paraId="41257FF0">
      <w:pPr>
        <w:pStyle w:val="35"/>
        <w:ind w:firstLine="0" w:firstLineChars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）资质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及响应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文件</w:t>
      </w:r>
    </w:p>
    <w:p w14:paraId="6F241040">
      <w:pPr>
        <w:spacing w:line="360" w:lineRule="auto"/>
        <w:ind w:firstLine="240" w:firstLineChars="100"/>
        <w:jc w:val="left"/>
        <w:rPr>
          <w:rFonts w:hint="default" w:asciiTheme="majorEastAsia" w:hAnsiTheme="majorEastAsia" w:eastAsiaTheme="majorEastAsia" w:cstheme="majorEastAsia"/>
          <w:b/>
          <w:bCs/>
          <w:sz w:val="24"/>
          <w:szCs w:val="24"/>
          <w:lang w:val="en-US"/>
        </w:rPr>
      </w:pP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营业执照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资质证书、投标保证金回单</w:t>
      </w:r>
    </w:p>
    <w:p w14:paraId="724A2CB4">
      <w:pPr>
        <w:spacing w:line="360" w:lineRule="auto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</w:p>
    <w:p w14:paraId="18E298DD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4D40B3B3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02B2580E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4F298B6C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2D4AC275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5A5704B2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5E852A18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5BE7E0E4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0EA0028D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02F6305B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04D77302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54B8E9DC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555A9683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25415DA1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696BE2FE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2DF38039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39F8E72F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36B905D4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245A3550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725423AF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15096674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756D7591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2C6842E4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0A0FB96B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4E53BABD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193DDA29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4215FEC7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</w:pPr>
    </w:p>
    <w:p w14:paraId="534D6E09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承 诺 书</w:t>
      </w:r>
    </w:p>
    <w:p w14:paraId="7174C5C3">
      <w:pPr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致：</w:t>
      </w:r>
    </w:p>
    <w:p w14:paraId="1C574AE4"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我公司自愿参与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四川宏达股份有限公司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>的一般工业固体废物进行运输、利用、处置投标，现郑重作出以下承诺：</w:t>
      </w:r>
    </w:p>
    <w:p w14:paraId="3F994577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⑴我公司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在处置过程中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环保安全符合国家要求；</w:t>
      </w:r>
    </w:p>
    <w:p w14:paraId="49BFCB82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⑵我公司具有良好的信誉、企业处于正常生产经营状态；</w:t>
      </w:r>
    </w:p>
    <w:p w14:paraId="2FBAF91D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⑶我公司完全按报价文件严格执行。</w:t>
      </w:r>
    </w:p>
    <w:p w14:paraId="3C2FFB45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⑷我公司将严格遵守投标的各项法律法规和程序，若有违规行为，愿意承担相应法律责任。</w:t>
      </w:r>
    </w:p>
    <w:p w14:paraId="0251D26C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⑸若中标，我公司将按照合同约定的时间、地点和方式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完成处置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，确保项目顺利推进。</w:t>
      </w:r>
    </w:p>
    <w:p w14:paraId="68025E15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2B969833">
      <w:pPr>
        <w:spacing w:line="360" w:lineRule="auto"/>
        <w:ind w:left="420" w:left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52511303">
      <w:pPr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                    供应商名称：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（盖单位章）</w:t>
      </w:r>
    </w:p>
    <w:p w14:paraId="6CAF0A4B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                              </w:t>
      </w:r>
    </w:p>
    <w:p w14:paraId="04370F14">
      <w:pPr>
        <w:spacing w:line="360" w:lineRule="auto"/>
        <w:ind w:firstLine="3360" w:firstLineChars="14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日  期：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</w:t>
      </w:r>
    </w:p>
    <w:p w14:paraId="3CB6D448">
      <w:pPr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1135AEBA">
      <w:pPr>
        <w:pStyle w:val="5"/>
        <w:ind w:firstLine="562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276B9E4F">
      <w:pPr>
        <w:pStyle w:val="12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5999D4C1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234704E9">
      <w:pPr>
        <w:snapToGrid w:val="0"/>
        <w:spacing w:line="360" w:lineRule="auto"/>
        <w:ind w:firstLine="482" w:firstLineChars="200"/>
        <w:jc w:val="left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</w:p>
    <w:p w14:paraId="47AE90E1">
      <w:pPr>
        <w:spacing w:line="360" w:lineRule="exact"/>
        <w:rPr>
          <w:rFonts w:hint="eastAsia" w:asciiTheme="majorEastAsia" w:hAnsiTheme="majorEastAsia" w:eastAsiaTheme="majorEastAsia" w:cstheme="majorEastAsia"/>
          <w:b/>
          <w:kern w:val="0"/>
          <w:sz w:val="24"/>
          <w:szCs w:val="24"/>
        </w:rPr>
      </w:pPr>
    </w:p>
    <w:p w14:paraId="01D795C5">
      <w:pPr>
        <w:spacing w:line="360" w:lineRule="exact"/>
        <w:rPr>
          <w:rFonts w:hint="eastAsia" w:asciiTheme="majorEastAsia" w:hAnsiTheme="majorEastAsia" w:eastAsiaTheme="majorEastAsia" w:cstheme="majorEastAsia"/>
          <w:b/>
          <w:kern w:val="0"/>
          <w:sz w:val="24"/>
          <w:szCs w:val="24"/>
        </w:rPr>
      </w:pPr>
    </w:p>
    <w:p w14:paraId="398C735C">
      <w:pPr>
        <w:spacing w:line="360" w:lineRule="exact"/>
        <w:rPr>
          <w:rFonts w:hint="eastAsia" w:asciiTheme="majorEastAsia" w:hAnsiTheme="majorEastAsia" w:eastAsiaTheme="majorEastAsia" w:cstheme="majorEastAsia"/>
          <w:b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A9D90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EE607">
    <w:pPr>
      <w:pStyle w:val="10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E134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16</w:t>
    </w:r>
    <w:r>
      <w:fldChar w:fldCharType="end"/>
    </w:r>
  </w:p>
  <w:p w14:paraId="5C6C621E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1B59D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82D3BD2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0C58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63809"/>
    <w:multiLevelType w:val="singleLevel"/>
    <w:tmpl w:val="90D6380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5E5C2C5"/>
    <w:multiLevelType w:val="singleLevel"/>
    <w:tmpl w:val="B5E5C2C5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AF2B91B"/>
    <w:multiLevelType w:val="singleLevel"/>
    <w:tmpl w:val="0AF2B9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F036A"/>
    <w:rsid w:val="00CF0C6E"/>
    <w:rsid w:val="00CF152A"/>
    <w:rsid w:val="00CF1911"/>
    <w:rsid w:val="00CF30F1"/>
    <w:rsid w:val="00D02529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0B405F"/>
    <w:rsid w:val="012921D9"/>
    <w:rsid w:val="017D438D"/>
    <w:rsid w:val="018D501D"/>
    <w:rsid w:val="025E3202"/>
    <w:rsid w:val="02CD2B48"/>
    <w:rsid w:val="02EF0460"/>
    <w:rsid w:val="038F62BE"/>
    <w:rsid w:val="03A80897"/>
    <w:rsid w:val="03BC1030"/>
    <w:rsid w:val="041E3808"/>
    <w:rsid w:val="043B2184"/>
    <w:rsid w:val="0475718F"/>
    <w:rsid w:val="048110D0"/>
    <w:rsid w:val="0485137E"/>
    <w:rsid w:val="04A403E3"/>
    <w:rsid w:val="04C66C1A"/>
    <w:rsid w:val="04D1736D"/>
    <w:rsid w:val="04E1113F"/>
    <w:rsid w:val="052E6D77"/>
    <w:rsid w:val="05361058"/>
    <w:rsid w:val="05573D16"/>
    <w:rsid w:val="057443B4"/>
    <w:rsid w:val="059211F2"/>
    <w:rsid w:val="05C017FD"/>
    <w:rsid w:val="05E24BD3"/>
    <w:rsid w:val="0649045C"/>
    <w:rsid w:val="0687687D"/>
    <w:rsid w:val="06F2489E"/>
    <w:rsid w:val="070268E6"/>
    <w:rsid w:val="070C5F9C"/>
    <w:rsid w:val="07350677"/>
    <w:rsid w:val="07447AF0"/>
    <w:rsid w:val="07501427"/>
    <w:rsid w:val="07547F8D"/>
    <w:rsid w:val="075C5614"/>
    <w:rsid w:val="076636BD"/>
    <w:rsid w:val="07C37441"/>
    <w:rsid w:val="080D6E43"/>
    <w:rsid w:val="086D3F47"/>
    <w:rsid w:val="08B77F0F"/>
    <w:rsid w:val="09157676"/>
    <w:rsid w:val="094A00EB"/>
    <w:rsid w:val="094D7C7A"/>
    <w:rsid w:val="097507C7"/>
    <w:rsid w:val="097D22E2"/>
    <w:rsid w:val="09AD2157"/>
    <w:rsid w:val="09F05072"/>
    <w:rsid w:val="0A253A1B"/>
    <w:rsid w:val="0A3C4D43"/>
    <w:rsid w:val="0ACF3DF0"/>
    <w:rsid w:val="0B244370"/>
    <w:rsid w:val="0B6C6FDB"/>
    <w:rsid w:val="0B952B8D"/>
    <w:rsid w:val="0C540FAF"/>
    <w:rsid w:val="0C5F0F6E"/>
    <w:rsid w:val="0CD41BFD"/>
    <w:rsid w:val="0D004BE0"/>
    <w:rsid w:val="0D583C50"/>
    <w:rsid w:val="0D6635DC"/>
    <w:rsid w:val="0DC071A0"/>
    <w:rsid w:val="0DC10EE9"/>
    <w:rsid w:val="0DEE4D74"/>
    <w:rsid w:val="0E1A3B33"/>
    <w:rsid w:val="0EC51CF1"/>
    <w:rsid w:val="0EE23F2E"/>
    <w:rsid w:val="0F131BCA"/>
    <w:rsid w:val="0F783207"/>
    <w:rsid w:val="0F797A29"/>
    <w:rsid w:val="0FBB34F5"/>
    <w:rsid w:val="0FFD54BA"/>
    <w:rsid w:val="10234F21"/>
    <w:rsid w:val="10525110"/>
    <w:rsid w:val="109B61CD"/>
    <w:rsid w:val="11097D6A"/>
    <w:rsid w:val="110E7C3C"/>
    <w:rsid w:val="11927BC8"/>
    <w:rsid w:val="11B0086C"/>
    <w:rsid w:val="11D84431"/>
    <w:rsid w:val="120F5BA7"/>
    <w:rsid w:val="1235718D"/>
    <w:rsid w:val="12737FD2"/>
    <w:rsid w:val="128A3A09"/>
    <w:rsid w:val="12A6008B"/>
    <w:rsid w:val="12CF1390"/>
    <w:rsid w:val="12D009A7"/>
    <w:rsid w:val="12D76496"/>
    <w:rsid w:val="136B5CDC"/>
    <w:rsid w:val="13C54541"/>
    <w:rsid w:val="145B10EE"/>
    <w:rsid w:val="14676D7E"/>
    <w:rsid w:val="14E32355"/>
    <w:rsid w:val="152B4878"/>
    <w:rsid w:val="15787ABD"/>
    <w:rsid w:val="15916DD0"/>
    <w:rsid w:val="159A484C"/>
    <w:rsid w:val="15C43CAE"/>
    <w:rsid w:val="16413351"/>
    <w:rsid w:val="164E090F"/>
    <w:rsid w:val="16937390"/>
    <w:rsid w:val="16CB1E6E"/>
    <w:rsid w:val="170E68DA"/>
    <w:rsid w:val="172F5937"/>
    <w:rsid w:val="17660053"/>
    <w:rsid w:val="17712A16"/>
    <w:rsid w:val="177C482D"/>
    <w:rsid w:val="181C4801"/>
    <w:rsid w:val="185D2F9A"/>
    <w:rsid w:val="18860743"/>
    <w:rsid w:val="190E59FE"/>
    <w:rsid w:val="19245901"/>
    <w:rsid w:val="19393A07"/>
    <w:rsid w:val="19A1688A"/>
    <w:rsid w:val="1A1104E0"/>
    <w:rsid w:val="1A294B27"/>
    <w:rsid w:val="1A4B1C44"/>
    <w:rsid w:val="1A683441"/>
    <w:rsid w:val="1A8613D4"/>
    <w:rsid w:val="1A8F0322"/>
    <w:rsid w:val="1AB437AE"/>
    <w:rsid w:val="1B5421D7"/>
    <w:rsid w:val="1B6D2E20"/>
    <w:rsid w:val="1B9E2CD5"/>
    <w:rsid w:val="1BC26017"/>
    <w:rsid w:val="1C197E29"/>
    <w:rsid w:val="1C453C5D"/>
    <w:rsid w:val="1C4C57FF"/>
    <w:rsid w:val="1CB13532"/>
    <w:rsid w:val="1CC42F40"/>
    <w:rsid w:val="1CD062D3"/>
    <w:rsid w:val="1D64697C"/>
    <w:rsid w:val="1DD969AB"/>
    <w:rsid w:val="1E3D42AB"/>
    <w:rsid w:val="1EC2785D"/>
    <w:rsid w:val="1ECE699F"/>
    <w:rsid w:val="1ED14404"/>
    <w:rsid w:val="1EEE53EA"/>
    <w:rsid w:val="1EEE7042"/>
    <w:rsid w:val="1EF423B3"/>
    <w:rsid w:val="1EF74148"/>
    <w:rsid w:val="1F0624FE"/>
    <w:rsid w:val="1F786935"/>
    <w:rsid w:val="1FA15E62"/>
    <w:rsid w:val="1FDB7383"/>
    <w:rsid w:val="201A79C2"/>
    <w:rsid w:val="206330FF"/>
    <w:rsid w:val="20A629C0"/>
    <w:rsid w:val="20B67E37"/>
    <w:rsid w:val="210F65BC"/>
    <w:rsid w:val="21196F94"/>
    <w:rsid w:val="21263865"/>
    <w:rsid w:val="213571AA"/>
    <w:rsid w:val="214E70B1"/>
    <w:rsid w:val="217A2E0F"/>
    <w:rsid w:val="217D645B"/>
    <w:rsid w:val="21843C8D"/>
    <w:rsid w:val="21AE4866"/>
    <w:rsid w:val="21F13065"/>
    <w:rsid w:val="220646A2"/>
    <w:rsid w:val="22161381"/>
    <w:rsid w:val="22A07CA6"/>
    <w:rsid w:val="22D90573"/>
    <w:rsid w:val="22FE4C9E"/>
    <w:rsid w:val="237F15B6"/>
    <w:rsid w:val="239006C7"/>
    <w:rsid w:val="23CE3DC9"/>
    <w:rsid w:val="240E783E"/>
    <w:rsid w:val="246966F1"/>
    <w:rsid w:val="2470465E"/>
    <w:rsid w:val="2485441B"/>
    <w:rsid w:val="2489490E"/>
    <w:rsid w:val="24975FA1"/>
    <w:rsid w:val="24C663E3"/>
    <w:rsid w:val="24F6510A"/>
    <w:rsid w:val="24FA55ED"/>
    <w:rsid w:val="2550062C"/>
    <w:rsid w:val="255D7BDB"/>
    <w:rsid w:val="25CC5B88"/>
    <w:rsid w:val="25E63D4A"/>
    <w:rsid w:val="260E79FF"/>
    <w:rsid w:val="26933E36"/>
    <w:rsid w:val="26BC19A6"/>
    <w:rsid w:val="270A5318"/>
    <w:rsid w:val="279E3E6D"/>
    <w:rsid w:val="27A73E71"/>
    <w:rsid w:val="27B8643F"/>
    <w:rsid w:val="28564D7B"/>
    <w:rsid w:val="289607B9"/>
    <w:rsid w:val="28ED53FF"/>
    <w:rsid w:val="28F11C08"/>
    <w:rsid w:val="290166AE"/>
    <w:rsid w:val="294066EC"/>
    <w:rsid w:val="294B76D0"/>
    <w:rsid w:val="29824F56"/>
    <w:rsid w:val="299A22A0"/>
    <w:rsid w:val="2A021BF3"/>
    <w:rsid w:val="2A3B449D"/>
    <w:rsid w:val="2A494963"/>
    <w:rsid w:val="2A5A72A6"/>
    <w:rsid w:val="2A7A0382"/>
    <w:rsid w:val="2AAB5DE7"/>
    <w:rsid w:val="2AC075D6"/>
    <w:rsid w:val="2AF95FAD"/>
    <w:rsid w:val="2B1B24F8"/>
    <w:rsid w:val="2B240021"/>
    <w:rsid w:val="2B35362F"/>
    <w:rsid w:val="2B8F395A"/>
    <w:rsid w:val="2C0635BA"/>
    <w:rsid w:val="2C612895"/>
    <w:rsid w:val="2C672453"/>
    <w:rsid w:val="2CD800E1"/>
    <w:rsid w:val="2D05422D"/>
    <w:rsid w:val="2D3164B2"/>
    <w:rsid w:val="2D561556"/>
    <w:rsid w:val="2E6764C9"/>
    <w:rsid w:val="2EB3386D"/>
    <w:rsid w:val="2EC03E0B"/>
    <w:rsid w:val="2EE64169"/>
    <w:rsid w:val="2F0B779C"/>
    <w:rsid w:val="2F6117D7"/>
    <w:rsid w:val="2FA03FC4"/>
    <w:rsid w:val="300E355A"/>
    <w:rsid w:val="30337F16"/>
    <w:rsid w:val="30464A25"/>
    <w:rsid w:val="306046D6"/>
    <w:rsid w:val="3082583C"/>
    <w:rsid w:val="310224D9"/>
    <w:rsid w:val="3125542E"/>
    <w:rsid w:val="31A45B7D"/>
    <w:rsid w:val="31A5035D"/>
    <w:rsid w:val="31B9703B"/>
    <w:rsid w:val="31DE0499"/>
    <w:rsid w:val="32E5510F"/>
    <w:rsid w:val="33332E1D"/>
    <w:rsid w:val="33547B5C"/>
    <w:rsid w:val="33980AB1"/>
    <w:rsid w:val="339E163D"/>
    <w:rsid w:val="344A7D4E"/>
    <w:rsid w:val="347D19AD"/>
    <w:rsid w:val="34C32719"/>
    <w:rsid w:val="34DB551B"/>
    <w:rsid w:val="34E44129"/>
    <w:rsid w:val="34E65643"/>
    <w:rsid w:val="35301D0A"/>
    <w:rsid w:val="3539753D"/>
    <w:rsid w:val="35771A99"/>
    <w:rsid w:val="361436EF"/>
    <w:rsid w:val="363D49D0"/>
    <w:rsid w:val="36462E68"/>
    <w:rsid w:val="36481456"/>
    <w:rsid w:val="367855DC"/>
    <w:rsid w:val="36E1650E"/>
    <w:rsid w:val="371A057C"/>
    <w:rsid w:val="37296A11"/>
    <w:rsid w:val="380534F8"/>
    <w:rsid w:val="388861A3"/>
    <w:rsid w:val="38964FE5"/>
    <w:rsid w:val="38DC340E"/>
    <w:rsid w:val="39AE222F"/>
    <w:rsid w:val="39C742BF"/>
    <w:rsid w:val="39E31BD5"/>
    <w:rsid w:val="39E84962"/>
    <w:rsid w:val="3A801D52"/>
    <w:rsid w:val="3AA60379"/>
    <w:rsid w:val="3ABE56C2"/>
    <w:rsid w:val="3ABF1B60"/>
    <w:rsid w:val="3B10121D"/>
    <w:rsid w:val="3BA23F27"/>
    <w:rsid w:val="3BB75F0B"/>
    <w:rsid w:val="3BF62074"/>
    <w:rsid w:val="3D2D4ECB"/>
    <w:rsid w:val="3D8E7046"/>
    <w:rsid w:val="3DB1150E"/>
    <w:rsid w:val="3DB35286"/>
    <w:rsid w:val="3DD85B51"/>
    <w:rsid w:val="3DEB1AF2"/>
    <w:rsid w:val="3E197344"/>
    <w:rsid w:val="3E583D12"/>
    <w:rsid w:val="3E80476D"/>
    <w:rsid w:val="3F213F33"/>
    <w:rsid w:val="3F8A1053"/>
    <w:rsid w:val="3FE536F1"/>
    <w:rsid w:val="40083152"/>
    <w:rsid w:val="40085CD0"/>
    <w:rsid w:val="4041301D"/>
    <w:rsid w:val="40A01E79"/>
    <w:rsid w:val="40A54574"/>
    <w:rsid w:val="40B00A76"/>
    <w:rsid w:val="40D75730"/>
    <w:rsid w:val="41026EB9"/>
    <w:rsid w:val="41A069E2"/>
    <w:rsid w:val="41C65889"/>
    <w:rsid w:val="420C36D5"/>
    <w:rsid w:val="424F27D8"/>
    <w:rsid w:val="42587944"/>
    <w:rsid w:val="428F32F8"/>
    <w:rsid w:val="42932E0A"/>
    <w:rsid w:val="43027055"/>
    <w:rsid w:val="43243278"/>
    <w:rsid w:val="43321E32"/>
    <w:rsid w:val="434B6345"/>
    <w:rsid w:val="435B56FC"/>
    <w:rsid w:val="43884ABF"/>
    <w:rsid w:val="43B86527"/>
    <w:rsid w:val="443E2F47"/>
    <w:rsid w:val="44462998"/>
    <w:rsid w:val="444E2219"/>
    <w:rsid w:val="44A00219"/>
    <w:rsid w:val="44E0180C"/>
    <w:rsid w:val="45367494"/>
    <w:rsid w:val="45877724"/>
    <w:rsid w:val="458C4D3B"/>
    <w:rsid w:val="467A2DE5"/>
    <w:rsid w:val="468A0B4E"/>
    <w:rsid w:val="470A03A4"/>
    <w:rsid w:val="47EA3F9B"/>
    <w:rsid w:val="47F46EAE"/>
    <w:rsid w:val="480204A1"/>
    <w:rsid w:val="48253225"/>
    <w:rsid w:val="48724017"/>
    <w:rsid w:val="48750F6C"/>
    <w:rsid w:val="488959B4"/>
    <w:rsid w:val="489E012A"/>
    <w:rsid w:val="48F20CD3"/>
    <w:rsid w:val="4916491B"/>
    <w:rsid w:val="492B4B3C"/>
    <w:rsid w:val="49557CE1"/>
    <w:rsid w:val="498A77E3"/>
    <w:rsid w:val="4A185620"/>
    <w:rsid w:val="4A6F4C2B"/>
    <w:rsid w:val="4B4B5449"/>
    <w:rsid w:val="4B636AF4"/>
    <w:rsid w:val="4B964C95"/>
    <w:rsid w:val="4B9C6945"/>
    <w:rsid w:val="4BD32502"/>
    <w:rsid w:val="4BDE3E16"/>
    <w:rsid w:val="4BDF7931"/>
    <w:rsid w:val="4C4874E2"/>
    <w:rsid w:val="4C4F261E"/>
    <w:rsid w:val="4D457729"/>
    <w:rsid w:val="4D477799"/>
    <w:rsid w:val="4DCF4AEB"/>
    <w:rsid w:val="4E031912"/>
    <w:rsid w:val="4E0D1159"/>
    <w:rsid w:val="4E5A52AA"/>
    <w:rsid w:val="4EE10E98"/>
    <w:rsid w:val="4EE97C85"/>
    <w:rsid w:val="4EF91787"/>
    <w:rsid w:val="4F0A4F22"/>
    <w:rsid w:val="4F203C16"/>
    <w:rsid w:val="4F593BBA"/>
    <w:rsid w:val="4F652159"/>
    <w:rsid w:val="4F797711"/>
    <w:rsid w:val="4F9A6216"/>
    <w:rsid w:val="4FE70DC0"/>
    <w:rsid w:val="502E581F"/>
    <w:rsid w:val="50CC06E1"/>
    <w:rsid w:val="50DD28EE"/>
    <w:rsid w:val="50F25C6E"/>
    <w:rsid w:val="50F46497"/>
    <w:rsid w:val="514328A4"/>
    <w:rsid w:val="515661FD"/>
    <w:rsid w:val="51667F78"/>
    <w:rsid w:val="51875472"/>
    <w:rsid w:val="51E12D86"/>
    <w:rsid w:val="51F577C4"/>
    <w:rsid w:val="521B080A"/>
    <w:rsid w:val="52257019"/>
    <w:rsid w:val="525B7628"/>
    <w:rsid w:val="52884ADC"/>
    <w:rsid w:val="52A80CDA"/>
    <w:rsid w:val="52DB4C0C"/>
    <w:rsid w:val="52E80B18"/>
    <w:rsid w:val="533212A1"/>
    <w:rsid w:val="53387E77"/>
    <w:rsid w:val="535D78A6"/>
    <w:rsid w:val="53EE72C6"/>
    <w:rsid w:val="53F91A55"/>
    <w:rsid w:val="54887ACF"/>
    <w:rsid w:val="548B2661"/>
    <w:rsid w:val="54AA722A"/>
    <w:rsid w:val="55A72A15"/>
    <w:rsid w:val="55BE4F5F"/>
    <w:rsid w:val="55C4407D"/>
    <w:rsid w:val="55E22755"/>
    <w:rsid w:val="56262642"/>
    <w:rsid w:val="569864A3"/>
    <w:rsid w:val="56A33BB2"/>
    <w:rsid w:val="57193C9E"/>
    <w:rsid w:val="571E5A0F"/>
    <w:rsid w:val="5737087F"/>
    <w:rsid w:val="57541431"/>
    <w:rsid w:val="575E405D"/>
    <w:rsid w:val="576C2775"/>
    <w:rsid w:val="577760C4"/>
    <w:rsid w:val="577A06B8"/>
    <w:rsid w:val="57A56C58"/>
    <w:rsid w:val="57E176C8"/>
    <w:rsid w:val="58150BC0"/>
    <w:rsid w:val="582758DB"/>
    <w:rsid w:val="586048F0"/>
    <w:rsid w:val="588549CE"/>
    <w:rsid w:val="58AE7DA1"/>
    <w:rsid w:val="58DD7D9A"/>
    <w:rsid w:val="593B5D04"/>
    <w:rsid w:val="59A0095D"/>
    <w:rsid w:val="59AA3C58"/>
    <w:rsid w:val="59AD4E28"/>
    <w:rsid w:val="5A857A98"/>
    <w:rsid w:val="5ABD1AA0"/>
    <w:rsid w:val="5AEC1D31"/>
    <w:rsid w:val="5B1D65E8"/>
    <w:rsid w:val="5B7025B1"/>
    <w:rsid w:val="5B975D90"/>
    <w:rsid w:val="5C8C341B"/>
    <w:rsid w:val="5CFA2BF4"/>
    <w:rsid w:val="5D2F2B1E"/>
    <w:rsid w:val="5D452588"/>
    <w:rsid w:val="5D487342"/>
    <w:rsid w:val="5D8436F8"/>
    <w:rsid w:val="5D867E6A"/>
    <w:rsid w:val="5D937351"/>
    <w:rsid w:val="5DBC1ADE"/>
    <w:rsid w:val="5DBF6BBD"/>
    <w:rsid w:val="5DDD390F"/>
    <w:rsid w:val="5DEF5A0F"/>
    <w:rsid w:val="5DF72B16"/>
    <w:rsid w:val="5ECA3D86"/>
    <w:rsid w:val="5EF74FC3"/>
    <w:rsid w:val="5F4D50E3"/>
    <w:rsid w:val="5F7A755A"/>
    <w:rsid w:val="5FF1258D"/>
    <w:rsid w:val="60303C60"/>
    <w:rsid w:val="604069F6"/>
    <w:rsid w:val="60994D8C"/>
    <w:rsid w:val="60A07495"/>
    <w:rsid w:val="61475B62"/>
    <w:rsid w:val="61585DF6"/>
    <w:rsid w:val="61882403"/>
    <w:rsid w:val="61E15FB7"/>
    <w:rsid w:val="626B0ACC"/>
    <w:rsid w:val="626F728B"/>
    <w:rsid w:val="62A0445B"/>
    <w:rsid w:val="62A42563"/>
    <w:rsid w:val="63210307"/>
    <w:rsid w:val="633B16F7"/>
    <w:rsid w:val="63417536"/>
    <w:rsid w:val="63613BBD"/>
    <w:rsid w:val="64132ACB"/>
    <w:rsid w:val="644F1AB3"/>
    <w:rsid w:val="64664551"/>
    <w:rsid w:val="649C7F73"/>
    <w:rsid w:val="64F56FCA"/>
    <w:rsid w:val="65287EBA"/>
    <w:rsid w:val="65FD2050"/>
    <w:rsid w:val="661512EF"/>
    <w:rsid w:val="66A12ED8"/>
    <w:rsid w:val="66A77D57"/>
    <w:rsid w:val="66C75014"/>
    <w:rsid w:val="66F05574"/>
    <w:rsid w:val="67140640"/>
    <w:rsid w:val="672B6AD9"/>
    <w:rsid w:val="67404CC7"/>
    <w:rsid w:val="67726944"/>
    <w:rsid w:val="677D5E3A"/>
    <w:rsid w:val="67CD5013"/>
    <w:rsid w:val="6810599B"/>
    <w:rsid w:val="68A11FFC"/>
    <w:rsid w:val="68CB0E27"/>
    <w:rsid w:val="68E42148"/>
    <w:rsid w:val="68F9171A"/>
    <w:rsid w:val="69210A4A"/>
    <w:rsid w:val="693A47A3"/>
    <w:rsid w:val="69655E7A"/>
    <w:rsid w:val="698C3D04"/>
    <w:rsid w:val="69B61D6F"/>
    <w:rsid w:val="69C1618A"/>
    <w:rsid w:val="69E2467A"/>
    <w:rsid w:val="6A48066B"/>
    <w:rsid w:val="6AB2229E"/>
    <w:rsid w:val="6AF92B4D"/>
    <w:rsid w:val="6AFB2A69"/>
    <w:rsid w:val="6B3E4F40"/>
    <w:rsid w:val="6B4C26F3"/>
    <w:rsid w:val="6B5F78E1"/>
    <w:rsid w:val="6B73407C"/>
    <w:rsid w:val="6C465631"/>
    <w:rsid w:val="6C4F2FBF"/>
    <w:rsid w:val="6C6400AB"/>
    <w:rsid w:val="6C8B590C"/>
    <w:rsid w:val="6CC10EBE"/>
    <w:rsid w:val="6CCD168F"/>
    <w:rsid w:val="6D343A27"/>
    <w:rsid w:val="6D8C327A"/>
    <w:rsid w:val="6DCF182B"/>
    <w:rsid w:val="6E57658A"/>
    <w:rsid w:val="6F435D4A"/>
    <w:rsid w:val="6F467459"/>
    <w:rsid w:val="6F712728"/>
    <w:rsid w:val="6FE43307"/>
    <w:rsid w:val="6FF06CE8"/>
    <w:rsid w:val="705B61C5"/>
    <w:rsid w:val="7073427E"/>
    <w:rsid w:val="7100051B"/>
    <w:rsid w:val="711A6DEF"/>
    <w:rsid w:val="71710FBA"/>
    <w:rsid w:val="71C468B3"/>
    <w:rsid w:val="71DA4A0E"/>
    <w:rsid w:val="722978DD"/>
    <w:rsid w:val="72566372"/>
    <w:rsid w:val="72B9552A"/>
    <w:rsid w:val="72F9402A"/>
    <w:rsid w:val="72FA0C86"/>
    <w:rsid w:val="73057479"/>
    <w:rsid w:val="733A4279"/>
    <w:rsid w:val="738F7CD8"/>
    <w:rsid w:val="74125240"/>
    <w:rsid w:val="745A5E80"/>
    <w:rsid w:val="74D06143"/>
    <w:rsid w:val="74F91C79"/>
    <w:rsid w:val="75027F3F"/>
    <w:rsid w:val="75284014"/>
    <w:rsid w:val="75D4756D"/>
    <w:rsid w:val="75E36E5B"/>
    <w:rsid w:val="76C67670"/>
    <w:rsid w:val="76D060BF"/>
    <w:rsid w:val="775744D2"/>
    <w:rsid w:val="77E24ED1"/>
    <w:rsid w:val="7826607A"/>
    <w:rsid w:val="782D76D6"/>
    <w:rsid w:val="789E730E"/>
    <w:rsid w:val="79042BD4"/>
    <w:rsid w:val="794A4D1D"/>
    <w:rsid w:val="795C442C"/>
    <w:rsid w:val="79ED32F3"/>
    <w:rsid w:val="7A450456"/>
    <w:rsid w:val="7AC516D6"/>
    <w:rsid w:val="7BBE5F26"/>
    <w:rsid w:val="7C0A7E41"/>
    <w:rsid w:val="7C176405"/>
    <w:rsid w:val="7C4857E1"/>
    <w:rsid w:val="7C5C1516"/>
    <w:rsid w:val="7C6F0276"/>
    <w:rsid w:val="7CF229CE"/>
    <w:rsid w:val="7CF93BBA"/>
    <w:rsid w:val="7D1D5170"/>
    <w:rsid w:val="7D425704"/>
    <w:rsid w:val="7D902913"/>
    <w:rsid w:val="7DA00113"/>
    <w:rsid w:val="7DBD2FDC"/>
    <w:rsid w:val="7DCA16EC"/>
    <w:rsid w:val="7E4F6A09"/>
    <w:rsid w:val="7E61605D"/>
    <w:rsid w:val="7E6B5FAF"/>
    <w:rsid w:val="7EC34622"/>
    <w:rsid w:val="7ED33846"/>
    <w:rsid w:val="7ED52EA3"/>
    <w:rsid w:val="7F2275BA"/>
    <w:rsid w:val="7F600889"/>
    <w:rsid w:val="7F632E2D"/>
    <w:rsid w:val="7FC62727"/>
    <w:rsid w:val="7FD400C7"/>
    <w:rsid w:val="7FF12376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无间隔1"/>
    <w:basedOn w:val="1"/>
    <w:qFormat/>
    <w:uiPriority w:val="1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character" w:customStyle="1" w:styleId="54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D79D-9E0A-4347-8294-0D8F9DCA0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1684</Words>
  <Characters>1845</Characters>
  <Lines>73</Lines>
  <Paragraphs>20</Paragraphs>
  <TotalTime>14</TotalTime>
  <ScaleCrop>false</ScaleCrop>
  <LinksUpToDate>false</LinksUpToDate>
  <CharactersWithSpaces>2237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2026-04-23T00:45:19Z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0772F2FE467A4EE18FD4971717E8E3EB_13</vt:lpwstr>
  </property>
</Properties>
</file>