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阀门</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4-10</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85</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13</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阀门</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85</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阀门一批</w:t>
      </w:r>
    </w:p>
    <w:tbl>
      <w:tblPr>
        <w:tblStyle w:val="18"/>
        <w:tblW w:w="68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512"/>
        <w:gridCol w:w="2520"/>
        <w:gridCol w:w="924"/>
        <w:gridCol w:w="973"/>
      </w:tblGrid>
      <w:tr w14:paraId="3634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6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4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0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5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8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50F0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2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J41H-16C DN100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3D99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6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8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7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J41H-16C DN32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5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07A8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5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C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F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Z41H-10C DN200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3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C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17B5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F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B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1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Z41H-10C DN250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6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C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3581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3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1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Z41H-10C DN300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2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3D65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2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8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A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DN350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4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0EC9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6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7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A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Q41F-10RL DN80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B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227F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8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E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Q41F-10C DN80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9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7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5849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D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0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DN100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2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B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61FE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9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8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D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DN150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4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1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43E8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6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DN200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6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D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7389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B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B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DN300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A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2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0B46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D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9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E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DN400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F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5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1FA8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2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DN450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D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7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14:paraId="3D65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C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9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电动闸阀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C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Z941H-16C DN125  电压220V</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2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1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bl>
    <w:p w14:paraId="51939E27">
      <w:pPr>
        <w:numPr>
          <w:ilvl w:val="0"/>
          <w:numId w:val="0"/>
        </w:num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13</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20</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20</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技术联系人：程先生13890273828</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bookmarkStart w:id="20" w:name="_GoBack"/>
      <w:bookmarkEnd w:id="20"/>
    </w:p>
    <w:p w14:paraId="096E983A">
      <w:pPr>
        <w:ind w:firstLine="3614" w:firstLineChars="1000"/>
        <w:rPr>
          <w:rFonts w:ascii="黑体" w:hAnsi="黑体" w:eastAsia="黑体"/>
          <w:b/>
          <w:sz w:val="36"/>
          <w:szCs w:val="36"/>
        </w:rPr>
      </w:pPr>
      <w:bookmarkStart w:id="2" w:name="_Hlk155791057"/>
      <w:bookmarkStart w:id="3" w:name="_Toc275019290"/>
      <w:bookmarkStart w:id="4" w:name="_Toc238552273"/>
      <w:bookmarkStart w:id="5" w:name="_Toc274236999"/>
      <w:bookmarkStart w:id="6" w:name="_Toc16684"/>
      <w:bookmarkStart w:id="7" w:name="_Toc268793030"/>
      <w:bookmarkStart w:id="8" w:name="_Toc275019684"/>
      <w:bookmarkStart w:id="9" w:name="_Toc274596702"/>
      <w:bookmarkStart w:id="10" w:name="_Toc318986166"/>
      <w:bookmarkStart w:id="11" w:name="_Toc275019836"/>
      <w:bookmarkStart w:id="12" w:name="_Toc303149804"/>
      <w:bookmarkStart w:id="13" w:name="_Toc238797630"/>
      <w:bookmarkStart w:id="14" w:name="_Toc275014947"/>
      <w:bookmarkStart w:id="15" w:name="_Toc269113527"/>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采购以下标的物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阀门</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阀门</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428"/>
        <w:gridCol w:w="2028"/>
        <w:gridCol w:w="972"/>
        <w:gridCol w:w="972"/>
        <w:gridCol w:w="972"/>
        <w:gridCol w:w="972"/>
        <w:gridCol w:w="972"/>
      </w:tblGrid>
      <w:tr w14:paraId="72B1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0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A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B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规格型号、材质、执行标准</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3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A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9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7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9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执行标准</w:t>
            </w:r>
          </w:p>
        </w:tc>
      </w:tr>
      <w:tr w14:paraId="0328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8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J41H-16C DN100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1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B7E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0A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EF81">
            <w:pPr>
              <w:rPr>
                <w:rFonts w:hint="eastAsia" w:ascii="宋体" w:hAnsi="宋体" w:eastAsia="宋体" w:cs="宋体"/>
                <w:i w:val="0"/>
                <w:iCs w:val="0"/>
                <w:color w:val="000000"/>
                <w:sz w:val="22"/>
                <w:szCs w:val="22"/>
                <w:u w:val="none"/>
              </w:rPr>
            </w:pPr>
          </w:p>
        </w:tc>
      </w:tr>
      <w:tr w14:paraId="2CE9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E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6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4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J41H-16C DN32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D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FE4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257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EE74">
            <w:pPr>
              <w:rPr>
                <w:rFonts w:hint="eastAsia" w:ascii="宋体" w:hAnsi="宋体" w:eastAsia="宋体" w:cs="宋体"/>
                <w:i w:val="0"/>
                <w:iCs w:val="0"/>
                <w:color w:val="000000"/>
                <w:sz w:val="22"/>
                <w:szCs w:val="22"/>
                <w:u w:val="none"/>
              </w:rPr>
            </w:pPr>
          </w:p>
        </w:tc>
      </w:tr>
      <w:tr w14:paraId="10E5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1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C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D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Z41H-10C DN200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B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B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D95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6DF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1192">
            <w:pPr>
              <w:rPr>
                <w:rFonts w:hint="eastAsia" w:ascii="宋体" w:hAnsi="宋体" w:eastAsia="宋体" w:cs="宋体"/>
                <w:i w:val="0"/>
                <w:iCs w:val="0"/>
                <w:color w:val="000000"/>
                <w:sz w:val="22"/>
                <w:szCs w:val="22"/>
                <w:u w:val="none"/>
              </w:rPr>
            </w:pPr>
          </w:p>
        </w:tc>
      </w:tr>
      <w:tr w14:paraId="7EF5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B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Z41H-10C DN250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6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9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204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3D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6C1B">
            <w:pPr>
              <w:rPr>
                <w:rFonts w:hint="eastAsia" w:ascii="宋体" w:hAnsi="宋体" w:eastAsia="宋体" w:cs="宋体"/>
                <w:i w:val="0"/>
                <w:iCs w:val="0"/>
                <w:color w:val="000000"/>
                <w:sz w:val="22"/>
                <w:szCs w:val="22"/>
                <w:u w:val="none"/>
              </w:rPr>
            </w:pPr>
          </w:p>
        </w:tc>
      </w:tr>
      <w:tr w14:paraId="5CBB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F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Z41H-10C DN300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E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E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94F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2F2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3673">
            <w:pPr>
              <w:rPr>
                <w:rFonts w:hint="eastAsia" w:ascii="宋体" w:hAnsi="宋体" w:eastAsia="宋体" w:cs="宋体"/>
                <w:i w:val="0"/>
                <w:iCs w:val="0"/>
                <w:color w:val="000000"/>
                <w:sz w:val="22"/>
                <w:szCs w:val="22"/>
                <w:u w:val="none"/>
              </w:rPr>
            </w:pPr>
          </w:p>
        </w:tc>
      </w:tr>
      <w:tr w14:paraId="0DA0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2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DN350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5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1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7DE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61E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64E5">
            <w:pPr>
              <w:rPr>
                <w:rFonts w:hint="eastAsia" w:ascii="宋体" w:hAnsi="宋体" w:eastAsia="宋体" w:cs="宋体"/>
                <w:i w:val="0"/>
                <w:iCs w:val="0"/>
                <w:color w:val="000000"/>
                <w:sz w:val="22"/>
                <w:szCs w:val="22"/>
                <w:u w:val="none"/>
              </w:rPr>
            </w:pPr>
          </w:p>
        </w:tc>
      </w:tr>
      <w:tr w14:paraId="7E74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4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不锈钢球阀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E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Q41F-10RL DN80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3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9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C1F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46A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0ACD">
            <w:pPr>
              <w:rPr>
                <w:rFonts w:hint="eastAsia" w:ascii="宋体" w:hAnsi="宋体" w:eastAsia="宋体" w:cs="宋体"/>
                <w:i w:val="0"/>
                <w:iCs w:val="0"/>
                <w:color w:val="000000"/>
                <w:sz w:val="22"/>
                <w:szCs w:val="22"/>
                <w:u w:val="none"/>
              </w:rPr>
            </w:pPr>
          </w:p>
        </w:tc>
      </w:tr>
      <w:tr w14:paraId="5228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6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6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Q41F-10C DN80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C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C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CF5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8AE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D0CC">
            <w:pPr>
              <w:rPr>
                <w:rFonts w:hint="eastAsia" w:ascii="宋体" w:hAnsi="宋体" w:eastAsia="宋体" w:cs="宋体"/>
                <w:i w:val="0"/>
                <w:iCs w:val="0"/>
                <w:color w:val="000000"/>
                <w:sz w:val="22"/>
                <w:szCs w:val="22"/>
                <w:u w:val="none"/>
              </w:rPr>
            </w:pPr>
          </w:p>
        </w:tc>
      </w:tr>
      <w:tr w14:paraId="3061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5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2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D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5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77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431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4C96">
            <w:pPr>
              <w:rPr>
                <w:rFonts w:hint="eastAsia" w:ascii="宋体" w:hAnsi="宋体" w:eastAsia="宋体" w:cs="宋体"/>
                <w:i w:val="0"/>
                <w:iCs w:val="0"/>
                <w:color w:val="000000"/>
                <w:sz w:val="22"/>
                <w:szCs w:val="22"/>
                <w:u w:val="none"/>
              </w:rPr>
            </w:pPr>
          </w:p>
        </w:tc>
      </w:tr>
      <w:tr w14:paraId="0618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0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2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8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DN150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3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376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82B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88A8">
            <w:pPr>
              <w:rPr>
                <w:rFonts w:hint="eastAsia" w:ascii="宋体" w:hAnsi="宋体" w:eastAsia="宋体" w:cs="宋体"/>
                <w:i w:val="0"/>
                <w:iCs w:val="0"/>
                <w:color w:val="000000"/>
                <w:sz w:val="22"/>
                <w:szCs w:val="22"/>
                <w:u w:val="none"/>
              </w:rPr>
            </w:pPr>
          </w:p>
        </w:tc>
      </w:tr>
      <w:tr w14:paraId="0EFC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4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4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1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C0D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69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32B3">
            <w:pPr>
              <w:rPr>
                <w:rFonts w:hint="eastAsia" w:ascii="宋体" w:hAnsi="宋体" w:eastAsia="宋体" w:cs="宋体"/>
                <w:i w:val="0"/>
                <w:iCs w:val="0"/>
                <w:color w:val="000000"/>
                <w:sz w:val="22"/>
                <w:szCs w:val="22"/>
                <w:u w:val="none"/>
              </w:rPr>
            </w:pPr>
          </w:p>
        </w:tc>
      </w:tr>
      <w:tr w14:paraId="5889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1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7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0A6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252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44B1">
            <w:pPr>
              <w:rPr>
                <w:rFonts w:hint="eastAsia" w:ascii="宋体" w:hAnsi="宋体" w:eastAsia="宋体" w:cs="宋体"/>
                <w:i w:val="0"/>
                <w:iCs w:val="0"/>
                <w:color w:val="000000"/>
                <w:sz w:val="22"/>
                <w:szCs w:val="22"/>
                <w:u w:val="none"/>
              </w:rPr>
            </w:pPr>
          </w:p>
        </w:tc>
      </w:tr>
      <w:tr w14:paraId="5D97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D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7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DN400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0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4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044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011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A804">
            <w:pPr>
              <w:rPr>
                <w:rFonts w:hint="eastAsia" w:ascii="宋体" w:hAnsi="宋体" w:eastAsia="宋体" w:cs="宋体"/>
                <w:i w:val="0"/>
                <w:iCs w:val="0"/>
                <w:color w:val="000000"/>
                <w:sz w:val="22"/>
                <w:szCs w:val="22"/>
                <w:u w:val="none"/>
              </w:rPr>
            </w:pPr>
          </w:p>
        </w:tc>
      </w:tr>
      <w:tr w14:paraId="3002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7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C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Z41H-16C DN450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5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6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937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2E4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470E">
            <w:pPr>
              <w:rPr>
                <w:rFonts w:hint="eastAsia" w:ascii="宋体" w:hAnsi="宋体" w:eastAsia="宋体" w:cs="宋体"/>
                <w:i w:val="0"/>
                <w:iCs w:val="0"/>
                <w:color w:val="000000"/>
                <w:sz w:val="22"/>
                <w:szCs w:val="22"/>
                <w:u w:val="none"/>
              </w:rPr>
            </w:pPr>
          </w:p>
        </w:tc>
      </w:tr>
      <w:tr w14:paraId="413E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2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A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电动闸阀</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Z941H-16C DN125  电压220V</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60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3C5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393F">
            <w:pPr>
              <w:rPr>
                <w:rFonts w:hint="eastAsia" w:ascii="宋体" w:hAnsi="宋体" w:eastAsia="宋体" w:cs="宋体"/>
                <w:i w:val="0"/>
                <w:iCs w:val="0"/>
                <w:color w:val="000000"/>
                <w:sz w:val="22"/>
                <w:szCs w:val="22"/>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9E36F3"/>
    <w:rsid w:val="05C017FD"/>
    <w:rsid w:val="05E31A55"/>
    <w:rsid w:val="0687687D"/>
    <w:rsid w:val="06F2489E"/>
    <w:rsid w:val="070268E6"/>
    <w:rsid w:val="071579E5"/>
    <w:rsid w:val="0739338B"/>
    <w:rsid w:val="07501427"/>
    <w:rsid w:val="076636BD"/>
    <w:rsid w:val="0947129D"/>
    <w:rsid w:val="094A00EB"/>
    <w:rsid w:val="094D7C7A"/>
    <w:rsid w:val="09710720"/>
    <w:rsid w:val="097507C7"/>
    <w:rsid w:val="097D22E2"/>
    <w:rsid w:val="09811B37"/>
    <w:rsid w:val="09AD2157"/>
    <w:rsid w:val="0A3C4D43"/>
    <w:rsid w:val="0A61159A"/>
    <w:rsid w:val="0A876025"/>
    <w:rsid w:val="0B6C6FDB"/>
    <w:rsid w:val="0C5F0F6E"/>
    <w:rsid w:val="0C98355E"/>
    <w:rsid w:val="0D004BE0"/>
    <w:rsid w:val="0D6635DC"/>
    <w:rsid w:val="0DDF2AFB"/>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3FC4407"/>
    <w:rsid w:val="140A7C09"/>
    <w:rsid w:val="143811B7"/>
    <w:rsid w:val="14676D7E"/>
    <w:rsid w:val="15916DD0"/>
    <w:rsid w:val="159D08C8"/>
    <w:rsid w:val="16413351"/>
    <w:rsid w:val="164E090F"/>
    <w:rsid w:val="16937390"/>
    <w:rsid w:val="172F5937"/>
    <w:rsid w:val="17660053"/>
    <w:rsid w:val="177C482D"/>
    <w:rsid w:val="17A761F4"/>
    <w:rsid w:val="190E59FE"/>
    <w:rsid w:val="19393A07"/>
    <w:rsid w:val="19510D51"/>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0E04B4F"/>
    <w:rsid w:val="21196F94"/>
    <w:rsid w:val="21263865"/>
    <w:rsid w:val="213571AA"/>
    <w:rsid w:val="217D645B"/>
    <w:rsid w:val="21843C8D"/>
    <w:rsid w:val="21F13065"/>
    <w:rsid w:val="229900B1"/>
    <w:rsid w:val="22A07CA6"/>
    <w:rsid w:val="237F15B6"/>
    <w:rsid w:val="23F0116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980AB1"/>
    <w:rsid w:val="33CF6FEA"/>
    <w:rsid w:val="344A7D4E"/>
    <w:rsid w:val="347D19AD"/>
    <w:rsid w:val="34917CC1"/>
    <w:rsid w:val="34C32719"/>
    <w:rsid w:val="34E44129"/>
    <w:rsid w:val="34E65643"/>
    <w:rsid w:val="3539753D"/>
    <w:rsid w:val="35441312"/>
    <w:rsid w:val="35771A99"/>
    <w:rsid w:val="361436EF"/>
    <w:rsid w:val="363D49D0"/>
    <w:rsid w:val="36481456"/>
    <w:rsid w:val="3660246F"/>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C8E32D2"/>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165912"/>
    <w:rsid w:val="5E2034D2"/>
    <w:rsid w:val="5ECA3D86"/>
    <w:rsid w:val="5F1D47FE"/>
    <w:rsid w:val="5F434264"/>
    <w:rsid w:val="5F4D50E3"/>
    <w:rsid w:val="5FC57A79"/>
    <w:rsid w:val="601479AF"/>
    <w:rsid w:val="60303C60"/>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81342B"/>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FB2A69"/>
    <w:rsid w:val="6B3E4F40"/>
    <w:rsid w:val="6B4C26F3"/>
    <w:rsid w:val="6B73407C"/>
    <w:rsid w:val="6C465631"/>
    <w:rsid w:val="6C6400AB"/>
    <w:rsid w:val="6C8B590C"/>
    <w:rsid w:val="6CA5206F"/>
    <w:rsid w:val="6D343A27"/>
    <w:rsid w:val="6D920165"/>
    <w:rsid w:val="6DA43955"/>
    <w:rsid w:val="6DCF182B"/>
    <w:rsid w:val="6F712728"/>
    <w:rsid w:val="6FF06CE8"/>
    <w:rsid w:val="716360A0"/>
    <w:rsid w:val="71710FBA"/>
    <w:rsid w:val="71D63C28"/>
    <w:rsid w:val="72804F14"/>
    <w:rsid w:val="72F9402A"/>
    <w:rsid w:val="733A4279"/>
    <w:rsid w:val="74125240"/>
    <w:rsid w:val="74BF5CE3"/>
    <w:rsid w:val="74D06143"/>
    <w:rsid w:val="75284014"/>
    <w:rsid w:val="754D1EC7"/>
    <w:rsid w:val="75D4756D"/>
    <w:rsid w:val="75E36E5B"/>
    <w:rsid w:val="765E152C"/>
    <w:rsid w:val="768C6099"/>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BE5F26"/>
    <w:rsid w:val="7BC6400F"/>
    <w:rsid w:val="7D8E0074"/>
    <w:rsid w:val="7D902913"/>
    <w:rsid w:val="7DA00113"/>
    <w:rsid w:val="7E6B5FAF"/>
    <w:rsid w:val="7EAF6DC9"/>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4142</Words>
  <Characters>4719</Characters>
  <Lines>48</Lines>
  <Paragraphs>13</Paragraphs>
  <TotalTime>22</TotalTime>
  <ScaleCrop>false</ScaleCrop>
  <LinksUpToDate>false</LinksUpToDate>
  <CharactersWithSpaces>5897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2026-04-13T01:07:56Z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