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弯头、不锈钢法兰</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026-HW021</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弯头、不锈钢法兰</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编号：YS-GKBX-2026-HW021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弯头、不锈钢法兰</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弯头22件、不锈钢法兰3件</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595"/>
        <w:gridCol w:w="3096"/>
        <w:gridCol w:w="1608"/>
        <w:gridCol w:w="1454"/>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595"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3096"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608"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件</w:t>
            </w:r>
            <w:r>
              <w:rPr>
                <w:rFonts w:hint="eastAsia" w:ascii="黑体" w:hAnsi="黑体" w:eastAsia="黑体" w:cs="黑体"/>
                <w:kern w:val="0"/>
                <w:sz w:val="28"/>
                <w:szCs w:val="28"/>
              </w:rPr>
              <w:t>）</w:t>
            </w:r>
          </w:p>
        </w:tc>
        <w:tc>
          <w:tcPr>
            <w:tcW w:w="1454"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595" w:type="dxa"/>
            <w:noWrap w:val="0"/>
            <w:vAlign w:val="center"/>
          </w:tcPr>
          <w:p w14:paraId="6C832622">
            <w:pPr>
              <w:keepNext w:val="0"/>
              <w:keepLines w:val="0"/>
              <w:widowControl/>
              <w:suppressLineNumbers w:val="0"/>
              <w:jc w:val="left"/>
              <w:textAlignment w:val="center"/>
              <w:rPr>
                <w:rFonts w:hint="default"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弯头</w:t>
            </w:r>
          </w:p>
        </w:tc>
        <w:tc>
          <w:tcPr>
            <w:tcW w:w="3096" w:type="dxa"/>
            <w:shd w:val="clear" w:color="auto" w:fill="auto"/>
            <w:noWrap w:val="0"/>
            <w:vAlign w:val="center"/>
          </w:tcPr>
          <w:p w14:paraId="2945A292">
            <w:pPr>
              <w:keepNext w:val="0"/>
              <w:keepLines w:val="0"/>
              <w:widowControl/>
              <w:suppressLineNumbers w:val="0"/>
              <w:jc w:val="left"/>
              <w:textAlignment w:val="center"/>
              <w:rPr>
                <w:rFonts w:hint="default"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φ1020*10 90° R=1.0D 材质：Q235B</w:t>
            </w:r>
          </w:p>
        </w:tc>
        <w:tc>
          <w:tcPr>
            <w:tcW w:w="1608" w:type="dxa"/>
            <w:noWrap w:val="0"/>
            <w:vAlign w:val="center"/>
          </w:tcPr>
          <w:p w14:paraId="6A79436D">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22</w:t>
            </w:r>
          </w:p>
        </w:tc>
        <w:tc>
          <w:tcPr>
            <w:tcW w:w="1454" w:type="dxa"/>
            <w:shd w:val="clear" w:color="auto" w:fill="auto"/>
            <w:noWrap w:val="0"/>
            <w:vAlign w:val="center"/>
          </w:tcPr>
          <w:p w14:paraId="14F156F5">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p>
        </w:tc>
      </w:tr>
      <w:tr w14:paraId="46EB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0D8A5A82">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2595" w:type="dxa"/>
            <w:noWrap w:val="0"/>
            <w:vAlign w:val="center"/>
          </w:tcPr>
          <w:p w14:paraId="1DD896E9">
            <w:pPr>
              <w:keepNext w:val="0"/>
              <w:keepLines w:val="0"/>
              <w:widowControl/>
              <w:suppressLineNumbers w:val="0"/>
              <w:jc w:val="left"/>
              <w:textAlignment w:val="center"/>
              <w:rPr>
                <w:rFonts w:hint="eastAsia"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不锈钢法兰</w:t>
            </w:r>
          </w:p>
        </w:tc>
        <w:tc>
          <w:tcPr>
            <w:tcW w:w="3096" w:type="dxa"/>
            <w:shd w:val="clear" w:color="auto" w:fill="auto"/>
            <w:noWrap w:val="0"/>
            <w:vAlign w:val="center"/>
          </w:tcPr>
          <w:p w14:paraId="0F0677A3">
            <w:pPr>
              <w:keepNext w:val="0"/>
              <w:keepLines w:val="0"/>
              <w:widowControl/>
              <w:suppressLineNumbers w:val="0"/>
              <w:jc w:val="left"/>
              <w:textAlignment w:val="center"/>
              <w:rPr>
                <w:rFonts w:hint="eastAsia"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DN500-PN6 PL RFⅡ 材质：S31603</w:t>
            </w:r>
          </w:p>
        </w:tc>
        <w:tc>
          <w:tcPr>
            <w:tcW w:w="1608" w:type="dxa"/>
            <w:noWrap w:val="0"/>
            <w:vAlign w:val="center"/>
          </w:tcPr>
          <w:p w14:paraId="1BE28672">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w:t>
            </w:r>
          </w:p>
        </w:tc>
        <w:tc>
          <w:tcPr>
            <w:tcW w:w="1454" w:type="dxa"/>
            <w:shd w:val="clear" w:color="auto" w:fill="auto"/>
            <w:noWrap w:val="0"/>
            <w:vAlign w:val="center"/>
          </w:tcPr>
          <w:p w14:paraId="3CB02CFB">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p>
        </w:tc>
      </w:tr>
    </w:tbl>
    <w:p w14:paraId="499D4AD0">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获取方式为通过四川宏达股份有限公司集采中心招投标平套(以下简称“ 宏达股份集采平套”）（http://jc.sichuanhongda.com/）进行注册并登录后参与投标并下载比选文件。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递交截止时间：2026年4月8日 12时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宏达股份集采平套</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本项目采用符合响应性条款后的最低投标价法。</w:t>
      </w:r>
      <w:bookmarkStart w:id="20" w:name="_GoBack"/>
      <w:bookmarkEnd w:id="20"/>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8793030"/>
      <w:bookmarkStart w:id="4" w:name="_Toc275014947"/>
      <w:bookmarkStart w:id="5" w:name="_Toc274236999"/>
      <w:bookmarkStart w:id="6" w:name="_Toc238797630"/>
      <w:bookmarkStart w:id="7" w:name="_Toc275019290"/>
      <w:bookmarkStart w:id="8" w:name="_Toc303149804"/>
      <w:bookmarkStart w:id="9" w:name="_Toc274596702"/>
      <w:bookmarkStart w:id="10" w:name="_Toc16684"/>
      <w:bookmarkStart w:id="11" w:name="_Toc275019684"/>
      <w:bookmarkStart w:id="12" w:name="_Toc238552273"/>
      <w:bookmarkStart w:id="13" w:name="_Toc275019836"/>
      <w:bookmarkStart w:id="14" w:name="_Toc318986166"/>
      <w:bookmarkStart w:id="15" w:name="_Toc269113527"/>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弯头、不锈钢法兰</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弯头、不锈钢法兰</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7628FD3">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Theme="minorEastAsia" w:cstheme="minorBidi"/>
          <w:color w:val="auto"/>
          <w:kern w:val="2"/>
          <w:sz w:val="24"/>
          <w:szCs w:val="24"/>
          <w:u w:val="single"/>
          <w:lang w:val="en-US" w:eastAsia="zh-CN" w:bidi="ar-SA"/>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898"/>
        <w:gridCol w:w="3360"/>
        <w:gridCol w:w="1702"/>
        <w:gridCol w:w="1793"/>
      </w:tblGrid>
      <w:tr w14:paraId="2D71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 w:type="dxa"/>
            <w:noWrap w:val="0"/>
            <w:vAlign w:val="center"/>
          </w:tcPr>
          <w:p w14:paraId="3062880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1898" w:type="dxa"/>
            <w:noWrap w:val="0"/>
            <w:vAlign w:val="center"/>
          </w:tcPr>
          <w:p w14:paraId="6649EFF2">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3360" w:type="dxa"/>
            <w:noWrap w:val="0"/>
            <w:vAlign w:val="center"/>
          </w:tcPr>
          <w:p w14:paraId="7EB13132">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702" w:type="dxa"/>
            <w:noWrap w:val="0"/>
            <w:vAlign w:val="center"/>
          </w:tcPr>
          <w:p w14:paraId="1CCE4ECF">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件</w:t>
            </w:r>
            <w:r>
              <w:rPr>
                <w:rFonts w:hint="eastAsia" w:ascii="黑体" w:hAnsi="黑体" w:eastAsia="黑体" w:cs="黑体"/>
                <w:kern w:val="0"/>
                <w:sz w:val="28"/>
                <w:szCs w:val="28"/>
              </w:rPr>
              <w:t>）</w:t>
            </w:r>
          </w:p>
        </w:tc>
        <w:tc>
          <w:tcPr>
            <w:tcW w:w="1793" w:type="dxa"/>
            <w:shd w:val="clear" w:color="auto" w:fill="auto"/>
            <w:noWrap w:val="0"/>
            <w:vAlign w:val="center"/>
          </w:tcPr>
          <w:p w14:paraId="071AACB0">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报价（元/件）</w:t>
            </w:r>
          </w:p>
        </w:tc>
      </w:tr>
      <w:tr w14:paraId="3BDB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35DEE98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898" w:type="dxa"/>
            <w:noWrap w:val="0"/>
            <w:vAlign w:val="center"/>
          </w:tcPr>
          <w:p w14:paraId="063D7C42">
            <w:pPr>
              <w:keepNext w:val="0"/>
              <w:keepLines w:val="0"/>
              <w:widowControl/>
              <w:suppressLineNumbers w:val="0"/>
              <w:jc w:val="left"/>
              <w:textAlignment w:val="center"/>
              <w:rPr>
                <w:rFonts w:hint="default"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弯头</w:t>
            </w:r>
          </w:p>
        </w:tc>
        <w:tc>
          <w:tcPr>
            <w:tcW w:w="3360" w:type="dxa"/>
            <w:shd w:val="clear" w:color="auto" w:fill="auto"/>
            <w:noWrap w:val="0"/>
            <w:vAlign w:val="center"/>
          </w:tcPr>
          <w:p w14:paraId="307BE2F7">
            <w:pPr>
              <w:keepNext w:val="0"/>
              <w:keepLines w:val="0"/>
              <w:widowControl/>
              <w:suppressLineNumbers w:val="0"/>
              <w:jc w:val="left"/>
              <w:textAlignment w:val="center"/>
              <w:rPr>
                <w:rFonts w:hint="default"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φ1020*10 90° R=1.0D 材质：Q235B</w:t>
            </w:r>
          </w:p>
        </w:tc>
        <w:tc>
          <w:tcPr>
            <w:tcW w:w="1702" w:type="dxa"/>
            <w:noWrap w:val="0"/>
            <w:vAlign w:val="center"/>
          </w:tcPr>
          <w:p w14:paraId="1FD81877">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22</w:t>
            </w:r>
          </w:p>
        </w:tc>
        <w:tc>
          <w:tcPr>
            <w:tcW w:w="1793" w:type="dxa"/>
            <w:shd w:val="clear" w:color="auto" w:fill="auto"/>
            <w:noWrap w:val="0"/>
            <w:vAlign w:val="center"/>
          </w:tcPr>
          <w:p w14:paraId="72A8CE58">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p>
        </w:tc>
      </w:tr>
      <w:tr w14:paraId="0C09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02796CBF">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1898" w:type="dxa"/>
            <w:noWrap w:val="0"/>
            <w:vAlign w:val="center"/>
          </w:tcPr>
          <w:p w14:paraId="282FFE51">
            <w:pPr>
              <w:keepNext w:val="0"/>
              <w:keepLines w:val="0"/>
              <w:widowControl/>
              <w:suppressLineNumbers w:val="0"/>
              <w:jc w:val="left"/>
              <w:textAlignment w:val="center"/>
              <w:rPr>
                <w:rFonts w:hint="eastAsia"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不锈钢法兰</w:t>
            </w:r>
          </w:p>
        </w:tc>
        <w:tc>
          <w:tcPr>
            <w:tcW w:w="3360" w:type="dxa"/>
            <w:shd w:val="clear" w:color="auto" w:fill="auto"/>
            <w:noWrap w:val="0"/>
            <w:vAlign w:val="center"/>
          </w:tcPr>
          <w:p w14:paraId="10691EFA">
            <w:pPr>
              <w:keepNext w:val="0"/>
              <w:keepLines w:val="0"/>
              <w:widowControl/>
              <w:suppressLineNumbers w:val="0"/>
              <w:jc w:val="left"/>
              <w:textAlignment w:val="center"/>
              <w:rPr>
                <w:rFonts w:hint="eastAsia" w:ascii="黑体" w:hAnsi="黑体" w:eastAsia="黑体" w:cs="黑体"/>
                <w:kern w:val="0"/>
                <w:sz w:val="28"/>
                <w:szCs w:val="28"/>
                <w:lang w:val="en-US" w:eastAsia="zh-CN"/>
              </w:rPr>
            </w:pPr>
            <w:r>
              <w:rPr>
                <w:rFonts w:hint="eastAsia" w:ascii="微软雅黑" w:hAnsi="微软雅黑" w:eastAsia="微软雅黑" w:cs="微软雅黑"/>
                <w:i w:val="0"/>
                <w:iCs w:val="0"/>
                <w:color w:val="000000"/>
                <w:kern w:val="0"/>
                <w:sz w:val="24"/>
                <w:szCs w:val="24"/>
                <w:u w:val="none"/>
                <w:lang w:val="en-US" w:eastAsia="zh-CN" w:bidi="ar"/>
              </w:rPr>
              <w:t>DN500-PN6 PL RFⅡ 材质：S31603</w:t>
            </w:r>
          </w:p>
        </w:tc>
        <w:tc>
          <w:tcPr>
            <w:tcW w:w="1702" w:type="dxa"/>
            <w:noWrap w:val="0"/>
            <w:vAlign w:val="center"/>
          </w:tcPr>
          <w:p w14:paraId="492C9F0F">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w:t>
            </w:r>
          </w:p>
        </w:tc>
        <w:tc>
          <w:tcPr>
            <w:tcW w:w="1793" w:type="dxa"/>
            <w:shd w:val="clear" w:color="auto" w:fill="auto"/>
            <w:noWrap w:val="0"/>
            <w:vAlign w:val="center"/>
          </w:tcPr>
          <w:p w14:paraId="74672196">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p>
        </w:tc>
      </w:tr>
    </w:tbl>
    <w:p w14:paraId="26878490">
      <w:pPr>
        <w:pStyle w:val="52"/>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0AC4AB7"/>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2F125A6F"/>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CA63F62"/>
    <w:rsid w:val="3D2D4ECB"/>
    <w:rsid w:val="3D8E7046"/>
    <w:rsid w:val="3DB1150E"/>
    <w:rsid w:val="3DD85B51"/>
    <w:rsid w:val="3E197344"/>
    <w:rsid w:val="3E583D12"/>
    <w:rsid w:val="3E6545AB"/>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8567C1"/>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084CB6"/>
    <w:rsid w:val="6C465631"/>
    <w:rsid w:val="6C6400AB"/>
    <w:rsid w:val="6C8B590C"/>
    <w:rsid w:val="6C980533"/>
    <w:rsid w:val="6D343A27"/>
    <w:rsid w:val="6D5E0F49"/>
    <w:rsid w:val="6D9F199B"/>
    <w:rsid w:val="6DB261F4"/>
    <w:rsid w:val="6DCF182B"/>
    <w:rsid w:val="6E78166A"/>
    <w:rsid w:val="6F712728"/>
    <w:rsid w:val="6FF06CE8"/>
    <w:rsid w:val="704D2789"/>
    <w:rsid w:val="71710FBA"/>
    <w:rsid w:val="71C93849"/>
    <w:rsid w:val="72671CB3"/>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3560</Words>
  <Characters>3808</Characters>
  <Lines>16</Lines>
  <Paragraphs>4</Paragraphs>
  <TotalTime>0</TotalTime>
  <ScaleCrop>false</ScaleCrop>
  <LinksUpToDate>false</LinksUpToDate>
  <CharactersWithSpaces>4946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2026-03-31T07:00:44Z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