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F528C24">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电力电缆、控制电缆采购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33D068A5">
      <w:pPr>
        <w:pStyle w:val="11"/>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编号：YS-GKBX-2026-HW51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电力电缆、控制电缆采购比选文件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编号：YS-GKBX-2025-HW51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四川宏达股份有限公司什邡磷化工分公司因技改需要，需采购电力电缆、控制电缆1批，本着“公开、公平、公正”的原则，现对该标的物进行公开比选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电力电缆、控制电缆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555"/>
        <w:gridCol w:w="3820"/>
        <w:gridCol w:w="1010"/>
        <w:gridCol w:w="800"/>
        <w:gridCol w:w="159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55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82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101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8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595"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0A5A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79EA855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555" w:type="dxa"/>
            <w:tcBorders>
              <w:left w:val="single" w:color="auto" w:sz="4" w:space="0"/>
            </w:tcBorders>
            <w:shd w:val="clear"/>
            <w:noWrap w:val="0"/>
            <w:vAlign w:val="center"/>
          </w:tcPr>
          <w:p w14:paraId="78AA140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控制电缆</w:t>
            </w:r>
          </w:p>
        </w:tc>
        <w:tc>
          <w:tcPr>
            <w:tcW w:w="3820" w:type="dxa"/>
            <w:tcBorders>
              <w:right w:val="single" w:color="auto" w:sz="4" w:space="0"/>
            </w:tcBorders>
            <w:shd w:val="clear"/>
            <w:noWrap w:val="0"/>
            <w:vAlign w:val="center"/>
          </w:tcPr>
          <w:p w14:paraId="2603EE7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ZR-KVVP2-22 0.45KV/0.75KV </w:t>
            </w:r>
          </w:p>
          <w:p w14:paraId="7A9F04B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 7×1.5mm2     </w:t>
            </w:r>
          </w:p>
        </w:tc>
        <w:tc>
          <w:tcPr>
            <w:tcW w:w="1010" w:type="dxa"/>
            <w:tcBorders>
              <w:left w:val="single" w:color="auto" w:sz="4" w:space="0"/>
              <w:right w:val="single" w:color="auto" w:sz="4" w:space="0"/>
            </w:tcBorders>
            <w:shd w:val="clear"/>
            <w:noWrap w:val="0"/>
            <w:vAlign w:val="center"/>
          </w:tcPr>
          <w:p w14:paraId="3A9F476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1000</w:t>
            </w:r>
          </w:p>
        </w:tc>
        <w:tc>
          <w:tcPr>
            <w:tcW w:w="800" w:type="dxa"/>
            <w:tcBorders>
              <w:top w:val="single" w:color="auto" w:sz="4" w:space="0"/>
              <w:bottom w:val="single" w:color="auto" w:sz="4" w:space="0"/>
              <w:right w:val="single" w:color="auto" w:sz="4" w:space="0"/>
            </w:tcBorders>
            <w:shd w:val="clear"/>
            <w:noWrap w:val="0"/>
            <w:vAlign w:val="center"/>
          </w:tcPr>
          <w:p w14:paraId="0231B82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restart"/>
            <w:tcBorders>
              <w:top w:val="single" w:color="auto" w:sz="4" w:space="0"/>
              <w:right w:val="single" w:color="auto" w:sz="4" w:space="0"/>
            </w:tcBorders>
            <w:noWrap w:val="0"/>
            <w:vAlign w:val="center"/>
          </w:tcPr>
          <w:p w14:paraId="6EC9797C">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电解锌冶炼系统设备更新项目</w:t>
            </w:r>
          </w:p>
        </w:tc>
      </w:tr>
      <w:tr w14:paraId="207A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570CB3A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555" w:type="dxa"/>
            <w:tcBorders>
              <w:left w:val="single" w:color="auto" w:sz="4" w:space="0"/>
            </w:tcBorders>
            <w:shd w:val="clear"/>
            <w:noWrap w:val="0"/>
            <w:vAlign w:val="center"/>
          </w:tcPr>
          <w:p w14:paraId="2ED2794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控制电缆</w:t>
            </w:r>
          </w:p>
        </w:tc>
        <w:tc>
          <w:tcPr>
            <w:tcW w:w="3820" w:type="dxa"/>
            <w:tcBorders>
              <w:right w:val="single" w:color="auto" w:sz="4" w:space="0"/>
            </w:tcBorders>
            <w:shd w:val="clear"/>
            <w:noWrap w:val="0"/>
            <w:vAlign w:val="center"/>
          </w:tcPr>
          <w:p w14:paraId="656EB41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ZR-KVVP2-22 0.45KV/0.75KV </w:t>
            </w:r>
          </w:p>
          <w:p w14:paraId="5D7CE27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5×2.5mm2    </w:t>
            </w:r>
          </w:p>
        </w:tc>
        <w:tc>
          <w:tcPr>
            <w:tcW w:w="1010" w:type="dxa"/>
            <w:tcBorders>
              <w:left w:val="single" w:color="auto" w:sz="4" w:space="0"/>
              <w:right w:val="single" w:color="auto" w:sz="4" w:space="0"/>
            </w:tcBorders>
            <w:shd w:val="clear"/>
            <w:noWrap w:val="0"/>
            <w:vAlign w:val="center"/>
          </w:tcPr>
          <w:p w14:paraId="5FA763F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200</w:t>
            </w:r>
          </w:p>
        </w:tc>
        <w:tc>
          <w:tcPr>
            <w:tcW w:w="800" w:type="dxa"/>
            <w:tcBorders>
              <w:top w:val="single" w:color="auto" w:sz="4" w:space="0"/>
              <w:bottom w:val="single" w:color="auto" w:sz="4" w:space="0"/>
              <w:right w:val="single" w:color="auto" w:sz="4" w:space="0"/>
            </w:tcBorders>
            <w:noWrap w:val="0"/>
            <w:vAlign w:val="center"/>
          </w:tcPr>
          <w:p w14:paraId="4015806A">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continue"/>
            <w:tcBorders>
              <w:right w:val="single" w:color="auto" w:sz="4" w:space="0"/>
            </w:tcBorders>
            <w:noWrap w:val="0"/>
            <w:vAlign w:val="center"/>
          </w:tcPr>
          <w:p w14:paraId="2DE2CB7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3090F2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555"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电力电缆</w:t>
            </w:r>
          </w:p>
        </w:tc>
        <w:tc>
          <w:tcPr>
            <w:tcW w:w="382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YJV-0.6/1KV 3×6mm2+1×4mm2  </w:t>
            </w:r>
          </w:p>
        </w:tc>
        <w:tc>
          <w:tcPr>
            <w:tcW w:w="101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300</w:t>
            </w:r>
          </w:p>
        </w:tc>
        <w:tc>
          <w:tcPr>
            <w:tcW w:w="80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continue"/>
            <w:tcBorders>
              <w:right w:val="single" w:color="auto" w:sz="4" w:space="0"/>
            </w:tcBorders>
            <w:noWrap w:val="0"/>
            <w:vAlign w:val="center"/>
          </w:tcPr>
          <w:p w14:paraId="1EFBD48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555" w:type="dxa"/>
            <w:tcBorders>
              <w:left w:val="single" w:color="auto" w:sz="4" w:space="0"/>
            </w:tcBorders>
            <w:noWrap w:val="0"/>
            <w:vAlign w:val="center"/>
          </w:tcPr>
          <w:p w14:paraId="517EC63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电力电缆</w:t>
            </w:r>
          </w:p>
        </w:tc>
        <w:tc>
          <w:tcPr>
            <w:tcW w:w="3820" w:type="dxa"/>
            <w:tcBorders>
              <w:right w:val="single" w:color="auto" w:sz="4" w:space="0"/>
            </w:tcBorders>
            <w:noWrap w:val="0"/>
            <w:vAlign w:val="center"/>
          </w:tcPr>
          <w:p w14:paraId="1580231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YJV-0.6/1KV 3×35mm2+1×16mm2    </w:t>
            </w:r>
          </w:p>
        </w:tc>
        <w:tc>
          <w:tcPr>
            <w:tcW w:w="101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500</w:t>
            </w:r>
          </w:p>
        </w:tc>
        <w:tc>
          <w:tcPr>
            <w:tcW w:w="80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continue"/>
            <w:tcBorders>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555" w:type="dxa"/>
            <w:tcBorders>
              <w:left w:val="single" w:color="auto" w:sz="4" w:space="0"/>
            </w:tcBorders>
            <w:noWrap w:val="0"/>
            <w:vAlign w:val="center"/>
          </w:tcPr>
          <w:p w14:paraId="1DDFAD6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电力电缆</w:t>
            </w:r>
          </w:p>
        </w:tc>
        <w:tc>
          <w:tcPr>
            <w:tcW w:w="3820" w:type="dxa"/>
            <w:tcBorders>
              <w:right w:val="single" w:color="auto" w:sz="4" w:space="0"/>
            </w:tcBorders>
            <w:noWrap w:val="0"/>
            <w:vAlign w:val="center"/>
          </w:tcPr>
          <w:p w14:paraId="207A3E1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YJV0.6/1KV 5×4mm2  </w:t>
            </w:r>
          </w:p>
        </w:tc>
        <w:tc>
          <w:tcPr>
            <w:tcW w:w="101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100</w:t>
            </w:r>
          </w:p>
        </w:tc>
        <w:tc>
          <w:tcPr>
            <w:tcW w:w="80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continue"/>
            <w:tcBorders>
              <w:right w:val="single" w:color="auto" w:sz="4" w:space="0"/>
            </w:tcBorders>
            <w:noWrap w:val="0"/>
            <w:vAlign w:val="center"/>
          </w:tcPr>
          <w:p w14:paraId="5EAE19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6AE3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C4EB9B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555" w:type="dxa"/>
            <w:tcBorders>
              <w:left w:val="single" w:color="auto" w:sz="4" w:space="0"/>
            </w:tcBorders>
            <w:noWrap w:val="0"/>
            <w:vAlign w:val="center"/>
          </w:tcPr>
          <w:p w14:paraId="06771D1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护套软电缆</w:t>
            </w:r>
          </w:p>
        </w:tc>
        <w:tc>
          <w:tcPr>
            <w:tcW w:w="3820" w:type="dxa"/>
            <w:tcBorders>
              <w:right w:val="single" w:color="auto" w:sz="4" w:space="0"/>
            </w:tcBorders>
            <w:noWrap w:val="0"/>
            <w:vAlign w:val="center"/>
          </w:tcPr>
          <w:p w14:paraId="3F01330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RVVP 4×0.75</w:t>
            </w:r>
          </w:p>
        </w:tc>
        <w:tc>
          <w:tcPr>
            <w:tcW w:w="1010" w:type="dxa"/>
            <w:tcBorders>
              <w:left w:val="single" w:color="auto" w:sz="4" w:space="0"/>
              <w:right w:val="single" w:color="auto" w:sz="4" w:space="0"/>
            </w:tcBorders>
            <w:noWrap w:val="0"/>
            <w:vAlign w:val="center"/>
          </w:tcPr>
          <w:p w14:paraId="482D423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1500</w:t>
            </w:r>
          </w:p>
        </w:tc>
        <w:tc>
          <w:tcPr>
            <w:tcW w:w="800" w:type="dxa"/>
            <w:tcBorders>
              <w:top w:val="single" w:color="auto" w:sz="4" w:space="0"/>
              <w:bottom w:val="single" w:color="auto" w:sz="4" w:space="0"/>
              <w:right w:val="single" w:color="auto" w:sz="4" w:space="0"/>
            </w:tcBorders>
            <w:noWrap w:val="0"/>
            <w:vAlign w:val="center"/>
          </w:tcPr>
          <w:p w14:paraId="5C371B5A">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vMerge w:val="continue"/>
            <w:tcBorders>
              <w:right w:val="single" w:color="auto" w:sz="4" w:space="0"/>
            </w:tcBorders>
            <w:noWrap w:val="0"/>
            <w:vAlign w:val="center"/>
          </w:tcPr>
          <w:p w14:paraId="1E300AD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B9E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2240" w:type="dxa"/>
            <w:gridSpan w:val="2"/>
            <w:noWrap w:val="0"/>
            <w:vAlign w:val="center"/>
          </w:tcPr>
          <w:p w14:paraId="44179717">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数量合计</w:t>
            </w:r>
          </w:p>
        </w:tc>
        <w:tc>
          <w:tcPr>
            <w:tcW w:w="3820" w:type="dxa"/>
            <w:tcBorders>
              <w:right w:val="single" w:color="auto" w:sz="4" w:space="0"/>
            </w:tcBorders>
            <w:noWrap w:val="0"/>
            <w:vAlign w:val="center"/>
          </w:tcPr>
          <w:p w14:paraId="28B8C6C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p>
        </w:tc>
        <w:tc>
          <w:tcPr>
            <w:tcW w:w="1010" w:type="dxa"/>
            <w:tcBorders>
              <w:left w:val="single" w:color="auto" w:sz="4" w:space="0"/>
              <w:right w:val="single" w:color="auto" w:sz="4" w:space="0"/>
            </w:tcBorders>
            <w:noWrap w:val="0"/>
            <w:vAlign w:val="center"/>
          </w:tcPr>
          <w:p w14:paraId="532F19C5">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3600</w:t>
            </w:r>
          </w:p>
        </w:tc>
        <w:tc>
          <w:tcPr>
            <w:tcW w:w="800" w:type="dxa"/>
            <w:tcBorders>
              <w:top w:val="single" w:color="auto" w:sz="4" w:space="0"/>
              <w:bottom w:val="single" w:color="auto" w:sz="4" w:space="0"/>
              <w:right w:val="single" w:color="auto" w:sz="4" w:space="0"/>
            </w:tcBorders>
            <w:noWrap w:val="0"/>
            <w:vAlign w:val="center"/>
          </w:tcPr>
          <w:p w14:paraId="6ADCDFB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595" w:type="dxa"/>
            <w:tcBorders>
              <w:bottom w:val="single" w:color="auto" w:sz="4" w:space="0"/>
              <w:right w:val="single" w:color="auto" w:sz="4" w:space="0"/>
            </w:tcBorders>
            <w:noWrap w:val="0"/>
            <w:vAlign w:val="center"/>
          </w:tcPr>
          <w:p w14:paraId="2338672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TICW/06-2009及相关</w:t>
      </w:r>
      <w:r>
        <w:rPr>
          <w:rFonts w:hint="eastAsia" w:ascii="黑体" w:hAnsi="黑体" w:eastAsia="黑体" w:cs="宋体"/>
          <w:kern w:val="0"/>
          <w:sz w:val="28"/>
          <w:szCs w:val="28"/>
        </w:rPr>
        <w:t>国</w:t>
      </w:r>
      <w:r>
        <w:rPr>
          <w:rFonts w:hint="eastAsia" w:ascii="黑体" w:hAnsi="黑体" w:eastAsia="黑体" w:cs="宋体"/>
          <w:kern w:val="0"/>
          <w:sz w:val="28"/>
          <w:szCs w:val="28"/>
          <w:lang w:val="en-US" w:eastAsia="zh-CN"/>
        </w:rPr>
        <w:t>内标准等</w:t>
      </w:r>
      <w:r>
        <w:rPr>
          <w:rFonts w:hint="eastAsia" w:ascii="黑体" w:hAnsi="黑体" w:eastAsia="黑体" w:cs="宋体"/>
          <w:kern w:val="0"/>
          <w:sz w:val="28"/>
          <w:szCs w:val="28"/>
        </w:rPr>
        <w:t>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4.交货期：合同生效之日起15个自然日内，由中选人将标的物运（发）至交货地点。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2026年3月14日10时 00 分至 2026年3月17日 14时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bookmarkStart w:id="6" w:name="_GoBack"/>
      <w:bookmarkEnd w:id="6"/>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①递交截止时间：2026年3月17日14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0B62BF8B">
      <w:pPr>
        <w:kinsoku/>
        <w:overflowPunct/>
        <w:topLinePunct w:val="0"/>
        <w:bidi w:val="0"/>
        <w:ind w:right="0" w:rightChars="0"/>
        <w:jc w:val="both"/>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r>
        <w:rPr>
          <w:rFonts w:hint="eastAsia" w:ascii="宋体" w:hAnsi="宋体" w:cs="宋体"/>
          <w:b/>
          <w:bCs/>
          <w:color w:val="auto"/>
          <w:sz w:val="28"/>
          <w:szCs w:val="28"/>
          <w:lang w:val="en-US" w:eastAsia="zh-CN"/>
        </w:rPr>
        <w:t>代理商另需提供生产商授权文件。</w:t>
      </w:r>
    </w:p>
    <w:p w14:paraId="6D6E17E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②业绩。提供近三年（2023年1月-2025年12月）相关制造及销售业绩.附中标通知书或合同扫描件，中标通知书或合同包括已履约完成和正在履约均可，同一家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规格型号不限。</w:t>
      </w:r>
      <w:r>
        <w:rPr>
          <w:rFonts w:hint="eastAsia" w:ascii="黑体" w:hAnsi="黑体" w:eastAsia="黑体" w:cs="仿宋_GB2312"/>
          <w:sz w:val="28"/>
          <w:szCs w:val="28"/>
          <w:lang w:val="en-US" w:eastAsia="zh-CN"/>
        </w:rPr>
        <w:t>代理商提供生产商业绩予以认可。</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fldChar w:fldCharType="begin"/>
      </w:r>
      <w:r>
        <w:rPr>
          <w:rFonts w:hint="eastAsia" w:ascii="黑体" w:hAnsi="黑体" w:eastAsia="黑体" w:cs="黑体"/>
          <w:color w:val="auto"/>
          <w:kern w:val="0"/>
          <w:sz w:val="28"/>
          <w:szCs w:val="28"/>
        </w:rPr>
        <w:instrText xml:space="preserve"> = 4 \* GB3 \* MERGEFORMAT </w:instrText>
      </w:r>
      <w:r>
        <w:rPr>
          <w:rFonts w:hint="eastAsia" w:ascii="黑体" w:hAnsi="黑体" w:eastAsia="黑体" w:cs="黑体"/>
          <w:color w:val="auto"/>
          <w:kern w:val="0"/>
          <w:sz w:val="28"/>
          <w:szCs w:val="28"/>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rPr>
        <w:fldChar w:fldCharType="end"/>
      </w:r>
      <w:r>
        <w:rPr>
          <w:rFonts w:hint="eastAsia" w:ascii="黑体" w:hAnsi="黑体" w:eastAsia="黑体" w:cs="黑体"/>
          <w:color w:val="auto"/>
          <w:kern w:val="0"/>
          <w:sz w:val="28"/>
          <w:szCs w:val="28"/>
          <w:lang w:val="en-US" w:eastAsia="zh-CN"/>
        </w:rPr>
        <w:t>承</w:t>
      </w:r>
      <w:r>
        <w:rPr>
          <w:rFonts w:hint="eastAsia" w:ascii="黑体" w:hAnsi="黑体" w:eastAsia="黑体" w:cs="Segoe UI"/>
          <w:kern w:val="0"/>
          <w:sz w:val="28"/>
          <w:szCs w:val="28"/>
          <w:lang w:val="en-US" w:eastAsia="zh-CN"/>
        </w:rPr>
        <w:t>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本项目采用合理低价法进行比选。由比选人根据投标人标的物价格、交货期、付款方式等进行综合评审后确定中选人。</w:t>
      </w:r>
    </w:p>
    <w:p w14:paraId="2574C3BE">
      <w:pPr>
        <w:numPr>
          <w:ilvl w:val="0"/>
          <w:numId w:val="0"/>
        </w:numPr>
        <w:spacing w:line="420" w:lineRule="exact"/>
        <w:rPr>
          <w:rFonts w:hint="eastAsia" w:ascii="黑体" w:hAnsi="黑体" w:eastAsia="黑体" w:cs="宋体"/>
          <w:kern w:val="0"/>
          <w:sz w:val="28"/>
          <w:szCs w:val="28"/>
        </w:rPr>
      </w:pPr>
      <w:r>
        <w:rPr>
          <w:rFonts w:hint="eastAsia" w:ascii="黑体" w:hAnsi="黑体" w:eastAsia="黑体" w:cs="仿宋_GB2312"/>
          <w:sz w:val="28"/>
          <w:szCs w:val="28"/>
          <w:lang w:val="en-US" w:eastAsia="zh-CN"/>
        </w:rPr>
        <w:t>②铜芯电缆最终价格确认：比选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100515元/吨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作为基准对铜芯电缆进行报价。以开标当日的上海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价格进行比对</w:t>
      </w:r>
      <w:r>
        <w:rPr>
          <w:rFonts w:hint="eastAsia" w:ascii="黑体" w:hAnsi="黑体" w:eastAsia="黑体" w:cs="宋体"/>
          <w:kern w:val="0"/>
          <w:sz w:val="28"/>
          <w:szCs w:val="28"/>
        </w:rPr>
        <w:t>，每上涨或下降1000元（含）以上，单价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p>
    <w:p w14:paraId="6F0E23D4">
      <w:pPr>
        <w:numPr>
          <w:ilvl w:val="0"/>
          <w:numId w:val="0"/>
        </w:numPr>
        <w:spacing w:line="420" w:lineRule="exact"/>
        <w:rPr>
          <w:rFonts w:hint="eastAsia" w:ascii="黑体" w:hAnsi="黑体" w:eastAsia="黑体" w:cs="宋体"/>
          <w:kern w:val="0"/>
          <w:sz w:val="28"/>
          <w:szCs w:val="28"/>
        </w:rPr>
      </w:pPr>
      <w:r>
        <w:rPr>
          <w:rFonts w:hint="eastAsia" w:ascii="黑体" w:hAnsi="黑体" w:eastAsia="黑体" w:cs="黑体"/>
          <w:color w:val="auto"/>
          <w:kern w:val="0"/>
          <w:sz w:val="28"/>
          <w:szCs w:val="28"/>
        </w:rPr>
        <w:t>③</w:t>
      </w:r>
      <w:r>
        <w:rPr>
          <w:rFonts w:hint="eastAsia" w:ascii="黑体" w:hAnsi="黑体" w:eastAsia="黑体" w:cs="宋体"/>
          <w:kern w:val="0"/>
          <w:sz w:val="28"/>
          <w:szCs w:val="28"/>
          <w:lang w:val="en-US" w:eastAsia="zh-CN"/>
        </w:rPr>
        <w:t>平台中标通知书发出当日（开标当日）</w:t>
      </w:r>
      <w:r>
        <w:rPr>
          <w:rFonts w:hint="eastAsia" w:ascii="黑体" w:hAnsi="黑体" w:eastAsia="黑体" w:cs="宋体"/>
          <w:kern w:val="0"/>
          <w:sz w:val="28"/>
          <w:szCs w:val="28"/>
        </w:rPr>
        <w:t>立即确认并锁定产品中标价格。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张华久19881556688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12331C79">
      <w:pPr>
        <w:pStyle w:val="49"/>
        <w:rPr>
          <w:rFonts w:hint="eastAsia"/>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电力电缆、控制电缆采购项目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574B832">
      <w:pPr>
        <w:kinsoku/>
        <w:overflowPunct/>
        <w:topLinePunct w:val="0"/>
        <w:bidi w:val="0"/>
        <w:ind w:right="0" w:rightChars="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营业执照。代理商另需提供生产商授权文件。</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38E50BA">
      <w:pPr>
        <w:keepNext/>
        <w:keepLines/>
        <w:numPr>
          <w:ilvl w:val="0"/>
          <w:numId w:val="4"/>
        </w:numPr>
        <w:tabs>
          <w:tab w:val="left" w:pos="215"/>
          <w:tab w:val="center" w:pos="4535"/>
        </w:tabs>
        <w:autoSpaceDE w:val="0"/>
        <w:autoSpaceDN w:val="0"/>
        <w:adjustRightInd w:val="0"/>
        <w:spacing w:before="340" w:after="330"/>
        <w:jc w:val="both"/>
        <w:rPr>
          <w:rFonts w:hint="default"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业绩。</w:t>
      </w:r>
      <w:r>
        <w:rPr>
          <w:rFonts w:hint="eastAsia" w:ascii="黑体" w:hAnsi="黑体" w:eastAsia="黑体" w:cs="仿宋_GB2312"/>
          <w:sz w:val="28"/>
          <w:szCs w:val="28"/>
          <w:lang w:val="en-US" w:eastAsia="zh-CN"/>
        </w:rPr>
        <w:t>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规格型号不限。</w:t>
      </w:r>
      <w:r>
        <w:rPr>
          <w:rFonts w:hint="eastAsia" w:ascii="黑体" w:hAnsi="黑体" w:eastAsia="黑体" w:cs="仿宋_GB2312"/>
          <w:sz w:val="28"/>
          <w:szCs w:val="28"/>
          <w:lang w:val="en-US" w:eastAsia="zh-CN"/>
        </w:rPr>
        <w:t>代理商提供生产商业绩予以认可。</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8982DEB">
      <w:pPr>
        <w:keepNext/>
        <w:keepLines/>
        <w:numPr>
          <w:ilvl w:val="0"/>
          <w:numId w:val="0"/>
        </w:numPr>
        <w:tabs>
          <w:tab w:val="left" w:pos="215"/>
          <w:tab w:val="center" w:pos="4535"/>
        </w:tabs>
        <w:autoSpaceDE w:val="0"/>
        <w:autoSpaceDN w:val="0"/>
        <w:adjustRightInd w:val="0"/>
        <w:spacing w:before="340" w:after="330"/>
        <w:jc w:val="both"/>
        <w:rPr>
          <w:rFonts w:hint="default" w:ascii="黑体" w:hAnsi="黑体" w:eastAsia="黑体" w:cs="仿宋_GB2312"/>
          <w:sz w:val="28"/>
          <w:szCs w:val="28"/>
          <w:lang w:val="en-US" w:eastAsia="zh-CN"/>
        </w:rPr>
      </w:pPr>
    </w:p>
    <w:p w14:paraId="0AB7124D">
      <w:pPr>
        <w:keepNext/>
        <w:keepLines/>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98FF8C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822DC2E">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5B1296EE">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4BB8648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290F673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70AFB46F">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cs="宋体" w:asciiTheme="minorEastAsia" w:hAnsiTheme="minorEastAsia" w:eastAsiaTheme="minorEastAsia"/>
          <w:b/>
          <w:bCs/>
          <w:color w:val="auto"/>
          <w:kern w:val="0"/>
          <w:sz w:val="24"/>
          <w:szCs w:val="24"/>
          <w:highlight w:val="none"/>
          <w:lang w:val="en-US" w:eastAsia="zh-CN" w:bidi="ar-SA"/>
        </w:rPr>
      </w:pPr>
      <w:r>
        <w:rPr>
          <w:rFonts w:hint="eastAsia" w:cs="宋体" w:asciiTheme="minorEastAsia" w:hAnsiTheme="minorEastAsia"/>
          <w:b/>
          <w:bCs/>
          <w:color w:val="auto"/>
          <w:kern w:val="0"/>
          <w:sz w:val="24"/>
          <w:szCs w:val="24"/>
          <w:highlight w:val="none"/>
          <w:lang w:val="en-US" w:eastAsia="zh-CN" w:bidi="ar-SA"/>
        </w:rPr>
        <w:t>（三）报价函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w:t>
      </w:r>
      <w:r>
        <w:rPr>
          <w:rFonts w:hint="eastAsia" w:ascii="宋体" w:hAnsi="宋体" w:cstheme="minorBidi"/>
          <w:color w:val="auto"/>
          <w:kern w:val="2"/>
          <w:sz w:val="21"/>
          <w:szCs w:val="21"/>
          <w:lang w:val="en-US" w:eastAsia="zh-CN" w:bidi="ar-SA"/>
        </w:rPr>
        <w:t>（电缆盘不回收）</w:t>
      </w:r>
      <w:r>
        <w:rPr>
          <w:rFonts w:hint="eastAsia" w:ascii="宋体" w:hAnsi="宋体" w:eastAsiaTheme="minorEastAsia" w:cstheme="minorBidi"/>
          <w:color w:val="auto"/>
          <w:kern w:val="2"/>
          <w:sz w:val="21"/>
          <w:szCs w:val="21"/>
          <w:lang w:val="en-US" w:eastAsia="zh-CN" w:bidi="ar-SA"/>
        </w:rPr>
        <w:t>、装车费、运费、保险费、税金等。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561FB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F37166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22B55F31"/>
    <w:multiLevelType w:val="singleLevel"/>
    <w:tmpl w:val="22B55F31"/>
    <w:lvl w:ilvl="0" w:tentative="0">
      <w:start w:val="2"/>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E9D48E"/>
    <w:multiLevelType w:val="singleLevel"/>
    <w:tmpl w:val="5FE9D48E"/>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5D06302"/>
    <w:rsid w:val="0687687D"/>
    <w:rsid w:val="06F2489E"/>
    <w:rsid w:val="070268E6"/>
    <w:rsid w:val="07501427"/>
    <w:rsid w:val="076636BD"/>
    <w:rsid w:val="094A00EB"/>
    <w:rsid w:val="094D7C7A"/>
    <w:rsid w:val="097507C7"/>
    <w:rsid w:val="097D22E2"/>
    <w:rsid w:val="09AD2157"/>
    <w:rsid w:val="0A3C4D43"/>
    <w:rsid w:val="0A9A62A5"/>
    <w:rsid w:val="0B6C6FDB"/>
    <w:rsid w:val="0C2D337D"/>
    <w:rsid w:val="0C5F0F6E"/>
    <w:rsid w:val="0D004BE0"/>
    <w:rsid w:val="0D6635DC"/>
    <w:rsid w:val="0EC51CF1"/>
    <w:rsid w:val="0ED20F36"/>
    <w:rsid w:val="0F783207"/>
    <w:rsid w:val="0F797A29"/>
    <w:rsid w:val="0FBB34F5"/>
    <w:rsid w:val="0FFD54BA"/>
    <w:rsid w:val="10525110"/>
    <w:rsid w:val="110E7C3C"/>
    <w:rsid w:val="117D68B3"/>
    <w:rsid w:val="11A71248"/>
    <w:rsid w:val="120F5BA7"/>
    <w:rsid w:val="1235718D"/>
    <w:rsid w:val="128A3A09"/>
    <w:rsid w:val="12A6008B"/>
    <w:rsid w:val="12D009A7"/>
    <w:rsid w:val="12D819D6"/>
    <w:rsid w:val="13C54541"/>
    <w:rsid w:val="14592936"/>
    <w:rsid w:val="14676D7E"/>
    <w:rsid w:val="15916DD0"/>
    <w:rsid w:val="161E65BC"/>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4F1129"/>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686260"/>
    <w:rsid w:val="25CC5B88"/>
    <w:rsid w:val="25EA69AA"/>
    <w:rsid w:val="26933E36"/>
    <w:rsid w:val="26BC19A6"/>
    <w:rsid w:val="279E3E6D"/>
    <w:rsid w:val="27A73E71"/>
    <w:rsid w:val="27B8643F"/>
    <w:rsid w:val="28564D7B"/>
    <w:rsid w:val="289607B9"/>
    <w:rsid w:val="28F11C08"/>
    <w:rsid w:val="290166AE"/>
    <w:rsid w:val="292F1865"/>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441171"/>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8FC1377"/>
    <w:rsid w:val="3A801D52"/>
    <w:rsid w:val="3A887EF3"/>
    <w:rsid w:val="3ABF1B60"/>
    <w:rsid w:val="3B10121D"/>
    <w:rsid w:val="3B5201C9"/>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1A864B8"/>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DE75B33"/>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3D016A2"/>
    <w:rsid w:val="640F2442"/>
    <w:rsid w:val="64132ACB"/>
    <w:rsid w:val="644F1AB3"/>
    <w:rsid w:val="65CA7906"/>
    <w:rsid w:val="661512EF"/>
    <w:rsid w:val="668A74E0"/>
    <w:rsid w:val="66A77D57"/>
    <w:rsid w:val="66C75014"/>
    <w:rsid w:val="672B6AD9"/>
    <w:rsid w:val="67CD5013"/>
    <w:rsid w:val="68B45BF4"/>
    <w:rsid w:val="68E42148"/>
    <w:rsid w:val="68F9171A"/>
    <w:rsid w:val="693A47A3"/>
    <w:rsid w:val="69B61D6F"/>
    <w:rsid w:val="69C1618A"/>
    <w:rsid w:val="6A1D49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362273E"/>
    <w:rsid w:val="74125240"/>
    <w:rsid w:val="74D06143"/>
    <w:rsid w:val="75284014"/>
    <w:rsid w:val="75942B42"/>
    <w:rsid w:val="75D4756D"/>
    <w:rsid w:val="75E36E5B"/>
    <w:rsid w:val="766F54E7"/>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327824"/>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 w:type="character" w:customStyle="1" w:styleId="54">
    <w:name w:val="font1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4063</Words>
  <Characters>4496</Characters>
  <Lines>16</Lines>
  <Paragraphs>4</Paragraphs>
  <TotalTime>18</TotalTime>
  <ScaleCrop>false</ScaleCrop>
  <LinksUpToDate>false</LinksUpToDate>
  <CharactersWithSpaces>5420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cp:lastPrinted>2026-01-30T04:30:00Z</cp:lastPrinted>
  <dcterms:modified xsi:type="dcterms:W3CDTF">2026-03-14T08:53:55Z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