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13BCCFC">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宏达股份川润/磷化工公司</w:t>
      </w:r>
    </w:p>
    <w:p w14:paraId="3E5A19FE">
      <w:pPr>
        <w:autoSpaceDE w:val="0"/>
        <w:autoSpaceDN w:val="0"/>
        <w:adjustRightInd w:val="0"/>
        <w:spacing w:before="100" w:after="100"/>
        <w:jc w:val="center"/>
        <w:rPr>
          <w:rFonts w:hint="default" w:ascii="黑体" w:hAnsi="黑体" w:eastAsia="黑体" w:cs="黑体"/>
          <w:color w:val="auto"/>
          <w:sz w:val="36"/>
          <w:szCs w:val="36"/>
          <w:highlight w:val="none"/>
          <w:lang w:val="en-US"/>
        </w:rPr>
      </w:pPr>
      <w:r>
        <w:rPr>
          <w:rFonts w:hint="eastAsia" w:ascii="黑体" w:hAnsi="黑体" w:eastAsia="黑体" w:cs="黑体"/>
          <w:b/>
          <w:bCs/>
          <w:color w:val="auto"/>
          <w:sz w:val="36"/>
          <w:szCs w:val="36"/>
          <w:highlight w:val="none"/>
          <w:lang w:val="en-US" w:eastAsia="zh-CN"/>
        </w:rPr>
        <w:t>调节阀采购项目</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编号：CR-GKBX-2026-HW11</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日</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宏达股份川润/磷化工公司调节阀</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编号：SFLHG-GKBX-2025-HW11</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宏达股份川润/磷化工分公司因生产技改需要，需采购调节阀3台，</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636208EE">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调节阀</w:t>
      </w:r>
    </w:p>
    <w:p w14:paraId="31B27AC2">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0"/>
        <w:gridCol w:w="2300"/>
        <w:gridCol w:w="2200"/>
        <w:gridCol w:w="935"/>
        <w:gridCol w:w="3545"/>
      </w:tblGrid>
      <w:tr w14:paraId="6BDD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230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220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w:t>
            </w:r>
          </w:p>
        </w:tc>
        <w:tc>
          <w:tcPr>
            <w:tcW w:w="935"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数量</w:t>
            </w:r>
          </w:p>
        </w:tc>
        <w:tc>
          <w:tcPr>
            <w:tcW w:w="3545" w:type="dxa"/>
            <w:tcBorders>
              <w:right w:val="single" w:color="auto" w:sz="4" w:space="0"/>
            </w:tcBorders>
            <w:noWrap w:val="0"/>
            <w:vAlign w:val="top"/>
          </w:tcPr>
          <w:p w14:paraId="134B6461">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备注</w:t>
            </w:r>
          </w:p>
        </w:tc>
      </w:tr>
      <w:tr w14:paraId="10F1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w:t>
            </w:r>
          </w:p>
        </w:tc>
        <w:tc>
          <w:tcPr>
            <w:tcW w:w="2300" w:type="dxa"/>
            <w:tcBorders>
              <w:left w:val="single" w:color="auto" w:sz="4" w:space="0"/>
            </w:tcBorders>
            <w:noWrap w:val="0"/>
            <w:vAlign w:val="center"/>
          </w:tcPr>
          <w:p w14:paraId="6CA0CEB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气动调节阀（FV-02）</w:t>
            </w:r>
          </w:p>
        </w:tc>
        <w:tc>
          <w:tcPr>
            <w:tcW w:w="2200" w:type="dxa"/>
            <w:tcBorders>
              <w:right w:val="single" w:color="auto" w:sz="4" w:space="0"/>
            </w:tcBorders>
            <w:noWrap w:val="0"/>
            <w:vAlign w:val="center"/>
          </w:tcPr>
          <w:p w14:paraId="724A85FE">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DN40/PN16  详见数据表</w:t>
            </w:r>
          </w:p>
        </w:tc>
        <w:tc>
          <w:tcPr>
            <w:tcW w:w="935" w:type="dxa"/>
            <w:tcBorders>
              <w:right w:val="single" w:color="auto" w:sz="4" w:space="0"/>
            </w:tcBorders>
            <w:noWrap w:val="0"/>
            <w:vAlign w:val="center"/>
          </w:tcPr>
          <w:p w14:paraId="37820356">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 台</w:t>
            </w:r>
          </w:p>
        </w:tc>
        <w:tc>
          <w:tcPr>
            <w:tcW w:w="3545" w:type="dxa"/>
            <w:tcBorders>
              <w:right w:val="single" w:color="auto" w:sz="4" w:space="0"/>
            </w:tcBorders>
            <w:noWrap w:val="0"/>
            <w:vAlign w:val="center"/>
          </w:tcPr>
          <w:p w14:paraId="2BA9942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防爆等级证书、SIL认证书等相关证明文件（ECM认证除外）</w:t>
            </w:r>
          </w:p>
        </w:tc>
      </w:tr>
      <w:tr w14:paraId="62C27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0E7F91C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2</w:t>
            </w:r>
          </w:p>
        </w:tc>
        <w:tc>
          <w:tcPr>
            <w:tcW w:w="2300" w:type="dxa"/>
            <w:tcBorders>
              <w:left w:val="single" w:color="auto" w:sz="4" w:space="0"/>
            </w:tcBorders>
            <w:noWrap w:val="0"/>
            <w:vAlign w:val="center"/>
          </w:tcPr>
          <w:p w14:paraId="1DB8B218">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气动调节阀（LV-02）</w:t>
            </w:r>
          </w:p>
        </w:tc>
        <w:tc>
          <w:tcPr>
            <w:tcW w:w="2200" w:type="dxa"/>
            <w:tcBorders>
              <w:right w:val="single" w:color="auto" w:sz="4" w:space="0"/>
            </w:tcBorders>
            <w:noWrap w:val="0"/>
            <w:vAlign w:val="center"/>
          </w:tcPr>
          <w:p w14:paraId="226805BA">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DN25/PN40 详见数据表</w:t>
            </w:r>
          </w:p>
        </w:tc>
        <w:tc>
          <w:tcPr>
            <w:tcW w:w="935" w:type="dxa"/>
            <w:tcBorders>
              <w:right w:val="single" w:color="auto" w:sz="4" w:space="0"/>
            </w:tcBorders>
            <w:noWrap w:val="0"/>
            <w:vAlign w:val="center"/>
          </w:tcPr>
          <w:p w14:paraId="0EE83BF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1台</w:t>
            </w:r>
          </w:p>
        </w:tc>
        <w:tc>
          <w:tcPr>
            <w:tcW w:w="3545" w:type="dxa"/>
            <w:tcBorders>
              <w:right w:val="single" w:color="auto" w:sz="4" w:space="0"/>
            </w:tcBorders>
            <w:noWrap w:val="0"/>
            <w:vAlign w:val="center"/>
          </w:tcPr>
          <w:p w14:paraId="74149BA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防爆等级证书、SIL认证书等相关证明文件（ECM认证除外）</w:t>
            </w:r>
          </w:p>
        </w:tc>
      </w:tr>
      <w:tr w14:paraId="0836C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730" w:type="dxa"/>
            <w:tcBorders>
              <w:right w:val="single" w:color="auto" w:sz="4" w:space="0"/>
            </w:tcBorders>
            <w:noWrap w:val="0"/>
            <w:vAlign w:val="center"/>
          </w:tcPr>
          <w:p w14:paraId="55E38E8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3</w:t>
            </w:r>
          </w:p>
        </w:tc>
        <w:tc>
          <w:tcPr>
            <w:tcW w:w="2300" w:type="dxa"/>
            <w:tcBorders>
              <w:left w:val="single" w:color="auto" w:sz="4" w:space="0"/>
            </w:tcBorders>
            <w:noWrap w:val="0"/>
            <w:vAlign w:val="center"/>
          </w:tcPr>
          <w:p w14:paraId="0AB3FFE9">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电动衬氟单座调节阀（FV-0101）</w:t>
            </w:r>
          </w:p>
        </w:tc>
        <w:tc>
          <w:tcPr>
            <w:tcW w:w="2200" w:type="dxa"/>
            <w:tcBorders>
              <w:right w:val="single" w:color="auto" w:sz="4" w:space="0"/>
            </w:tcBorders>
            <w:noWrap w:val="0"/>
            <w:vAlign w:val="center"/>
          </w:tcPr>
          <w:p w14:paraId="04676004">
            <w:pPr>
              <w:keepNext w:val="0"/>
              <w:keepLines w:val="0"/>
              <w:widowControl/>
              <w:suppressLineNumbers w:val="0"/>
              <w:jc w:val="center"/>
              <w:textAlignment w:val="center"/>
              <w:rPr>
                <w:rFonts w:hint="default" w:ascii="黑体" w:hAnsi="黑体" w:eastAsia="黑体" w:cs="黑体"/>
                <w:b/>
                <w:bCs/>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DN100/PN16 详见数据表</w:t>
            </w:r>
          </w:p>
        </w:tc>
        <w:tc>
          <w:tcPr>
            <w:tcW w:w="935" w:type="dxa"/>
            <w:tcBorders>
              <w:right w:val="single" w:color="auto" w:sz="4" w:space="0"/>
            </w:tcBorders>
            <w:noWrap w:val="0"/>
            <w:vAlign w:val="center"/>
          </w:tcPr>
          <w:p w14:paraId="487A211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 台</w:t>
            </w:r>
          </w:p>
        </w:tc>
        <w:tc>
          <w:tcPr>
            <w:tcW w:w="3545" w:type="dxa"/>
            <w:tcBorders>
              <w:right w:val="single" w:color="auto" w:sz="4" w:space="0"/>
            </w:tcBorders>
            <w:noWrap w:val="0"/>
            <w:vAlign w:val="center"/>
          </w:tcPr>
          <w:p w14:paraId="08E8335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磷铵厂硫酸进料流量调节</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keepNext w:val="0"/>
        <w:keepLines w:val="0"/>
        <w:pageBreakBefore w:val="0"/>
        <w:numPr>
          <w:ilvl w:val="0"/>
          <w:numId w:val="0"/>
        </w:numPr>
        <w:kinsoku/>
        <w:wordWrap/>
        <w:overflowPunct/>
        <w:topLinePunct w:val="0"/>
        <w:autoSpaceDE/>
        <w:autoSpaceDN/>
        <w:bidi w:val="0"/>
        <w:spacing w:line="480" w:lineRule="exact"/>
        <w:textAlignment w:val="auto"/>
        <w:rPr>
          <w:rFonts w:hint="default" w:ascii="黑体" w:hAnsi="黑体" w:eastAsia="黑体"/>
          <w:sz w:val="28"/>
          <w:szCs w:val="28"/>
          <w:lang w:val="en-US" w:eastAsia="zh-CN"/>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sz w:val="28"/>
          <w:szCs w:val="28"/>
        </w:rPr>
        <w:t>起</w:t>
      </w:r>
      <w:r>
        <w:rPr>
          <w:rFonts w:hint="eastAsia" w:ascii="黑体" w:hAnsi="黑体" w:eastAsia="黑体"/>
          <w:sz w:val="28"/>
          <w:szCs w:val="28"/>
          <w:lang w:val="en-US" w:eastAsia="zh-CN"/>
        </w:rPr>
        <w:t>40</w:t>
      </w:r>
      <w:r>
        <w:rPr>
          <w:rFonts w:hint="eastAsia" w:ascii="黑体" w:hAnsi="黑体" w:eastAsia="黑体"/>
          <w:sz w:val="28"/>
          <w:szCs w:val="28"/>
        </w:rPr>
        <w:t>个自然日</w:t>
      </w:r>
      <w:r>
        <w:rPr>
          <w:rFonts w:ascii="黑体" w:hAnsi="黑体" w:eastAsia="黑体"/>
          <w:sz w:val="28"/>
          <w:szCs w:val="28"/>
        </w:rPr>
        <w:t>内</w:t>
      </w:r>
      <w:r>
        <w:rPr>
          <w:rFonts w:hint="eastAsia" w:ascii="黑体" w:hAnsi="黑体" w:eastAsia="黑体"/>
          <w:sz w:val="28"/>
          <w:szCs w:val="28"/>
          <w:lang w:val="en-US" w:eastAsia="zh-CN"/>
        </w:rPr>
        <w:t>完成交货。</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金额90%，余10%作为质保金，待质保期结束且无质量异议后付清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w:t>
      </w:r>
      <w:r>
        <w:rPr>
          <w:rFonts w:hint="eastAsia" w:ascii="黑体" w:hAnsi="黑体" w:eastAsia="黑体" w:cs="宋体"/>
          <w:kern w:val="0"/>
          <w:sz w:val="28"/>
          <w:szCs w:val="28"/>
          <w:lang w:val="en-US" w:eastAsia="zh-CN"/>
        </w:rPr>
        <w:t>控制阀</w:t>
      </w:r>
      <w:r>
        <w:rPr>
          <w:rFonts w:hint="eastAsia" w:ascii="黑体" w:hAnsi="黑体" w:eastAsia="黑体" w:cs="宋体"/>
          <w:kern w:val="0"/>
          <w:sz w:val="28"/>
          <w:szCs w:val="28"/>
        </w:rPr>
        <w:t>规格型号、</w:t>
      </w:r>
      <w:r>
        <w:rPr>
          <w:rFonts w:hint="eastAsia" w:ascii="黑体" w:hAnsi="黑体" w:eastAsia="黑体" w:cs="宋体"/>
          <w:kern w:val="0"/>
          <w:sz w:val="28"/>
          <w:szCs w:val="28"/>
          <w:lang w:val="en-US" w:eastAsia="zh-CN"/>
        </w:rPr>
        <w:t>执行机构型号、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5B9B4107">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②通电计量检测。</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2026年3月13日10时 00 分至 2026年3月18日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 18日10时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lang w:val="en-US" w:eastAsia="zh-CN"/>
        </w:rPr>
        <w:t>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54A5BFD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①比选申请人需提供营业执照（三证合一）。</w:t>
      </w:r>
    </w:p>
    <w:p w14:paraId="52A15149">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②比选申请人需提供有效期内特种设备生产许可证（压力管道元件制造）、型式试验报告等资质文件。</w:t>
      </w:r>
    </w:p>
    <w:p w14:paraId="6C399006">
      <w:pPr>
        <w:numPr>
          <w:ilvl w:val="0"/>
          <w:numId w:val="0"/>
        </w:numPr>
        <w:spacing w:line="420" w:lineRule="exact"/>
        <w:ind w:leftChars="0"/>
        <w:rPr>
          <w:rFonts w:hint="default" w:ascii="黑体" w:hAnsi="黑体" w:eastAsia="黑体" w:cs="黑体"/>
          <w:color w:val="auto"/>
          <w:kern w:val="0"/>
          <w:sz w:val="28"/>
          <w:szCs w:val="28"/>
          <w:lang w:val="en-US"/>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比选申请人需提供有效期内SIL认证资料。</w:t>
      </w:r>
    </w:p>
    <w:p w14:paraId="51C7A986">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控制阀规格型号不限。</w:t>
      </w:r>
    </w:p>
    <w:p w14:paraId="4D244DAF">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5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⑤</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报价函件。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Segoe UI"/>
          <w:kern w:val="0"/>
          <w:sz w:val="28"/>
          <w:szCs w:val="28"/>
        </w:rPr>
        <w:t>。</w:t>
      </w:r>
    </w:p>
    <w:p w14:paraId="3A94AC3E">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6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⑥</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技术规格书。比选申请人根据控制阀数据表要求，提供技术规格书，注明控制阀规格型号、阀体阀芯阀座材质、执行器（定位器）规格型号及品牌、泄漏等级等相关参数。</w:t>
      </w:r>
    </w:p>
    <w:p w14:paraId="66DBDF8F">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7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⑦</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承诺函。</w:t>
      </w:r>
    </w:p>
    <w:p w14:paraId="3C6833CA">
      <w:pPr>
        <w:spacing w:line="420" w:lineRule="exact"/>
        <w:rPr>
          <w:rFonts w:ascii="黑体" w:hAnsi="黑体" w:eastAsia="黑体" w:cs="Times New Roman"/>
          <w:sz w:val="28"/>
          <w:szCs w:val="28"/>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传</w:t>
      </w:r>
      <w:r>
        <w:rPr>
          <w:rFonts w:hint="eastAsia" w:ascii="黑体" w:hAnsi="黑体" w:eastAsia="黑体" w:cs="宋体"/>
          <w:kern w:val="0"/>
          <w:sz w:val="28"/>
          <w:szCs w:val="28"/>
        </w:rPr>
        <w:t>送</w:t>
      </w:r>
      <w:r>
        <w:rPr>
          <w:rFonts w:hint="eastAsia" w:ascii="黑体" w:hAnsi="黑体" w:eastAsia="黑体" w:cs="宋体"/>
          <w:kern w:val="0"/>
          <w:sz w:val="28"/>
          <w:szCs w:val="28"/>
          <w:lang w:val="en-US" w:eastAsia="zh-CN"/>
        </w:rPr>
        <w:t>响应</w:t>
      </w:r>
      <w:r>
        <w:rPr>
          <w:rFonts w:hint="eastAsia" w:ascii="黑体" w:hAnsi="黑体" w:eastAsia="黑体" w:cs="宋体"/>
          <w:kern w:val="0"/>
          <w:sz w:val="28"/>
          <w:szCs w:val="28"/>
        </w:rPr>
        <w:t>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技术咨询：林智13778234955（川润） 王江13700903942（磷化工）</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      </w:t>
      </w:r>
    </w:p>
    <w:p w14:paraId="20636B28">
      <w:pPr>
        <w:pStyle w:val="5"/>
        <w:ind w:left="0" w:leftChars="0" w:firstLine="0" w:firstLineChars="0"/>
      </w:pPr>
    </w:p>
    <w:p w14:paraId="0F9C5B16">
      <w:pPr>
        <w:spacing w:line="420" w:lineRule="exact"/>
        <w:ind w:firstLine="5880" w:firstLineChars="2100"/>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四川宏达股份有限公司</w:t>
      </w:r>
    </w:p>
    <w:p w14:paraId="4B0F76CC">
      <w:pPr>
        <w:spacing w:line="420" w:lineRule="exact"/>
        <w:ind w:firstLine="6160" w:firstLineChars="2200"/>
        <w:rPr>
          <w:rFonts w:hint="eastAsia" w:ascii="黑体" w:hAnsi="黑体" w:eastAsia="黑体" w:cs="宋体"/>
          <w:b/>
          <w:kern w:val="0"/>
          <w:sz w:val="28"/>
          <w:szCs w:val="28"/>
          <w:lang w:val="en-US" w:eastAsia="zh-CN"/>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日</w:t>
      </w:r>
    </w:p>
    <w:p w14:paraId="238A4AC4">
      <w:pPr>
        <w:spacing w:line="360" w:lineRule="exact"/>
        <w:rPr>
          <w:rFonts w:hint="eastAsia" w:ascii="黑体" w:hAnsi="黑体" w:eastAsia="黑体" w:cs="宋体"/>
          <w:b/>
          <w:kern w:val="0"/>
          <w:sz w:val="28"/>
          <w:szCs w:val="28"/>
          <w:lang w:val="en-US" w:eastAsia="zh-CN"/>
        </w:rPr>
      </w:pPr>
    </w:p>
    <w:p w14:paraId="67E8566B">
      <w:pPr>
        <w:spacing w:line="360" w:lineRule="exact"/>
        <w:rPr>
          <w:rFonts w:hint="eastAsia" w:ascii="黑体" w:hAnsi="黑体" w:eastAsia="黑体" w:cs="宋体"/>
          <w:b/>
          <w:kern w:val="0"/>
          <w:sz w:val="28"/>
          <w:szCs w:val="28"/>
          <w:lang w:val="en-US" w:eastAsia="zh-CN"/>
        </w:rPr>
      </w:pPr>
    </w:p>
    <w:p w14:paraId="29181604">
      <w:pPr>
        <w:spacing w:line="360" w:lineRule="exact"/>
        <w:rPr>
          <w:rFonts w:hint="eastAsia" w:ascii="黑体" w:hAnsi="黑体" w:eastAsia="黑体" w:cs="宋体"/>
          <w:b/>
          <w:kern w:val="0"/>
          <w:sz w:val="28"/>
          <w:szCs w:val="28"/>
          <w:lang w:val="en-US" w:eastAsia="zh-CN"/>
        </w:rPr>
      </w:pPr>
    </w:p>
    <w:p w14:paraId="3183D2E7">
      <w:pPr>
        <w:spacing w:line="360" w:lineRule="exact"/>
        <w:rPr>
          <w:rFonts w:hint="eastAsia" w:ascii="黑体" w:hAnsi="黑体" w:eastAsia="黑体" w:cs="宋体"/>
          <w:b/>
          <w:kern w:val="0"/>
          <w:sz w:val="28"/>
          <w:szCs w:val="28"/>
          <w:lang w:val="en-US" w:eastAsia="zh-CN"/>
        </w:rPr>
      </w:pPr>
      <w:bookmarkStart w:id="4" w:name="_GoBack"/>
      <w:bookmarkEnd w:id="4"/>
    </w:p>
    <w:p w14:paraId="42CB7F94">
      <w:pPr>
        <w:spacing w:line="360" w:lineRule="exact"/>
        <w:rPr>
          <w:rFonts w:hint="eastAsia" w:ascii="黑体" w:hAnsi="黑体" w:eastAsia="黑体" w:cs="宋体"/>
          <w:b/>
          <w:kern w:val="0"/>
          <w:sz w:val="28"/>
          <w:szCs w:val="28"/>
          <w:lang w:val="en-US" w:eastAsia="zh-CN"/>
        </w:rPr>
      </w:pPr>
    </w:p>
    <w:p w14:paraId="23C0F37F">
      <w:pPr>
        <w:spacing w:line="360" w:lineRule="exact"/>
        <w:rPr>
          <w:rFonts w:hint="eastAsia" w:ascii="黑体" w:hAnsi="黑体" w:eastAsia="黑体" w:cs="宋体"/>
          <w:b/>
          <w:kern w:val="0"/>
          <w:sz w:val="28"/>
          <w:szCs w:val="28"/>
          <w:lang w:val="en-US" w:eastAsia="zh-CN"/>
        </w:rPr>
      </w:pPr>
    </w:p>
    <w:p w14:paraId="26F9F646">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w:t>
      </w:r>
    </w:p>
    <w:p w14:paraId="535E6812">
      <w:pPr>
        <w:spacing w:line="360" w:lineRule="exact"/>
        <w:rPr>
          <w:rFonts w:hint="eastAsia" w:ascii="黑体" w:hAnsi="黑体" w:eastAsia="黑体" w:cs="宋体"/>
          <w:b/>
          <w:kern w:val="0"/>
          <w:sz w:val="28"/>
          <w:szCs w:val="28"/>
          <w:lang w:val="en-US" w:eastAsia="zh-CN"/>
        </w:rPr>
      </w:pPr>
    </w:p>
    <w:p w14:paraId="418AED85">
      <w:pPr>
        <w:spacing w:line="360" w:lineRule="exact"/>
        <w:rPr>
          <w:rFonts w:hint="eastAsia" w:ascii="黑体" w:hAnsi="黑体" w:eastAsia="黑体" w:cs="宋体"/>
          <w:b/>
          <w:kern w:val="0"/>
          <w:sz w:val="28"/>
          <w:szCs w:val="28"/>
          <w:lang w:val="en-US" w:eastAsia="zh-CN"/>
        </w:rPr>
      </w:pPr>
    </w:p>
    <w:p w14:paraId="71E0D79A">
      <w:pPr>
        <w:jc w:val="center"/>
        <w:rPr>
          <w:rFonts w:hint="eastAsia" w:ascii="黑体" w:hAnsi="黑体" w:eastAsia="黑体" w:cs="黑体"/>
          <w:b/>
          <w:bCs/>
          <w:sz w:val="28"/>
          <w:szCs w:val="28"/>
          <w:lang w:eastAsia="zh-CN"/>
        </w:rPr>
      </w:pPr>
      <w:r>
        <w:rPr>
          <w:rFonts w:hint="eastAsia" w:ascii="黑体" w:hAnsi="黑体" w:eastAsia="黑体" w:cs="宋体"/>
          <w:b/>
          <w:kern w:val="0"/>
          <w:sz w:val="28"/>
          <w:szCs w:val="28"/>
          <w:lang w:val="en-US" w:eastAsia="zh-CN"/>
        </w:rPr>
        <w:t xml:space="preserve">第二章    </w:t>
      </w:r>
      <w:r>
        <w:rPr>
          <w:rFonts w:hint="eastAsia" w:ascii="黑体" w:hAnsi="黑体" w:eastAsia="黑体" w:cs="黑体"/>
          <w:b/>
          <w:bCs/>
          <w:sz w:val="28"/>
          <w:szCs w:val="28"/>
          <w:lang w:val="en-US" w:eastAsia="zh-CN"/>
        </w:rPr>
        <w:t>控制阀</w:t>
      </w:r>
      <w:r>
        <w:rPr>
          <w:rFonts w:hint="eastAsia" w:ascii="黑体" w:hAnsi="黑体" w:eastAsia="黑体" w:cs="黑体"/>
          <w:color w:val="auto"/>
          <w:sz w:val="28"/>
          <w:szCs w:val="28"/>
        </w:rPr>
        <w:t>采</w:t>
      </w:r>
      <w:r>
        <w:rPr>
          <w:rFonts w:hint="eastAsia" w:ascii="黑体" w:hAnsi="黑体" w:eastAsia="黑体" w:cs="黑体"/>
          <w:b/>
          <w:bCs/>
          <w:sz w:val="28"/>
          <w:szCs w:val="28"/>
        </w:rPr>
        <w:t>购</w:t>
      </w:r>
      <w:r>
        <w:rPr>
          <w:rFonts w:hint="eastAsia" w:ascii="黑体" w:hAnsi="黑体" w:eastAsia="黑体" w:cs="黑体"/>
          <w:b/>
          <w:bCs/>
          <w:sz w:val="28"/>
          <w:szCs w:val="28"/>
          <w:lang w:val="en-US" w:eastAsia="zh-CN"/>
        </w:rPr>
        <w:t>项目</w:t>
      </w:r>
    </w:p>
    <w:p w14:paraId="7DB94885">
      <w:pPr>
        <w:spacing w:line="360" w:lineRule="exact"/>
        <w:rPr>
          <w:rFonts w:hint="default" w:ascii="黑体" w:hAnsi="黑体" w:eastAsia="黑体" w:cs="宋体"/>
          <w:b/>
          <w:kern w:val="0"/>
          <w:sz w:val="28"/>
          <w:szCs w:val="28"/>
          <w:lang w:val="en-US"/>
        </w:rPr>
      </w:pPr>
    </w:p>
    <w:p w14:paraId="444EDB62">
      <w:pPr>
        <w:spacing w:line="360" w:lineRule="exact"/>
        <w:rPr>
          <w:rFonts w:hint="eastAsia" w:ascii="黑体" w:hAnsi="黑体" w:eastAsia="黑体" w:cs="宋体"/>
          <w:b/>
          <w:kern w:val="0"/>
          <w:sz w:val="28"/>
          <w:szCs w:val="28"/>
        </w:rPr>
      </w:pPr>
    </w:p>
    <w:p w14:paraId="6C2BAFEA">
      <w:pPr>
        <w:numPr>
          <w:ilvl w:val="0"/>
          <w:numId w:val="0"/>
        </w:numPr>
        <w:kinsoku/>
        <w:overflowPunct/>
        <w:topLinePunct w:val="0"/>
        <w:bidi w:val="0"/>
        <w:ind w:right="0" w:rightChars="0"/>
        <w:jc w:val="both"/>
        <w:rPr>
          <w:rFonts w:hint="eastAsia" w:ascii="黑体" w:hAnsi="宋体" w:eastAsia="黑体"/>
          <w:color w:val="auto"/>
          <w:sz w:val="32"/>
          <w:szCs w:val="32"/>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302F8B9">
      <w:pPr>
        <w:kinsoku/>
        <w:overflowPunct/>
        <w:topLinePunct w:val="0"/>
        <w:bidi w:val="0"/>
        <w:ind w:left="0" w:leftChars="0" w:right="0" w:rightChars="0" w:firstLine="562" w:firstLineChars="200"/>
        <w:jc w:val="both"/>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bCs/>
          <w:color w:val="auto"/>
          <w:sz w:val="28"/>
          <w:szCs w:val="28"/>
        </w:rPr>
        <w:br w:type="page"/>
      </w:r>
      <w:bookmarkStart w:id="0" w:name="_Toc30198"/>
      <w:bookmarkStart w:id="1" w:name="_Toc4384"/>
      <w:bookmarkStart w:id="2" w:name="_Toc997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69FA86B8">
      <w:pPr>
        <w:numPr>
          <w:ilvl w:val="0"/>
          <w:numId w:val="0"/>
        </w:numPr>
        <w:spacing w:line="420" w:lineRule="exact"/>
        <w:ind w:leftChars="0"/>
        <w:rPr>
          <w:rFonts w:hint="eastAsia" w:ascii="黑体" w:hAnsi="黑体" w:eastAsia="黑体" w:cs="仿宋_GB2312"/>
          <w:sz w:val="28"/>
          <w:szCs w:val="28"/>
          <w:lang w:val="en-US" w:eastAsia="zh-CN"/>
        </w:rPr>
      </w:pPr>
      <w:r>
        <w:rPr>
          <w:rFonts w:hint="eastAsia" w:cs="黑体" w:asciiTheme="minorEastAsia" w:hAnsiTheme="minorEastAsia"/>
          <w:b/>
          <w:bCs/>
          <w:kern w:val="44"/>
          <w:sz w:val="28"/>
          <w:szCs w:val="28"/>
          <w:highlight w:val="none"/>
          <w:lang w:val="en-US" w:eastAsia="zh-CN"/>
        </w:rPr>
        <w:t>（二）</w:t>
      </w:r>
      <w:r>
        <w:rPr>
          <w:rFonts w:hint="eastAsia" w:ascii="黑体" w:hAnsi="黑体" w:eastAsia="黑体" w:cs="仿宋_GB2312"/>
          <w:sz w:val="28"/>
          <w:szCs w:val="28"/>
          <w:lang w:val="en-US" w:eastAsia="zh-CN"/>
        </w:rPr>
        <w:t>特种设备生产许可证（压力管道元件制造）、型式试验报告等资质文件。</w:t>
      </w:r>
    </w:p>
    <w:p w14:paraId="2FA59D29">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p>
    <w:bookmarkEnd w:id="0"/>
    <w:bookmarkEnd w:id="1"/>
    <w:bookmarkEnd w:id="2"/>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D78DBA">
      <w:pPr>
        <w:kinsoku/>
        <w:overflowPunct/>
        <w:topLinePunct w:val="0"/>
        <w:bidi w:val="0"/>
        <w:ind w:right="0" w:rightChars="0"/>
        <w:jc w:val="left"/>
        <w:rPr>
          <w:rFonts w:hint="eastAsia" w:ascii="宋体" w:hAnsi="宋体" w:cs="宋体"/>
          <w:b/>
          <w:bCs/>
          <w:color w:val="auto"/>
          <w:sz w:val="28"/>
          <w:szCs w:val="28"/>
        </w:rPr>
      </w:pPr>
    </w:p>
    <w:p w14:paraId="029F33F4">
      <w:pPr>
        <w:kinsoku/>
        <w:overflowPunct/>
        <w:topLinePunct w:val="0"/>
        <w:bidi w:val="0"/>
        <w:ind w:right="0" w:rightChars="0"/>
        <w:jc w:val="both"/>
        <w:rPr>
          <w:rFonts w:hint="eastAsia" w:ascii="宋体" w:hAnsi="宋体" w:cs="宋体"/>
          <w:b/>
          <w:bCs/>
          <w:color w:val="auto"/>
          <w:sz w:val="28"/>
          <w:szCs w:val="28"/>
          <w:lang w:val="en-US" w:eastAsia="zh-CN"/>
        </w:rPr>
      </w:pPr>
    </w:p>
    <w:p w14:paraId="12D29F3A">
      <w:pPr>
        <w:kinsoku/>
        <w:overflowPunct/>
        <w:topLinePunct w:val="0"/>
        <w:bidi w:val="0"/>
        <w:ind w:right="0" w:rightChars="0"/>
        <w:jc w:val="both"/>
        <w:rPr>
          <w:rFonts w:hint="eastAsia" w:ascii="宋体" w:hAnsi="宋体" w:cs="宋体"/>
          <w:b/>
          <w:bCs/>
          <w:color w:val="auto"/>
          <w:sz w:val="28"/>
          <w:szCs w:val="28"/>
          <w:lang w:val="en-US" w:eastAsia="zh-CN"/>
        </w:rPr>
      </w:pPr>
    </w:p>
    <w:p w14:paraId="48DB0473">
      <w:pPr>
        <w:kinsoku/>
        <w:overflowPunct/>
        <w:topLinePunct w:val="0"/>
        <w:bidi w:val="0"/>
        <w:ind w:right="0" w:rightChars="0"/>
        <w:jc w:val="both"/>
        <w:rPr>
          <w:rFonts w:hint="eastAsia" w:ascii="宋体" w:hAnsi="宋体" w:cs="宋体"/>
          <w:b/>
          <w:bCs/>
          <w:color w:val="auto"/>
          <w:sz w:val="28"/>
          <w:szCs w:val="28"/>
          <w:lang w:val="en-US" w:eastAsia="zh-CN"/>
        </w:rPr>
      </w:pPr>
    </w:p>
    <w:p w14:paraId="499EE737">
      <w:pPr>
        <w:kinsoku/>
        <w:overflowPunct/>
        <w:topLinePunct w:val="0"/>
        <w:bidi w:val="0"/>
        <w:ind w:right="0" w:rightChars="0"/>
        <w:jc w:val="both"/>
        <w:rPr>
          <w:rFonts w:hint="eastAsia" w:ascii="宋体" w:hAnsi="宋体" w:cs="宋体"/>
          <w:b/>
          <w:bCs/>
          <w:color w:val="auto"/>
          <w:sz w:val="28"/>
          <w:szCs w:val="28"/>
          <w:lang w:val="en-US" w:eastAsia="zh-CN"/>
        </w:rPr>
      </w:pPr>
    </w:p>
    <w:p w14:paraId="30BB5641">
      <w:pPr>
        <w:numPr>
          <w:ilvl w:val="0"/>
          <w:numId w:val="2"/>
        </w:numPr>
        <w:kinsoku/>
        <w:overflowPunct/>
        <w:topLinePunct w:val="0"/>
        <w:bidi w:val="0"/>
        <w:ind w:right="0" w:rightChars="0"/>
        <w:jc w:val="both"/>
        <w:rPr>
          <w:rFonts w:hint="eastAsia" w:ascii="宋体" w:hAnsi="宋体" w:cs="宋体"/>
          <w:b/>
          <w:bCs/>
          <w:color w:val="auto"/>
          <w:sz w:val="28"/>
          <w:szCs w:val="28"/>
        </w:rPr>
      </w:pPr>
      <w:r>
        <w:rPr>
          <w:rFonts w:hint="eastAsia" w:ascii="宋体" w:hAnsi="宋体" w:cs="宋体"/>
          <w:b/>
          <w:bCs/>
          <w:color w:val="auto"/>
          <w:sz w:val="28"/>
          <w:szCs w:val="28"/>
          <w:lang w:val="en-US" w:eastAsia="zh-CN"/>
        </w:rPr>
        <w:t>SIL认证资料（ECM认证除外）</w:t>
      </w:r>
    </w:p>
    <w:p w14:paraId="53E17B5F">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2FFAB072">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1EBC36FC">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05C1B428">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26265220">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052FADCC">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74652E9E">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28775076">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40FE6A91">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5787256E">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5DA777AE">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42C2F71F">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51B3CFCE">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484A3231">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2302D88F">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6753E93A">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7191A368">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1721A1C1">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7202EB48">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6E59D770">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543C080B">
      <w:pPr>
        <w:widowControl w:val="0"/>
        <w:numPr>
          <w:numId w:val="0"/>
        </w:numPr>
        <w:kinsoku/>
        <w:overflowPunct/>
        <w:topLinePunct w:val="0"/>
        <w:bidi w:val="0"/>
        <w:ind w:right="0" w:rightChars="0"/>
        <w:jc w:val="both"/>
        <w:rPr>
          <w:rFonts w:hint="eastAsia" w:ascii="宋体" w:hAnsi="宋体" w:cs="宋体"/>
          <w:b/>
          <w:bCs/>
          <w:color w:val="auto"/>
          <w:sz w:val="28"/>
          <w:szCs w:val="28"/>
          <w:lang w:val="en-US" w:eastAsia="zh-CN"/>
        </w:rPr>
      </w:pPr>
    </w:p>
    <w:p w14:paraId="3612B39D">
      <w:pPr>
        <w:numPr>
          <w:ilvl w:val="0"/>
          <w:numId w:val="2"/>
        </w:numPr>
        <w:kinsoku/>
        <w:overflowPunct/>
        <w:topLinePunct w:val="0"/>
        <w:bidi w:val="0"/>
        <w:ind w:right="0" w:rightChars="0"/>
        <w:jc w:val="both"/>
        <w:rPr>
          <w:rFonts w:hint="eastAsia" w:ascii="宋体" w:hAnsi="宋体" w:cs="宋体"/>
          <w:b/>
          <w:bCs/>
          <w:color w:val="auto"/>
          <w:sz w:val="28"/>
          <w:szCs w:val="28"/>
        </w:rPr>
      </w:pPr>
      <w:r>
        <w:rPr>
          <w:rFonts w:hint="eastAsia" w:ascii="宋体" w:hAnsi="宋体" w:cs="宋体"/>
          <w:b/>
          <w:bCs/>
          <w:color w:val="auto"/>
          <w:sz w:val="28"/>
          <w:szCs w:val="28"/>
          <w:lang w:val="en-US" w:eastAsia="zh-CN"/>
        </w:rPr>
        <w:t>业绩</w:t>
      </w:r>
      <w:r>
        <w:rPr>
          <w:rFonts w:hint="eastAsia" w:ascii="宋体" w:hAnsi="宋体" w:cs="宋体"/>
          <w:b/>
          <w:bCs/>
          <w:color w:val="auto"/>
          <w:sz w:val="28"/>
          <w:szCs w:val="28"/>
        </w:rPr>
        <w:t>证明文件</w:t>
      </w:r>
    </w:p>
    <w:p w14:paraId="57C9E683">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Segoe UI"/>
          <w:kern w:val="0"/>
          <w:sz w:val="28"/>
          <w:szCs w:val="28"/>
          <w:lang w:val="en-US" w:eastAsia="zh-CN"/>
        </w:rPr>
      </w:pPr>
      <w:r>
        <w:rPr>
          <w:rFonts w:hint="eastAsia" w:ascii="黑体" w:hAnsi="黑体" w:eastAsia="黑体" w:cs="仿宋_GB2312"/>
          <w:sz w:val="28"/>
          <w:szCs w:val="28"/>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控制阀规格型号不限。</w:t>
      </w:r>
    </w:p>
    <w:p w14:paraId="4478DC75">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1.业绩汇总表</w:t>
      </w:r>
    </w:p>
    <w:tbl>
      <w:tblPr>
        <w:tblStyle w:val="18"/>
        <w:tblpPr w:leftFromText="180" w:rightFromText="180" w:vertAnchor="text" w:horzAnchor="page" w:tblpX="1777"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23"/>
        <w:gridCol w:w="1791"/>
        <w:gridCol w:w="1355"/>
        <w:gridCol w:w="1356"/>
        <w:gridCol w:w="1356"/>
      </w:tblGrid>
      <w:tr w14:paraId="4DA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F8AFED">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序号</w:t>
            </w:r>
          </w:p>
        </w:tc>
        <w:tc>
          <w:tcPr>
            <w:tcW w:w="1923" w:type="dxa"/>
            <w:vAlign w:val="center"/>
          </w:tcPr>
          <w:p w14:paraId="127627E3">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合同签订时间</w:t>
            </w:r>
          </w:p>
        </w:tc>
        <w:tc>
          <w:tcPr>
            <w:tcW w:w="1791" w:type="dxa"/>
            <w:vAlign w:val="center"/>
          </w:tcPr>
          <w:p w14:paraId="5705E02B">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业绩单位</w:t>
            </w:r>
          </w:p>
        </w:tc>
        <w:tc>
          <w:tcPr>
            <w:tcW w:w="1355" w:type="dxa"/>
            <w:vAlign w:val="center"/>
          </w:tcPr>
          <w:p w14:paraId="5072ADA4">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产品规格</w:t>
            </w:r>
          </w:p>
        </w:tc>
        <w:tc>
          <w:tcPr>
            <w:tcW w:w="1356" w:type="dxa"/>
            <w:vAlign w:val="center"/>
          </w:tcPr>
          <w:p w14:paraId="73D151C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产品数量</w:t>
            </w:r>
          </w:p>
        </w:tc>
        <w:tc>
          <w:tcPr>
            <w:tcW w:w="1356" w:type="dxa"/>
            <w:vAlign w:val="center"/>
          </w:tcPr>
          <w:p w14:paraId="67E9594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备注</w:t>
            </w:r>
          </w:p>
        </w:tc>
      </w:tr>
      <w:tr w14:paraId="048C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2E959D5">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1</w:t>
            </w:r>
          </w:p>
        </w:tc>
        <w:tc>
          <w:tcPr>
            <w:tcW w:w="1923" w:type="dxa"/>
          </w:tcPr>
          <w:p w14:paraId="31E1BBC7">
            <w:pPr>
              <w:pStyle w:val="35"/>
              <w:ind w:firstLine="0" w:firstLineChars="0"/>
              <w:rPr>
                <w:rFonts w:ascii="黑体" w:hAnsi="黑体" w:eastAsia="黑体" w:cs="Segoe UI"/>
                <w:kern w:val="0"/>
                <w:sz w:val="28"/>
                <w:szCs w:val="28"/>
              </w:rPr>
            </w:pPr>
          </w:p>
        </w:tc>
        <w:tc>
          <w:tcPr>
            <w:tcW w:w="1791" w:type="dxa"/>
          </w:tcPr>
          <w:p w14:paraId="030B6EF1">
            <w:pPr>
              <w:pStyle w:val="35"/>
              <w:ind w:firstLine="0" w:firstLineChars="0"/>
              <w:rPr>
                <w:rFonts w:ascii="黑体" w:hAnsi="黑体" w:eastAsia="黑体" w:cs="Segoe UI"/>
                <w:kern w:val="0"/>
                <w:sz w:val="28"/>
                <w:szCs w:val="28"/>
              </w:rPr>
            </w:pPr>
          </w:p>
        </w:tc>
        <w:tc>
          <w:tcPr>
            <w:tcW w:w="1355" w:type="dxa"/>
          </w:tcPr>
          <w:p w14:paraId="2DCD3BC2">
            <w:pPr>
              <w:pStyle w:val="35"/>
              <w:ind w:firstLine="0" w:firstLineChars="0"/>
              <w:rPr>
                <w:rFonts w:ascii="黑体" w:hAnsi="黑体" w:eastAsia="黑体" w:cs="Segoe UI"/>
                <w:kern w:val="0"/>
                <w:sz w:val="28"/>
                <w:szCs w:val="28"/>
              </w:rPr>
            </w:pPr>
          </w:p>
        </w:tc>
        <w:tc>
          <w:tcPr>
            <w:tcW w:w="1356" w:type="dxa"/>
          </w:tcPr>
          <w:p w14:paraId="4DAC0EDE">
            <w:pPr>
              <w:pStyle w:val="35"/>
              <w:ind w:firstLine="0" w:firstLineChars="0"/>
              <w:rPr>
                <w:rFonts w:ascii="黑体" w:hAnsi="黑体" w:eastAsia="黑体" w:cs="Segoe UI"/>
                <w:kern w:val="0"/>
                <w:sz w:val="28"/>
                <w:szCs w:val="28"/>
              </w:rPr>
            </w:pPr>
          </w:p>
        </w:tc>
        <w:tc>
          <w:tcPr>
            <w:tcW w:w="1356" w:type="dxa"/>
          </w:tcPr>
          <w:p w14:paraId="07E55335">
            <w:pPr>
              <w:pStyle w:val="35"/>
              <w:ind w:firstLine="0" w:firstLineChars="0"/>
              <w:rPr>
                <w:rFonts w:ascii="黑体" w:hAnsi="黑体" w:eastAsia="黑体" w:cs="Segoe UI"/>
                <w:kern w:val="0"/>
                <w:sz w:val="28"/>
                <w:szCs w:val="28"/>
              </w:rPr>
            </w:pPr>
          </w:p>
        </w:tc>
      </w:tr>
      <w:tr w14:paraId="3BB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586C4C1">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p>
        </w:tc>
        <w:tc>
          <w:tcPr>
            <w:tcW w:w="1923" w:type="dxa"/>
          </w:tcPr>
          <w:p w14:paraId="49FE1AA8">
            <w:pPr>
              <w:pStyle w:val="35"/>
              <w:ind w:firstLine="0" w:firstLineChars="0"/>
              <w:rPr>
                <w:rFonts w:ascii="黑体" w:hAnsi="黑体" w:eastAsia="黑体" w:cs="Segoe UI"/>
                <w:kern w:val="0"/>
                <w:sz w:val="28"/>
                <w:szCs w:val="28"/>
              </w:rPr>
            </w:pPr>
          </w:p>
        </w:tc>
        <w:tc>
          <w:tcPr>
            <w:tcW w:w="1791" w:type="dxa"/>
          </w:tcPr>
          <w:p w14:paraId="6BFDF9D1">
            <w:pPr>
              <w:pStyle w:val="35"/>
              <w:ind w:firstLine="0" w:firstLineChars="0"/>
              <w:rPr>
                <w:rFonts w:ascii="黑体" w:hAnsi="黑体" w:eastAsia="黑体" w:cs="Segoe UI"/>
                <w:kern w:val="0"/>
                <w:sz w:val="28"/>
                <w:szCs w:val="28"/>
              </w:rPr>
            </w:pPr>
          </w:p>
        </w:tc>
        <w:tc>
          <w:tcPr>
            <w:tcW w:w="1355" w:type="dxa"/>
          </w:tcPr>
          <w:p w14:paraId="5E76EA03">
            <w:pPr>
              <w:pStyle w:val="35"/>
              <w:ind w:firstLine="0" w:firstLineChars="0"/>
              <w:rPr>
                <w:rFonts w:ascii="黑体" w:hAnsi="黑体" w:eastAsia="黑体" w:cs="Segoe UI"/>
                <w:kern w:val="0"/>
                <w:sz w:val="28"/>
                <w:szCs w:val="28"/>
              </w:rPr>
            </w:pPr>
          </w:p>
        </w:tc>
        <w:tc>
          <w:tcPr>
            <w:tcW w:w="1356" w:type="dxa"/>
          </w:tcPr>
          <w:p w14:paraId="71A4D001">
            <w:pPr>
              <w:pStyle w:val="35"/>
              <w:ind w:firstLine="0" w:firstLineChars="0"/>
              <w:rPr>
                <w:rFonts w:ascii="黑体" w:hAnsi="黑体" w:eastAsia="黑体" w:cs="Segoe UI"/>
                <w:kern w:val="0"/>
                <w:sz w:val="28"/>
                <w:szCs w:val="28"/>
              </w:rPr>
            </w:pPr>
          </w:p>
        </w:tc>
        <w:tc>
          <w:tcPr>
            <w:tcW w:w="1356" w:type="dxa"/>
          </w:tcPr>
          <w:p w14:paraId="01AD338E">
            <w:pPr>
              <w:pStyle w:val="35"/>
              <w:ind w:firstLine="0" w:firstLineChars="0"/>
              <w:rPr>
                <w:rFonts w:ascii="黑体" w:hAnsi="黑体" w:eastAsia="黑体" w:cs="Segoe UI"/>
                <w:kern w:val="0"/>
                <w:sz w:val="28"/>
                <w:szCs w:val="28"/>
              </w:rPr>
            </w:pPr>
          </w:p>
        </w:tc>
      </w:tr>
      <w:tr w14:paraId="2F1A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93312CA">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3</w:t>
            </w:r>
          </w:p>
        </w:tc>
        <w:tc>
          <w:tcPr>
            <w:tcW w:w="1923" w:type="dxa"/>
            <w:vAlign w:val="top"/>
          </w:tcPr>
          <w:p w14:paraId="08E1FB7D">
            <w:pPr>
              <w:pStyle w:val="35"/>
              <w:ind w:firstLine="0" w:firstLineChars="0"/>
              <w:jc w:val="center"/>
              <w:rPr>
                <w:rFonts w:ascii="黑体" w:hAnsi="黑体" w:eastAsia="黑体" w:cs="Segoe UI"/>
                <w:kern w:val="0"/>
                <w:sz w:val="28"/>
                <w:szCs w:val="28"/>
              </w:rPr>
            </w:pPr>
          </w:p>
        </w:tc>
        <w:tc>
          <w:tcPr>
            <w:tcW w:w="1791" w:type="dxa"/>
            <w:vAlign w:val="top"/>
          </w:tcPr>
          <w:p w14:paraId="3C323F01">
            <w:pPr>
              <w:pStyle w:val="35"/>
              <w:ind w:right="560" w:rightChars="0" w:firstLine="980" w:firstLineChars="350"/>
              <w:jc w:val="left"/>
              <w:rPr>
                <w:rFonts w:ascii="黑体" w:hAnsi="黑体" w:eastAsia="黑体" w:cs="Segoe UI"/>
                <w:kern w:val="0"/>
                <w:sz w:val="28"/>
                <w:szCs w:val="28"/>
              </w:rPr>
            </w:pPr>
          </w:p>
        </w:tc>
        <w:tc>
          <w:tcPr>
            <w:tcW w:w="1355" w:type="dxa"/>
            <w:vAlign w:val="top"/>
          </w:tcPr>
          <w:p w14:paraId="20C8C783">
            <w:pPr>
              <w:pStyle w:val="35"/>
              <w:ind w:firstLine="0" w:firstLineChars="0"/>
              <w:jc w:val="center"/>
              <w:rPr>
                <w:rFonts w:ascii="黑体" w:hAnsi="黑体" w:eastAsia="黑体" w:cs="Segoe UI"/>
                <w:kern w:val="0"/>
                <w:sz w:val="28"/>
                <w:szCs w:val="28"/>
              </w:rPr>
            </w:pPr>
          </w:p>
        </w:tc>
        <w:tc>
          <w:tcPr>
            <w:tcW w:w="1356" w:type="dxa"/>
            <w:vAlign w:val="top"/>
          </w:tcPr>
          <w:p w14:paraId="384F3439">
            <w:pPr>
              <w:pStyle w:val="35"/>
              <w:ind w:firstLine="0" w:firstLineChars="0"/>
              <w:jc w:val="right"/>
              <w:rPr>
                <w:rFonts w:ascii="黑体" w:hAnsi="黑体" w:eastAsia="黑体" w:cs="Segoe UI"/>
                <w:kern w:val="0"/>
                <w:sz w:val="28"/>
                <w:szCs w:val="28"/>
              </w:rPr>
            </w:pPr>
          </w:p>
        </w:tc>
        <w:tc>
          <w:tcPr>
            <w:tcW w:w="1356" w:type="dxa"/>
          </w:tcPr>
          <w:p w14:paraId="69874AFE">
            <w:pPr>
              <w:pStyle w:val="35"/>
              <w:ind w:firstLine="0" w:firstLineChars="0"/>
              <w:jc w:val="right"/>
              <w:rPr>
                <w:rFonts w:ascii="黑体" w:hAnsi="黑体" w:eastAsia="黑体" w:cs="Segoe UI"/>
                <w:kern w:val="0"/>
                <w:sz w:val="28"/>
                <w:szCs w:val="28"/>
              </w:rPr>
            </w:pPr>
          </w:p>
        </w:tc>
      </w:tr>
      <w:tr w14:paraId="25D7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FDA223C">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4</w:t>
            </w:r>
          </w:p>
        </w:tc>
        <w:tc>
          <w:tcPr>
            <w:tcW w:w="1923" w:type="dxa"/>
          </w:tcPr>
          <w:p w14:paraId="27A357CA">
            <w:pPr>
              <w:pStyle w:val="35"/>
              <w:ind w:firstLine="0" w:firstLineChars="0"/>
              <w:jc w:val="center"/>
              <w:rPr>
                <w:rFonts w:hint="eastAsia" w:ascii="黑体" w:hAnsi="黑体" w:eastAsia="黑体" w:cs="Segoe UI"/>
                <w:kern w:val="0"/>
                <w:sz w:val="28"/>
                <w:szCs w:val="28"/>
              </w:rPr>
            </w:pPr>
          </w:p>
        </w:tc>
        <w:tc>
          <w:tcPr>
            <w:tcW w:w="1791" w:type="dxa"/>
          </w:tcPr>
          <w:p w14:paraId="27FFF267">
            <w:pPr>
              <w:pStyle w:val="35"/>
              <w:ind w:right="560" w:firstLine="980" w:firstLineChars="350"/>
              <w:jc w:val="left"/>
              <w:rPr>
                <w:rFonts w:hint="eastAsia" w:ascii="黑体" w:hAnsi="黑体" w:eastAsia="黑体" w:cs="Segoe UI"/>
                <w:kern w:val="0"/>
                <w:sz w:val="28"/>
                <w:szCs w:val="28"/>
              </w:rPr>
            </w:pPr>
          </w:p>
        </w:tc>
        <w:tc>
          <w:tcPr>
            <w:tcW w:w="1355" w:type="dxa"/>
          </w:tcPr>
          <w:p w14:paraId="58BBD2A8">
            <w:pPr>
              <w:pStyle w:val="35"/>
              <w:ind w:firstLine="0" w:firstLineChars="0"/>
              <w:jc w:val="center"/>
              <w:rPr>
                <w:rFonts w:hint="eastAsia" w:ascii="黑体" w:hAnsi="黑体" w:eastAsia="黑体" w:cs="Segoe UI"/>
                <w:kern w:val="0"/>
                <w:sz w:val="28"/>
                <w:szCs w:val="28"/>
              </w:rPr>
            </w:pPr>
          </w:p>
        </w:tc>
        <w:tc>
          <w:tcPr>
            <w:tcW w:w="1356" w:type="dxa"/>
          </w:tcPr>
          <w:p w14:paraId="69EF217F">
            <w:pPr>
              <w:pStyle w:val="35"/>
              <w:ind w:firstLine="0" w:firstLineChars="0"/>
              <w:jc w:val="right"/>
              <w:rPr>
                <w:rFonts w:hint="eastAsia" w:ascii="黑体" w:hAnsi="黑体" w:eastAsia="黑体" w:cs="Segoe UI"/>
                <w:kern w:val="0"/>
                <w:sz w:val="28"/>
                <w:szCs w:val="28"/>
              </w:rPr>
            </w:pPr>
          </w:p>
        </w:tc>
        <w:tc>
          <w:tcPr>
            <w:tcW w:w="1356" w:type="dxa"/>
          </w:tcPr>
          <w:p w14:paraId="413703C6">
            <w:pPr>
              <w:pStyle w:val="35"/>
              <w:ind w:firstLine="0" w:firstLineChars="0"/>
              <w:jc w:val="right"/>
              <w:rPr>
                <w:rFonts w:ascii="黑体" w:hAnsi="黑体" w:eastAsia="黑体" w:cs="Segoe UI"/>
                <w:kern w:val="0"/>
                <w:sz w:val="28"/>
                <w:szCs w:val="28"/>
              </w:rPr>
            </w:pPr>
          </w:p>
        </w:tc>
      </w:tr>
      <w:tr w14:paraId="7056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83B07FE">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5</w:t>
            </w:r>
          </w:p>
        </w:tc>
        <w:tc>
          <w:tcPr>
            <w:tcW w:w="1923" w:type="dxa"/>
          </w:tcPr>
          <w:p w14:paraId="1F622B97">
            <w:pPr>
              <w:pStyle w:val="35"/>
              <w:ind w:firstLine="0" w:firstLineChars="0"/>
              <w:jc w:val="center"/>
              <w:rPr>
                <w:rFonts w:hint="eastAsia" w:ascii="黑体" w:hAnsi="黑体" w:eastAsia="黑体" w:cs="Segoe UI"/>
                <w:kern w:val="0"/>
                <w:sz w:val="28"/>
                <w:szCs w:val="28"/>
              </w:rPr>
            </w:pPr>
          </w:p>
        </w:tc>
        <w:tc>
          <w:tcPr>
            <w:tcW w:w="1791" w:type="dxa"/>
          </w:tcPr>
          <w:p w14:paraId="3D751995">
            <w:pPr>
              <w:pStyle w:val="35"/>
              <w:ind w:right="560" w:firstLine="980" w:firstLineChars="350"/>
              <w:jc w:val="left"/>
              <w:rPr>
                <w:rFonts w:hint="eastAsia" w:ascii="黑体" w:hAnsi="黑体" w:eastAsia="黑体" w:cs="Segoe UI"/>
                <w:kern w:val="0"/>
                <w:sz w:val="28"/>
                <w:szCs w:val="28"/>
              </w:rPr>
            </w:pPr>
          </w:p>
        </w:tc>
        <w:tc>
          <w:tcPr>
            <w:tcW w:w="1355" w:type="dxa"/>
          </w:tcPr>
          <w:p w14:paraId="40CB5EE1">
            <w:pPr>
              <w:pStyle w:val="35"/>
              <w:ind w:firstLine="0" w:firstLineChars="0"/>
              <w:jc w:val="center"/>
              <w:rPr>
                <w:rFonts w:hint="eastAsia" w:ascii="黑体" w:hAnsi="黑体" w:eastAsia="黑体" w:cs="Segoe UI"/>
                <w:kern w:val="0"/>
                <w:sz w:val="28"/>
                <w:szCs w:val="28"/>
              </w:rPr>
            </w:pPr>
          </w:p>
        </w:tc>
        <w:tc>
          <w:tcPr>
            <w:tcW w:w="1356" w:type="dxa"/>
          </w:tcPr>
          <w:p w14:paraId="73C8DDB0">
            <w:pPr>
              <w:pStyle w:val="35"/>
              <w:ind w:firstLine="0" w:firstLineChars="0"/>
              <w:jc w:val="right"/>
              <w:rPr>
                <w:rFonts w:hint="eastAsia" w:ascii="黑体" w:hAnsi="黑体" w:eastAsia="黑体" w:cs="Segoe UI"/>
                <w:kern w:val="0"/>
                <w:sz w:val="28"/>
                <w:szCs w:val="28"/>
              </w:rPr>
            </w:pPr>
          </w:p>
        </w:tc>
        <w:tc>
          <w:tcPr>
            <w:tcW w:w="1356" w:type="dxa"/>
          </w:tcPr>
          <w:p w14:paraId="2E1FDBE0">
            <w:pPr>
              <w:pStyle w:val="35"/>
              <w:ind w:firstLine="0" w:firstLineChars="0"/>
              <w:jc w:val="right"/>
              <w:rPr>
                <w:rFonts w:ascii="黑体" w:hAnsi="黑体" w:eastAsia="黑体" w:cs="Segoe UI"/>
                <w:kern w:val="0"/>
                <w:sz w:val="28"/>
                <w:szCs w:val="28"/>
              </w:rPr>
            </w:pPr>
          </w:p>
        </w:tc>
      </w:tr>
      <w:tr w14:paraId="18B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0E7D782">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923" w:type="dxa"/>
          </w:tcPr>
          <w:p w14:paraId="6F52C176">
            <w:pPr>
              <w:pStyle w:val="35"/>
              <w:ind w:firstLine="0" w:firstLineChars="0"/>
              <w:jc w:val="center"/>
              <w:rPr>
                <w:rFonts w:hint="eastAsia" w:ascii="黑体" w:hAnsi="黑体" w:eastAsia="黑体" w:cs="Segoe UI"/>
                <w:kern w:val="0"/>
                <w:sz w:val="28"/>
                <w:szCs w:val="28"/>
              </w:rPr>
            </w:pPr>
          </w:p>
        </w:tc>
        <w:tc>
          <w:tcPr>
            <w:tcW w:w="1791" w:type="dxa"/>
          </w:tcPr>
          <w:p w14:paraId="3D70223E">
            <w:pPr>
              <w:pStyle w:val="35"/>
              <w:ind w:right="560" w:firstLine="980" w:firstLineChars="350"/>
              <w:jc w:val="left"/>
              <w:rPr>
                <w:rFonts w:hint="eastAsia" w:ascii="黑体" w:hAnsi="黑体" w:eastAsia="黑体" w:cs="Segoe UI"/>
                <w:kern w:val="0"/>
                <w:sz w:val="28"/>
                <w:szCs w:val="28"/>
              </w:rPr>
            </w:pPr>
          </w:p>
        </w:tc>
        <w:tc>
          <w:tcPr>
            <w:tcW w:w="1355" w:type="dxa"/>
          </w:tcPr>
          <w:p w14:paraId="0496B395">
            <w:pPr>
              <w:pStyle w:val="35"/>
              <w:ind w:firstLine="0" w:firstLineChars="0"/>
              <w:jc w:val="center"/>
              <w:rPr>
                <w:rFonts w:hint="eastAsia" w:ascii="黑体" w:hAnsi="黑体" w:eastAsia="黑体" w:cs="Segoe UI"/>
                <w:kern w:val="0"/>
                <w:sz w:val="28"/>
                <w:szCs w:val="28"/>
              </w:rPr>
            </w:pPr>
          </w:p>
        </w:tc>
        <w:tc>
          <w:tcPr>
            <w:tcW w:w="1356" w:type="dxa"/>
          </w:tcPr>
          <w:p w14:paraId="551DB7EB">
            <w:pPr>
              <w:pStyle w:val="35"/>
              <w:ind w:firstLine="0" w:firstLineChars="0"/>
              <w:jc w:val="right"/>
              <w:rPr>
                <w:rFonts w:hint="eastAsia" w:ascii="黑体" w:hAnsi="黑体" w:eastAsia="黑体" w:cs="Segoe UI"/>
                <w:kern w:val="0"/>
                <w:sz w:val="28"/>
                <w:szCs w:val="28"/>
              </w:rPr>
            </w:pPr>
          </w:p>
        </w:tc>
        <w:tc>
          <w:tcPr>
            <w:tcW w:w="1356" w:type="dxa"/>
          </w:tcPr>
          <w:p w14:paraId="53AB7D6F">
            <w:pPr>
              <w:pStyle w:val="35"/>
              <w:ind w:firstLine="0" w:firstLineChars="0"/>
              <w:jc w:val="right"/>
              <w:rPr>
                <w:rFonts w:ascii="黑体" w:hAnsi="黑体" w:eastAsia="黑体" w:cs="Segoe UI"/>
                <w:kern w:val="0"/>
                <w:sz w:val="28"/>
                <w:szCs w:val="28"/>
              </w:rPr>
            </w:pPr>
          </w:p>
        </w:tc>
      </w:tr>
      <w:tr w14:paraId="358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497E60F">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合计</w:t>
            </w:r>
          </w:p>
        </w:tc>
        <w:tc>
          <w:tcPr>
            <w:tcW w:w="1923" w:type="dxa"/>
            <w:vAlign w:val="top"/>
          </w:tcPr>
          <w:p w14:paraId="1498D97D">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791" w:type="dxa"/>
            <w:vAlign w:val="top"/>
          </w:tcPr>
          <w:p w14:paraId="2A70C03D">
            <w:pPr>
              <w:pStyle w:val="35"/>
              <w:ind w:right="560" w:rightChars="0" w:firstLine="980" w:firstLineChars="350"/>
              <w:jc w:val="left"/>
              <w:rPr>
                <w:rFonts w:hint="eastAsia" w:ascii="黑体" w:hAnsi="黑体" w:eastAsia="黑体" w:cs="Segoe UI"/>
                <w:kern w:val="0"/>
                <w:sz w:val="28"/>
                <w:szCs w:val="28"/>
              </w:rPr>
            </w:pPr>
            <w:r>
              <w:rPr>
                <w:rFonts w:hint="eastAsia" w:ascii="黑体" w:hAnsi="黑体" w:eastAsia="黑体" w:cs="Segoe UI"/>
                <w:kern w:val="0"/>
                <w:sz w:val="28"/>
                <w:szCs w:val="28"/>
              </w:rPr>
              <w:t>家</w:t>
            </w:r>
          </w:p>
        </w:tc>
        <w:tc>
          <w:tcPr>
            <w:tcW w:w="1355" w:type="dxa"/>
            <w:vAlign w:val="top"/>
          </w:tcPr>
          <w:p w14:paraId="7D584D35">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356" w:type="dxa"/>
            <w:vAlign w:val="top"/>
          </w:tcPr>
          <w:p w14:paraId="63F63AD2">
            <w:pPr>
              <w:pStyle w:val="35"/>
              <w:ind w:firstLine="0" w:firstLineChars="0"/>
              <w:jc w:val="right"/>
              <w:rPr>
                <w:rFonts w:hint="eastAsia" w:ascii="黑体" w:hAnsi="黑体" w:eastAsia="黑体" w:cs="Segoe UI"/>
                <w:kern w:val="0"/>
                <w:sz w:val="28"/>
                <w:szCs w:val="28"/>
              </w:rPr>
            </w:pPr>
            <w:r>
              <w:rPr>
                <w:rFonts w:hint="eastAsia" w:ascii="黑体" w:hAnsi="黑体" w:eastAsia="黑体" w:cs="Segoe UI"/>
                <w:kern w:val="0"/>
                <w:sz w:val="28"/>
                <w:szCs w:val="28"/>
              </w:rPr>
              <w:t>台</w:t>
            </w:r>
          </w:p>
        </w:tc>
        <w:tc>
          <w:tcPr>
            <w:tcW w:w="1356" w:type="dxa"/>
            <w:vAlign w:val="center"/>
          </w:tcPr>
          <w:p w14:paraId="0A7208AE">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合计</w:t>
            </w:r>
          </w:p>
        </w:tc>
      </w:tr>
    </w:tbl>
    <w:p w14:paraId="20B0E0DD">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r>
        <w:rPr>
          <w:rFonts w:hint="eastAsia" w:ascii="黑体" w:hAnsi="黑体" w:eastAsia="黑体" w:cs="仿宋_GB2312"/>
          <w:sz w:val="28"/>
          <w:szCs w:val="28"/>
          <w:lang w:val="en-US" w:eastAsia="zh-CN"/>
        </w:rPr>
        <w:t>中标通知书或合同扫描件：</w:t>
      </w:r>
    </w:p>
    <w:p w14:paraId="1168D01C">
      <w:pPr>
        <w:numPr>
          <w:ilvl w:val="0"/>
          <w:numId w:val="0"/>
        </w:numPr>
        <w:kinsoku/>
        <w:overflowPunct/>
        <w:topLinePunct w:val="0"/>
        <w:bidi w:val="0"/>
        <w:ind w:right="0" w:rightChars="0"/>
        <w:jc w:val="both"/>
        <w:rPr>
          <w:rFonts w:hint="eastAsia" w:ascii="宋体" w:hAnsi="宋体" w:cs="宋体"/>
          <w:b/>
          <w:bCs/>
          <w:color w:val="auto"/>
          <w:sz w:val="28"/>
          <w:szCs w:val="28"/>
        </w:rPr>
      </w:pPr>
    </w:p>
    <w:p w14:paraId="12CA5CB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CE7B2CA">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B600B00">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4A559E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5B2753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DEA55C9">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8"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467E6BBE">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lang w:val="en-US" w:eastAsia="zh-CN"/>
        </w:rPr>
        <w:t>（五）</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7DD9BEB2">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3CB279F3">
      <w:pPr>
        <w:pStyle w:val="52"/>
        <w:keepNext w:val="0"/>
        <w:keepLines w:val="0"/>
        <w:pageBreakBefore w:val="0"/>
        <w:numPr>
          <w:ilvl w:val="0"/>
          <w:numId w:val="3"/>
        </w:numPr>
        <w:kinsoku/>
        <w:wordWrap/>
        <w:overflowPunct/>
        <w:topLinePunct w:val="0"/>
        <w:autoSpaceDE/>
        <w:autoSpaceDN/>
        <w:bidi w:val="0"/>
        <w:adjustRightInd w:val="0"/>
        <w:snapToGrid w:val="0"/>
        <w:spacing w:line="360" w:lineRule="auto"/>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34336B01">
      <w:pPr>
        <w:keepNext w:val="0"/>
        <w:keepLines w:val="0"/>
        <w:pageBreakBefore w:val="0"/>
        <w:widowControl/>
        <w:numPr>
          <w:ilvl w:val="0"/>
          <w:numId w:val="3"/>
        </w:numPr>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2ECB5D9F">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3448DF2D">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53D2C073">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360508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1178F950">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 w:val="24"/>
          <w:szCs w:val="24"/>
          <w:highlight w:val="none"/>
        </w:rPr>
      </w:pPr>
    </w:p>
    <w:p w14:paraId="2DFBDF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17816448">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70ACBF">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34ACED9A">
      <w:pPr>
        <w:kinsoku/>
        <w:overflowPunct/>
        <w:topLinePunct w:val="0"/>
        <w:bidi w:val="0"/>
        <w:spacing w:line="360" w:lineRule="auto"/>
        <w:ind w:left="0" w:leftChars="0" w:right="0" w:rightChars="0" w:firstLine="480" w:firstLineChars="200"/>
        <w:rPr>
          <w:rFonts w:ascii="宋体" w:hAnsi="宋体"/>
          <w:color w:val="auto"/>
          <w:sz w:val="24"/>
        </w:rPr>
      </w:pPr>
    </w:p>
    <w:p w14:paraId="53086F2A">
      <w:pPr>
        <w:pStyle w:val="51"/>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详细目录</w:t>
      </w:r>
    </w:p>
    <w:p w14:paraId="3F6B4103">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10262"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333"/>
      </w:tblGrid>
      <w:tr w14:paraId="52FE2029">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79D310A">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FAD4C6">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353A01AC">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FEF275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6C1D3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2291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投标报价（现汇付款税率13%）</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DFD632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D81AD5A">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4317BCB">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6D905">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E130D1C">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0FBF8462">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D458999">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EBA7A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4F58FC">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70A4F52B">
            <w:pPr>
              <w:jc w:val="left"/>
              <w:rPr>
                <w:rFonts w:hint="eastAsia" w:ascii="宋体" w:hAnsi="宋体" w:eastAsia="宋体" w:cs="宋体"/>
                <w:b/>
                <w:i w:val="0"/>
                <w:color w:val="auto"/>
                <w:sz w:val="18"/>
                <w:szCs w:val="18"/>
                <w:highlight w:val="none"/>
                <w:u w:val="none"/>
              </w:rPr>
            </w:pPr>
          </w:p>
        </w:tc>
      </w:tr>
      <w:tr w14:paraId="601E0C1B">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986793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7258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349AC4">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D4FF1">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7C4C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1B33F">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D79F6">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FB4ABBC">
            <w:pPr>
              <w:rPr>
                <w:rFonts w:hint="eastAsia" w:ascii="宋体" w:hAnsi="宋体" w:eastAsia="宋体" w:cs="宋体"/>
                <w:i w:val="0"/>
                <w:color w:val="auto"/>
                <w:sz w:val="18"/>
                <w:szCs w:val="18"/>
                <w:highlight w:val="none"/>
                <w:u w:val="none"/>
              </w:rPr>
            </w:pPr>
          </w:p>
        </w:tc>
      </w:tr>
      <w:tr w14:paraId="1F6069D6">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555613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C909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A8BB2">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CCEE6">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99E57B">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2B33E4">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46F06D">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CF9235">
            <w:pPr>
              <w:rPr>
                <w:rFonts w:hint="eastAsia" w:ascii="宋体" w:hAnsi="宋体" w:eastAsia="宋体" w:cs="宋体"/>
                <w:i w:val="0"/>
                <w:color w:val="auto"/>
                <w:sz w:val="18"/>
                <w:szCs w:val="18"/>
                <w:highlight w:val="none"/>
                <w:u w:val="none"/>
              </w:rPr>
            </w:pPr>
          </w:p>
        </w:tc>
      </w:tr>
      <w:tr w14:paraId="59F7847A">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C55B187">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663"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6A55F7C">
            <w:pPr>
              <w:rPr>
                <w:rFonts w:hint="default" w:ascii="宋体" w:hAnsi="宋体" w:eastAsia="宋体" w:cs="宋体"/>
                <w:b/>
                <w:bCs/>
                <w:i w:val="0"/>
                <w:color w:val="auto"/>
                <w:sz w:val="18"/>
                <w:szCs w:val="18"/>
                <w:highlight w:val="none"/>
                <w:u w:val="none"/>
                <w:lang w:val="en-US" w:eastAsia="zh-CN"/>
              </w:rPr>
            </w:pPr>
          </w:p>
        </w:tc>
      </w:tr>
    </w:tbl>
    <w:p w14:paraId="3F88254E">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DFDCE20">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A61F3EC">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EC3A293">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197799B">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E45D43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56E543D8">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4EBDF0F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4755A8">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3363FD">
      <w:pPr>
        <w:kinsoku/>
        <w:overflowPunct/>
        <w:topLinePunct w:val="0"/>
        <w:bidi w:val="0"/>
        <w:spacing w:line="360" w:lineRule="auto"/>
        <w:ind w:left="0" w:leftChars="0" w:right="0" w:rightChars="0" w:firstLine="562" w:firstLineChars="200"/>
        <w:jc w:val="left"/>
        <w:rPr>
          <w:rFonts w:hint="eastAsia" w:ascii="宋体" w:hAnsi="宋体" w:cs="宋体"/>
          <w:b/>
          <w:bCs/>
          <w:color w:val="auto"/>
          <w:sz w:val="28"/>
          <w:szCs w:val="28"/>
          <w:lang w:val="en-US" w:eastAsia="zh-CN"/>
        </w:rPr>
      </w:pPr>
    </w:p>
    <w:p w14:paraId="0AAB435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0566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89D6AC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9B3342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DD1B4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49BD2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9DDF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112E6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12CB7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BD51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CFB6D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E9965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7976FAA">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6ED2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93B4BA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34CEA8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C1D5BF0">
      <w:pPr>
        <w:kinsoku/>
        <w:overflowPunct/>
        <w:topLinePunct w:val="0"/>
        <w:bidi w:val="0"/>
        <w:spacing w:line="360" w:lineRule="auto"/>
        <w:ind w:left="0" w:leftChars="0" w:right="0" w:rightChars="0" w:firstLine="562" w:firstLineChars="200"/>
        <w:jc w:val="left"/>
        <w:rPr>
          <w:rFonts w:hint="default"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六</w:t>
      </w:r>
      <w:r>
        <w:rPr>
          <w:rFonts w:hint="eastAsia" w:ascii="宋体" w:hAnsi="宋体"/>
          <w:b/>
          <w:color w:val="auto"/>
          <w:sz w:val="28"/>
          <w:lang w:eastAsia="zh-CN"/>
        </w:rPr>
        <w:t>）</w:t>
      </w:r>
      <w:r>
        <w:rPr>
          <w:rFonts w:hint="eastAsia" w:ascii="宋体" w:hAnsi="宋体"/>
          <w:b/>
          <w:color w:val="auto"/>
          <w:sz w:val="28"/>
          <w:lang w:val="en-US" w:eastAsia="zh-CN"/>
        </w:rPr>
        <w:t>技术规格书</w:t>
      </w:r>
    </w:p>
    <w:p w14:paraId="51E2364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B396EF">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4F3E23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68158F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63323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4402D8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0F40D8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0E260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22633C5">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09CF8F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4A4C6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15B843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F756D0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E55A50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0E53F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5F52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E0EE75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FAC1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21DD7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97B60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5F7FA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A44F18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七</w:t>
      </w:r>
      <w:r>
        <w:rPr>
          <w:rFonts w:hint="eastAsia" w:ascii="宋体" w:hAnsi="宋体"/>
          <w:b/>
          <w:color w:val="auto"/>
          <w:sz w:val="28"/>
          <w:lang w:eastAsia="zh-CN"/>
        </w:rPr>
        <w:t>）</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9"/>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8"/>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9"/>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9"/>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9"/>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9"/>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9"/>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9"/>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9"/>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3"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458D284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55E5D09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4、随货提供详细的资料，包括但不限于：产品名称、规格型号、位号（标注在铭上）、合格证、执行机构使用说明书和泄漏检测报告等。</w:t>
      </w:r>
    </w:p>
    <w:p w14:paraId="041B8FF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7B08269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5、本合同未涉及的控制阀其它参数，以合同附件《技术规格书》为准。《技术规格书》作为本合同的附件和验收标准，具有同等法律效力。</w:t>
      </w:r>
    </w:p>
    <w:p w14:paraId="36DDE6C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sz w:val="24"/>
          <w:szCs w:val="24"/>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ascii="黑体" w:hAnsi="黑体" w:eastAsia="黑体" w:cs="黑体"/>
          <w:color w:val="auto"/>
          <w:sz w:val="24"/>
          <w:szCs w:val="24"/>
        </w:rPr>
        <w:t>（以下无正文）</w:t>
      </w:r>
      <w:bookmarkEnd w:id="3"/>
    </w:p>
    <w:tbl>
      <w:tblPr>
        <w:tblStyle w:val="17"/>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0BC3CC39">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附件：技术规格书</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BDD4">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CAC75A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89A5">
    <w:pPr>
      <w:pStyle w:val="9"/>
      <w:framePr w:wrap="around" w:vAnchor="text" w:hAnchor="margin" w:xAlign="center" w:y="1"/>
      <w:rPr>
        <w:rStyle w:val="21"/>
      </w:rPr>
    </w:pPr>
    <w:r>
      <w:fldChar w:fldCharType="begin"/>
    </w:r>
    <w:r>
      <w:rPr>
        <w:rStyle w:val="21"/>
      </w:rPr>
      <w:instrText xml:space="preserve">PAGE  </w:instrText>
    </w:r>
    <w:r>
      <w:fldChar w:fldCharType="end"/>
    </w:r>
  </w:p>
  <w:p w14:paraId="10C014F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25D10BB">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DE5EFA6F"/>
    <w:multiLevelType w:val="singleLevel"/>
    <w:tmpl w:val="DE5EFA6F"/>
    <w:lvl w:ilvl="0" w:tentative="0">
      <w:start w:val="2"/>
      <w:numFmt w:val="chineseCounting"/>
      <w:suff w:val="nothing"/>
      <w:lvlText w:val="%1、"/>
      <w:lvlJc w:val="left"/>
      <w:rPr>
        <w:rFonts w:hint="eastAsia"/>
      </w:rPr>
    </w:lvl>
  </w:abstractNum>
  <w:abstractNum w:abstractNumId="2">
    <w:nsid w:val="F684F18F"/>
    <w:multiLevelType w:val="singleLevel"/>
    <w:tmpl w:val="F684F18F"/>
    <w:lvl w:ilvl="0" w:tentative="0">
      <w:start w:val="3"/>
      <w:numFmt w:val="chineseCounting"/>
      <w:suff w:val="nothing"/>
      <w:lvlText w:val="（%1）"/>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0E63C2"/>
    <w:rsid w:val="041E3808"/>
    <w:rsid w:val="043B2184"/>
    <w:rsid w:val="0475718F"/>
    <w:rsid w:val="0485137E"/>
    <w:rsid w:val="04C66C1A"/>
    <w:rsid w:val="04D1736D"/>
    <w:rsid w:val="05573D16"/>
    <w:rsid w:val="057443B4"/>
    <w:rsid w:val="05C017FD"/>
    <w:rsid w:val="0687687D"/>
    <w:rsid w:val="06F2489E"/>
    <w:rsid w:val="070268E6"/>
    <w:rsid w:val="07501427"/>
    <w:rsid w:val="076636BD"/>
    <w:rsid w:val="08E66490"/>
    <w:rsid w:val="094A00EB"/>
    <w:rsid w:val="094A52F2"/>
    <w:rsid w:val="094D7C7A"/>
    <w:rsid w:val="097507C7"/>
    <w:rsid w:val="097D22E2"/>
    <w:rsid w:val="09AD2157"/>
    <w:rsid w:val="0A3C4D43"/>
    <w:rsid w:val="0B6C6FDB"/>
    <w:rsid w:val="0C2D337D"/>
    <w:rsid w:val="0C5F0F6E"/>
    <w:rsid w:val="0D004BE0"/>
    <w:rsid w:val="0D6635DC"/>
    <w:rsid w:val="0EC51CF1"/>
    <w:rsid w:val="0F783207"/>
    <w:rsid w:val="0F797A29"/>
    <w:rsid w:val="0FBB34F5"/>
    <w:rsid w:val="0FFD54BA"/>
    <w:rsid w:val="10525110"/>
    <w:rsid w:val="110E7C3C"/>
    <w:rsid w:val="1135379E"/>
    <w:rsid w:val="117D68B3"/>
    <w:rsid w:val="120F5BA7"/>
    <w:rsid w:val="1235718D"/>
    <w:rsid w:val="12744159"/>
    <w:rsid w:val="128A3A09"/>
    <w:rsid w:val="12A6008B"/>
    <w:rsid w:val="12D009A7"/>
    <w:rsid w:val="13BF5D63"/>
    <w:rsid w:val="13C54541"/>
    <w:rsid w:val="14592936"/>
    <w:rsid w:val="14676D7E"/>
    <w:rsid w:val="15440311"/>
    <w:rsid w:val="15916DD0"/>
    <w:rsid w:val="15CD39A8"/>
    <w:rsid w:val="16413351"/>
    <w:rsid w:val="164E090F"/>
    <w:rsid w:val="16937390"/>
    <w:rsid w:val="16F83C6D"/>
    <w:rsid w:val="172F5937"/>
    <w:rsid w:val="17660053"/>
    <w:rsid w:val="177C482D"/>
    <w:rsid w:val="184B447E"/>
    <w:rsid w:val="190E59FE"/>
    <w:rsid w:val="19393A07"/>
    <w:rsid w:val="1A294B27"/>
    <w:rsid w:val="1A683441"/>
    <w:rsid w:val="1AF80BA7"/>
    <w:rsid w:val="1B3A0C89"/>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CC5B88"/>
    <w:rsid w:val="25EA69AA"/>
    <w:rsid w:val="26933E36"/>
    <w:rsid w:val="26BC19A6"/>
    <w:rsid w:val="26D71416"/>
    <w:rsid w:val="279E3E6D"/>
    <w:rsid w:val="27A73E71"/>
    <w:rsid w:val="27B8643F"/>
    <w:rsid w:val="28564D7B"/>
    <w:rsid w:val="289607B9"/>
    <w:rsid w:val="28F11C08"/>
    <w:rsid w:val="290166AE"/>
    <w:rsid w:val="29922781"/>
    <w:rsid w:val="2A494963"/>
    <w:rsid w:val="2A5A72A6"/>
    <w:rsid w:val="2A7A0382"/>
    <w:rsid w:val="2AAB5DE7"/>
    <w:rsid w:val="2AC075D6"/>
    <w:rsid w:val="2C0635BA"/>
    <w:rsid w:val="2C612895"/>
    <w:rsid w:val="2C672453"/>
    <w:rsid w:val="2D494CF1"/>
    <w:rsid w:val="2EC03E0B"/>
    <w:rsid w:val="2EE64169"/>
    <w:rsid w:val="2FA06300"/>
    <w:rsid w:val="300E355A"/>
    <w:rsid w:val="30337F16"/>
    <w:rsid w:val="30464A25"/>
    <w:rsid w:val="3082583C"/>
    <w:rsid w:val="30AA38EA"/>
    <w:rsid w:val="31A45B7D"/>
    <w:rsid w:val="31A5035D"/>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3C6135"/>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1F0F0B"/>
    <w:rsid w:val="47F46EAE"/>
    <w:rsid w:val="48724017"/>
    <w:rsid w:val="48750F6C"/>
    <w:rsid w:val="492B4B3C"/>
    <w:rsid w:val="4A185620"/>
    <w:rsid w:val="4A6F4C2B"/>
    <w:rsid w:val="4A8B5684"/>
    <w:rsid w:val="4B964C95"/>
    <w:rsid w:val="4BDF7931"/>
    <w:rsid w:val="4D477799"/>
    <w:rsid w:val="4DCF4AEB"/>
    <w:rsid w:val="4E0D1159"/>
    <w:rsid w:val="4E5A52AA"/>
    <w:rsid w:val="4EE10E98"/>
    <w:rsid w:val="4EE97C85"/>
    <w:rsid w:val="4F203C16"/>
    <w:rsid w:val="4FE70DC0"/>
    <w:rsid w:val="502E581F"/>
    <w:rsid w:val="50CC06E1"/>
    <w:rsid w:val="50F46497"/>
    <w:rsid w:val="51132C1C"/>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152C97"/>
    <w:rsid w:val="5D2F2B1E"/>
    <w:rsid w:val="5D981B02"/>
    <w:rsid w:val="5DEF5A0F"/>
    <w:rsid w:val="5DF72B16"/>
    <w:rsid w:val="5EB75F23"/>
    <w:rsid w:val="5ECA3D86"/>
    <w:rsid w:val="5F4D50E3"/>
    <w:rsid w:val="60303C60"/>
    <w:rsid w:val="61E15FB7"/>
    <w:rsid w:val="622C60C9"/>
    <w:rsid w:val="626B0ACC"/>
    <w:rsid w:val="626F728B"/>
    <w:rsid w:val="62A42563"/>
    <w:rsid w:val="63210307"/>
    <w:rsid w:val="633B16F7"/>
    <w:rsid w:val="633F1D52"/>
    <w:rsid w:val="63613BBD"/>
    <w:rsid w:val="64132ACB"/>
    <w:rsid w:val="644F1AB3"/>
    <w:rsid w:val="65CA7906"/>
    <w:rsid w:val="661512EF"/>
    <w:rsid w:val="66A77D57"/>
    <w:rsid w:val="66C75014"/>
    <w:rsid w:val="672B6AD9"/>
    <w:rsid w:val="67CD5013"/>
    <w:rsid w:val="68E42148"/>
    <w:rsid w:val="68F9171A"/>
    <w:rsid w:val="68FF4D7A"/>
    <w:rsid w:val="693A47A3"/>
    <w:rsid w:val="69B61D6F"/>
    <w:rsid w:val="69C1618A"/>
    <w:rsid w:val="6AB2229E"/>
    <w:rsid w:val="6AFB2A69"/>
    <w:rsid w:val="6B3E4F40"/>
    <w:rsid w:val="6B4C26F3"/>
    <w:rsid w:val="6B73407C"/>
    <w:rsid w:val="6C465631"/>
    <w:rsid w:val="6C6400AB"/>
    <w:rsid w:val="6C8B590C"/>
    <w:rsid w:val="6D343A27"/>
    <w:rsid w:val="6DCF182B"/>
    <w:rsid w:val="6E7D601E"/>
    <w:rsid w:val="6F712728"/>
    <w:rsid w:val="6FF06CE8"/>
    <w:rsid w:val="71710FBA"/>
    <w:rsid w:val="72F9402A"/>
    <w:rsid w:val="733A4279"/>
    <w:rsid w:val="73EF4F0F"/>
    <w:rsid w:val="74125240"/>
    <w:rsid w:val="747B1337"/>
    <w:rsid w:val="74D06143"/>
    <w:rsid w:val="75284014"/>
    <w:rsid w:val="75942B42"/>
    <w:rsid w:val="75D4756D"/>
    <w:rsid w:val="75E36E5B"/>
    <w:rsid w:val="772919C5"/>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4288</Words>
  <Characters>4692</Characters>
  <Lines>16</Lines>
  <Paragraphs>4</Paragraphs>
  <TotalTime>9</TotalTime>
  <ScaleCrop>false</ScaleCrop>
  <LinksUpToDate>false</LinksUpToDate>
  <CharactersWithSpaces>5608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2026-03-12T03:43:42Z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2052-12.1.0.25225</vt:lpwstr>
  </property>
  <property fmtid="{D5CDD505-2E9C-101B-9397-08002B2CF9AE}" pid="4" name="ICV">
    <vt:lpwstr>638278A91B6247A3A14F33886A0DB3EB_13</vt:lpwstr>
  </property>
</Properties>
</file>