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阳极保护不锈钢浓硫酸冷却器</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026-HW015</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bookmarkStart w:id="20" w:name="_GoBack"/>
      <w:r>
        <w:rPr>
          <w:rFonts w:hint="eastAsia" w:ascii="黑体" w:hAnsi="黑体" w:eastAsia="黑体" w:cs="Segoe UI"/>
          <w:b/>
          <w:bCs/>
          <w:color w:val="000000"/>
          <w:kern w:val="0"/>
          <w:sz w:val="32"/>
          <w:szCs w:val="32"/>
          <w:lang w:val="en-US" w:eastAsia="zh-CN"/>
        </w:rPr>
        <w:t>阳极保护不锈钢浓硫酸冷却器</w:t>
      </w:r>
      <w:bookmarkEnd w:id="20"/>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编号：YS-GKBX-2026-HW015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阳极保护不锈钢浓硫酸冷却器</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阳极保护不锈钢浓硫酸冷却器采购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阳极保护不锈钢浓硫酸冷却器2台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282"/>
        <w:gridCol w:w="2974"/>
        <w:gridCol w:w="1491"/>
        <w:gridCol w:w="2006"/>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282"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974"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491"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台</w:t>
            </w:r>
            <w:r>
              <w:rPr>
                <w:rFonts w:hint="eastAsia" w:ascii="黑体" w:hAnsi="黑体" w:eastAsia="黑体" w:cs="黑体"/>
                <w:kern w:val="0"/>
                <w:sz w:val="28"/>
                <w:szCs w:val="28"/>
              </w:rPr>
              <w:t>）</w:t>
            </w:r>
          </w:p>
        </w:tc>
        <w:tc>
          <w:tcPr>
            <w:tcW w:w="2006"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282" w:type="dxa"/>
            <w:noWrap w:val="0"/>
            <w:vAlign w:val="center"/>
          </w:tcPr>
          <w:p w14:paraId="6C832622">
            <w:pPr>
              <w:keepNext w:val="0"/>
              <w:keepLines w:val="0"/>
              <w:widowControl/>
              <w:suppressLineNumbers w:val="0"/>
              <w:jc w:val="left"/>
              <w:textAlignment w:val="center"/>
              <w:rPr>
                <w:rFonts w:hint="eastAsia" w:ascii="黑体" w:hAnsi="黑体" w:eastAsia="黑体" w:cs="黑体"/>
                <w:color w:val="000000"/>
                <w:kern w:val="0"/>
                <w:sz w:val="28"/>
                <w:szCs w:val="28"/>
                <w:lang w:eastAsia="zh-CN"/>
              </w:rPr>
            </w:pPr>
            <w:r>
              <w:rPr>
                <w:rFonts w:hint="eastAsia" w:ascii="黑体" w:hAnsi="黑体" w:eastAsia="黑体" w:cs="黑体"/>
                <w:i w:val="0"/>
                <w:iCs w:val="0"/>
                <w:color w:val="000000"/>
                <w:kern w:val="0"/>
                <w:sz w:val="28"/>
                <w:szCs w:val="28"/>
                <w:u w:val="none"/>
                <w:lang w:val="en-US" w:eastAsia="zh-CN" w:bidi="ar"/>
              </w:rPr>
              <w:t>阳极保护不锈钢浓硫酸冷却器</w:t>
            </w:r>
          </w:p>
        </w:tc>
        <w:tc>
          <w:tcPr>
            <w:tcW w:w="2974" w:type="dxa"/>
            <w:noWrap w:val="0"/>
            <w:vAlign w:val="center"/>
          </w:tcPr>
          <w:p w14:paraId="2945A292">
            <w:pPr>
              <w:keepNext w:val="0"/>
              <w:keepLines w:val="0"/>
              <w:widowControl/>
              <w:suppressLineNumbers w:val="0"/>
              <w:jc w:val="left"/>
              <w:textAlignment w:val="center"/>
              <w:rPr>
                <w:rFonts w:hint="eastAsia" w:ascii="黑体" w:hAnsi="黑体" w:eastAsia="黑体" w:cs="黑体"/>
                <w:color w:val="000000"/>
                <w:kern w:val="0"/>
                <w:sz w:val="28"/>
                <w:szCs w:val="28"/>
              </w:rPr>
            </w:pPr>
            <w:r>
              <w:rPr>
                <w:rFonts w:hint="eastAsia" w:ascii="微软雅黑" w:hAnsi="微软雅黑" w:eastAsia="微软雅黑" w:cs="微软雅黑"/>
                <w:i w:val="0"/>
                <w:iCs w:val="0"/>
                <w:color w:val="000000"/>
                <w:kern w:val="0"/>
                <w:sz w:val="22"/>
                <w:szCs w:val="22"/>
                <w:u w:val="none"/>
                <w:lang w:val="en-US" w:eastAsia="zh-CN" w:bidi="ar"/>
              </w:rPr>
              <w:t>换热面积330m² 工况条件详见酸冷器（一吸）详见技术规格</w:t>
            </w:r>
          </w:p>
        </w:tc>
        <w:tc>
          <w:tcPr>
            <w:tcW w:w="1491" w:type="dxa"/>
            <w:noWrap w:val="0"/>
            <w:vAlign w:val="center"/>
          </w:tcPr>
          <w:p w14:paraId="6A79436D">
            <w:pPr>
              <w:keepNext w:val="0"/>
              <w:keepLines w:val="0"/>
              <w:widowControl/>
              <w:suppressLineNumbers w:val="0"/>
              <w:jc w:val="center"/>
              <w:textAlignment w:val="center"/>
              <w:rPr>
                <w:rFonts w:hint="eastAsia" w:ascii="黑体" w:hAnsi="黑体" w:eastAsia="黑体" w:cs="黑体"/>
                <w:kern w:val="0"/>
                <w:sz w:val="28"/>
                <w:szCs w:val="28"/>
                <w:lang w:val="en-US" w:eastAsia="zh-CN"/>
              </w:rPr>
            </w:pPr>
            <w:r>
              <w:rPr>
                <w:rFonts w:hint="eastAsia" w:ascii="黑体" w:hAnsi="黑体" w:eastAsia="黑体" w:cs="黑体"/>
                <w:i w:val="0"/>
                <w:iCs w:val="0"/>
                <w:color w:val="000000"/>
                <w:kern w:val="0"/>
                <w:sz w:val="28"/>
                <w:szCs w:val="28"/>
                <w:u w:val="none"/>
                <w:lang w:val="en-US" w:eastAsia="zh-CN" w:bidi="ar"/>
              </w:rPr>
              <w:t>1</w:t>
            </w:r>
          </w:p>
        </w:tc>
        <w:tc>
          <w:tcPr>
            <w:tcW w:w="2006" w:type="dxa"/>
            <w:vMerge w:val="restart"/>
            <w:shd w:val="clear" w:color="auto" w:fill="auto"/>
            <w:noWrap w:val="0"/>
            <w:vAlign w:val="center"/>
          </w:tcPr>
          <w:p w14:paraId="14F156F5">
            <w:pPr>
              <w:keepNext w:val="0"/>
              <w:keepLines w:val="0"/>
              <w:widowControl/>
              <w:suppressLineNumbers w:val="0"/>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附件：酸冷器技术规格</w:t>
            </w:r>
          </w:p>
        </w:tc>
      </w:tr>
      <w:tr w14:paraId="3AC0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3F48388F">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2282" w:type="dxa"/>
            <w:noWrap w:val="0"/>
            <w:vAlign w:val="center"/>
          </w:tcPr>
          <w:p w14:paraId="3D2D8EB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阳极保护不锈钢浓硫酸冷却器</w:t>
            </w:r>
          </w:p>
        </w:tc>
        <w:tc>
          <w:tcPr>
            <w:tcW w:w="2974" w:type="dxa"/>
            <w:noWrap w:val="0"/>
            <w:vAlign w:val="center"/>
          </w:tcPr>
          <w:p w14:paraId="5D0F4BD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换热面积130m² 工况条件详见酸冷器（二吸）详见技术规格</w:t>
            </w:r>
          </w:p>
        </w:tc>
        <w:tc>
          <w:tcPr>
            <w:tcW w:w="1491" w:type="dxa"/>
            <w:noWrap w:val="0"/>
            <w:vAlign w:val="center"/>
          </w:tcPr>
          <w:p w14:paraId="3D2ADBD9">
            <w:pPr>
              <w:keepNext w:val="0"/>
              <w:keepLines w:val="0"/>
              <w:widowControl/>
              <w:suppressLineNumbers w:val="0"/>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1</w:t>
            </w:r>
          </w:p>
        </w:tc>
        <w:tc>
          <w:tcPr>
            <w:tcW w:w="2006" w:type="dxa"/>
            <w:vMerge w:val="continue"/>
            <w:tcBorders/>
            <w:shd w:val="clear" w:color="auto" w:fill="auto"/>
            <w:noWrap w:val="0"/>
            <w:vAlign w:val="center"/>
          </w:tcPr>
          <w:p w14:paraId="2B2528B0">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p>
        </w:tc>
      </w:tr>
    </w:tbl>
    <w:p w14:paraId="3938791C">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递交截止时间：2026年3月17日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阳极保护不锈钢浓硫酸冷却器相关资料（图片、参数说明等）。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275019836"/>
      <w:bookmarkStart w:id="5" w:name="_Toc274236999"/>
      <w:bookmarkStart w:id="6" w:name="_Toc275019290"/>
      <w:bookmarkStart w:id="7" w:name="_Toc303149804"/>
      <w:bookmarkStart w:id="8" w:name="_Toc275014947"/>
      <w:bookmarkStart w:id="9" w:name="_Toc16684"/>
      <w:bookmarkStart w:id="10" w:name="_Toc268793030"/>
      <w:bookmarkStart w:id="11" w:name="_Toc275019684"/>
      <w:bookmarkStart w:id="12" w:name="_Toc238797630"/>
      <w:bookmarkStart w:id="13" w:name="_Toc269113527"/>
      <w:bookmarkStart w:id="14" w:name="_Toc318986166"/>
      <w:bookmarkStart w:id="15" w:name="_Toc238552273"/>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阳极保护不锈钢浓硫酸冷却器</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阳极保护不锈钢浓硫酸冷却器</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520" w:firstLineChars="7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阳极保护不锈钢浓硫酸冷却器</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阳极保护不锈钢浓硫酸冷却器</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r w14:paraId="5633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53D0A742">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537" w:type="dxa"/>
            <w:vAlign w:val="center"/>
          </w:tcPr>
          <w:p w14:paraId="026B2E19">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阳极保护不锈钢浓硫酸冷却器</w:t>
            </w:r>
          </w:p>
        </w:tc>
        <w:tc>
          <w:tcPr>
            <w:tcW w:w="2213" w:type="dxa"/>
            <w:vAlign w:val="center"/>
          </w:tcPr>
          <w:p w14:paraId="70AD7FB1">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2138" w:type="dxa"/>
            <w:vAlign w:val="center"/>
          </w:tcPr>
          <w:p w14:paraId="0D132B1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902" w:type="dxa"/>
            <w:vAlign w:val="center"/>
          </w:tcPr>
          <w:p w14:paraId="7C162C22">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3635</Words>
  <Characters>3813</Characters>
  <Lines>16</Lines>
  <Paragraphs>4</Paragraphs>
  <TotalTime>6</TotalTime>
  <ScaleCrop>false</ScaleCrop>
  <LinksUpToDate>false</LinksUpToDate>
  <CharactersWithSpaces>4940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2026-03-11T08:11:10Z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