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cs="黑体" w:asciiTheme="minorEastAsia" w:hAnsiTheme="minorEastAsia"/>
          <w:b/>
          <w:bCs/>
          <w:color w:val="000000" w:themeColor="text1"/>
          <w:sz w:val="32"/>
          <w:szCs w:val="32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3E5A19FE">
      <w:pPr>
        <w:widowControl/>
        <w:jc w:val="center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四川宏达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  <w:lang w:val="en-US" w:eastAsia="zh-CN"/>
        </w:rPr>
        <w:t>股份有色分公司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硫酸存储设施升级改造项目可研和实施方案设计(含安全设计专篇)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  <w:lang w:val="en-US" w:eastAsia="zh-CN"/>
        </w:rPr>
        <w:t>编制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服务</w:t>
      </w:r>
    </w:p>
    <w:p w14:paraId="1FAE45D5">
      <w:pPr>
        <w:widowControl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538E90AF">
      <w:pPr>
        <w:pStyle w:val="5"/>
        <w:ind w:firstLine="1446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33D068A5">
      <w:pPr>
        <w:pStyle w:val="11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44917994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C29320C">
      <w:pPr>
        <w:pStyle w:val="11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89A982C">
      <w:pPr>
        <w:widowControl/>
        <w:jc w:val="center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比选文件</w:t>
      </w:r>
    </w:p>
    <w:p w14:paraId="4C7901ED">
      <w:pPr>
        <w:widowControl/>
        <w:jc w:val="center"/>
        <w:rPr>
          <w:rFonts w:hint="default" w:asciiTheme="majorEastAsia" w:hAnsiTheme="majorEastAsia" w:eastAsiaTheme="majorEastAsia" w:cstheme="majorEastAsia"/>
          <w:b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  <w:t>编号：</w:t>
      </w:r>
      <w:r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  <w:lang w:val="en-US" w:eastAsia="zh-CN"/>
        </w:rPr>
        <w:t>YS-GKBX-2026-FW42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43784FA0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205AB8C1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6D5AE92C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0AD65B3A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40735AE9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</w:p>
    <w:p w14:paraId="39575830">
      <w:pPr>
        <w:spacing w:line="600" w:lineRule="auto"/>
        <w:ind w:firstLine="1985" w:firstLineChars="70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09F9204">
      <w:pPr>
        <w:spacing w:line="360" w:lineRule="exact"/>
        <w:ind w:firstLine="4216" w:firstLineChars="1500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比选人：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四川宏达股份有限公司</w:t>
      </w:r>
    </w:p>
    <w:p w14:paraId="4F90DA20">
      <w:pPr>
        <w:spacing w:line="480" w:lineRule="auto"/>
        <w:ind w:left="1050" w:leftChars="500" w:right="1050" w:rightChars="50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z w:val="28"/>
          <w:szCs w:val="28"/>
          <w:u w:val="single"/>
        </w:rPr>
      </w:pP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</w:rPr>
        <w:t>四川宏达股份</w:t>
      </w: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  <w:lang w:val="en-US" w:eastAsia="zh-CN"/>
        </w:rPr>
        <w:t>有色分公司</w:t>
      </w:r>
    </w:p>
    <w:p w14:paraId="3C2905FA">
      <w:pPr>
        <w:jc w:val="center"/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</w:rPr>
        <w:t>硫酸存储设施升级改造项目可研</w:t>
      </w: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  <w:lang w:val="en-US" w:eastAsia="zh-CN"/>
        </w:rPr>
        <w:t>报告编制</w:t>
      </w:r>
      <w:r>
        <w:rPr>
          <w:rFonts w:hint="eastAsia" w:asciiTheme="majorEastAsia" w:hAnsiTheme="majorEastAsia" w:eastAsiaTheme="majorEastAsia" w:cstheme="majorEastAsia"/>
          <w:b/>
          <w:color w:val="333333"/>
          <w:kern w:val="0"/>
          <w:sz w:val="28"/>
          <w:szCs w:val="28"/>
        </w:rPr>
        <w:t>和实施方案设计(含安全设计专篇)服务比选文件</w:t>
      </w:r>
    </w:p>
    <w:p w14:paraId="23CFBEF3">
      <w:pPr>
        <w:spacing w:line="360" w:lineRule="exact"/>
        <w:rPr>
          <w:rFonts w:hint="eastAsia" w:asciiTheme="majorEastAsia" w:hAnsiTheme="majorEastAsia" w:eastAsiaTheme="majorEastAsia" w:cs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有色金属分公司现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需硫酸存储设施升级改造项目可研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报告编制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和实施方案设计(含安全设计专篇)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的服务采购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，本着“公开、公平、公正”的原则，现对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该服务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进行公开比选。欢迎贵公司前来报价，现将相关事项公告如下：</w:t>
      </w:r>
    </w:p>
    <w:p w14:paraId="57E5E844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一、服务内容</w:t>
      </w:r>
    </w:p>
    <w:p w14:paraId="4B3F99B5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1. 服务内容：硫酸存储设施升级改造项目可研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报告编制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和实施方案设计(含安全设计专篇)</w:t>
      </w:r>
    </w:p>
    <w:p w14:paraId="566A44AD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2.服务地点：四川宏达股份有限公司</w:t>
      </w:r>
    </w:p>
    <w:p w14:paraId="3189E225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二、比选人：四川宏达股份有限公司</w:t>
      </w:r>
    </w:p>
    <w:p w14:paraId="0C48047A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1.服务期限：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30个自然日</w:t>
      </w:r>
    </w:p>
    <w:p w14:paraId="318C942C">
      <w:pPr>
        <w:spacing w:line="42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2.付款方式及发票：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Theme="majorEastAsia" w:hAnsiTheme="majorEastAsia" w:eastAsiaTheme="majorEastAsia" w:cstheme="majorEastAsia"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①付款方式：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合格设计、报告完成后一次性支付</w:t>
      </w:r>
    </w:p>
    <w:p w14:paraId="3914BA72">
      <w:pPr>
        <w:spacing w:line="42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②一票制，供应商开具全额增值税专用发票(税率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%)。</w:t>
      </w:r>
    </w:p>
    <w:p w14:paraId="6F201807">
      <w:pPr>
        <w:spacing w:line="420" w:lineRule="exact"/>
        <w:outlineLvl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3.比选文件的获取</w:t>
      </w:r>
    </w:p>
    <w:p w14:paraId="2AE6E591">
      <w:pPr>
        <w:spacing w:line="420" w:lineRule="exact"/>
        <w:outlineLvl w:val="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获取方式为：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自 202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年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月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11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日 00 时 00 分至 202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年 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月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18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日 23 时 59 分通过四川宏达股份有限公司集采中心招投标平台(以下简称“ 宏达股份集采平台”）（http://jc.sichuanhongda.com/）进行注册并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登录后参与投标并下载比选文件。 </w:t>
      </w:r>
    </w:p>
    <w:p w14:paraId="504767B0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4.响应性文件的递交</w:t>
      </w:r>
    </w:p>
    <w:p w14:paraId="304D30D4">
      <w:pPr>
        <w:spacing w:line="42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递交截止时间：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2026年 03 月  19 日 9 时 30 分。</w:t>
      </w:r>
    </w:p>
    <w:p w14:paraId="5B16F60F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比选申请人按本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比选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文件第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章响应性文件格式制作报价文件，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注明服务期限、合计金额、交货期、付款方式等（若询价约定的标的物交货期、付款方式、质保期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71C3185E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BDA6A4D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5.响应性文件的要求</w:t>
      </w:r>
    </w:p>
    <w:p w14:paraId="5C2DC8B1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①比选申请人需提供</w:t>
      </w:r>
      <w:bookmarkStart w:id="0" w:name="OLE_LINK3"/>
      <w:bookmarkStart w:id="1" w:name="OLE_LINK4"/>
      <w:r>
        <w:rPr>
          <w:rFonts w:hint="eastAsia" w:asciiTheme="majorEastAsia" w:hAnsiTheme="majorEastAsia" w:eastAsiaTheme="majorEastAsia" w:cstheme="majorEastAsia"/>
          <w:sz w:val="28"/>
          <w:szCs w:val="28"/>
        </w:rPr>
        <w:t>营业执照（三证合一）</w:t>
      </w:r>
      <w:bookmarkEnd w:id="0"/>
      <w:bookmarkEnd w:id="1"/>
      <w:r>
        <w:rPr>
          <w:rFonts w:hint="eastAsia" w:asciiTheme="majorEastAsia" w:hAnsiTheme="majorEastAsia" w:eastAsiaTheme="majorEastAsia" w:cstheme="majorEastAsia"/>
          <w:sz w:val="28"/>
          <w:szCs w:val="28"/>
        </w:rPr>
        <w:t>。</w:t>
      </w:r>
    </w:p>
    <w:p w14:paraId="539C008C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②提供相关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服务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业绩（附中标通知书或合同扫描件，中标通知书或合同包括已履约完成和正在履约均可，同一家单位多次采购，合同数量可累计）。</w:t>
      </w:r>
    </w:p>
    <w:p w14:paraId="09A1BCC8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③报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价包括总价、可行性研究报告、施工图设计以及安全设施设计专篇等分项报价，比选人根据需要分步实施、分项支付。</w:t>
      </w:r>
    </w:p>
    <w:p w14:paraId="54DDC833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.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.交送报价文件前，比选申请人可自愿前来我公司进行实地考查、技术交流或咨询。</w:t>
      </w:r>
    </w:p>
    <w:p w14:paraId="440F1485">
      <w:pPr>
        <w:spacing w:line="42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联系人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冯洋15892771799</w:t>
      </w:r>
    </w:p>
    <w:p w14:paraId="446C7FA9">
      <w:pPr>
        <w:adjustRightInd w:val="0"/>
        <w:spacing w:line="420" w:lineRule="exact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地 址：四川省德阳市什邡市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        邮 编：618401           </w:t>
      </w:r>
    </w:p>
    <w:p w14:paraId="0BEE090F">
      <w:pPr>
        <w:pStyle w:val="5"/>
        <w:ind w:firstLine="0" w:firstLineChars="0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</w:p>
    <w:p w14:paraId="6ED43AE4">
      <w:pP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</w:p>
    <w:p w14:paraId="20636B28">
      <w:pPr>
        <w:pStyle w:val="5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202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03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09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12331C79">
      <w:pPr>
        <w:pStyle w:val="5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77262E01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3073C517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Theme="majorEastAsia" w:hAnsiTheme="majorEastAsia" w:eastAsiaTheme="majorEastAsia" w:cstheme="majorEastAsia"/>
          <w:b/>
          <w:kern w:val="0"/>
          <w:sz w:val="28"/>
          <w:szCs w:val="28"/>
        </w:rPr>
      </w:pPr>
    </w:p>
    <w:p w14:paraId="31609D34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bookmarkStart w:id="2" w:name="_Toc318986166"/>
      <w:bookmarkStart w:id="3" w:name="_Toc275019290"/>
      <w:bookmarkStart w:id="4" w:name="_Toc274236999"/>
      <w:bookmarkStart w:id="5" w:name="_Hlk155791057"/>
      <w:bookmarkStart w:id="6" w:name="_Toc275019836"/>
      <w:bookmarkStart w:id="7" w:name="_Toc303149804"/>
      <w:bookmarkStart w:id="8" w:name="_Toc268793030"/>
      <w:bookmarkStart w:id="9" w:name="_Toc238797630"/>
      <w:bookmarkStart w:id="10" w:name="_Toc274596702"/>
      <w:bookmarkStart w:id="11" w:name="_Toc238552273"/>
      <w:bookmarkStart w:id="12" w:name="_Toc275019684"/>
      <w:bookmarkStart w:id="13" w:name="_Toc269113527"/>
      <w:bookmarkStart w:id="14" w:name="_Toc275014947"/>
      <w:bookmarkStart w:id="15" w:name="_Toc16684"/>
    </w:p>
    <w:p w14:paraId="75EFF8CA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013BBC8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7A1B417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49247D6B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BB082B6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</w:p>
    <w:p w14:paraId="16DFE2E5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第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章 </w:t>
      </w:r>
    </w:p>
    <w:p w14:paraId="711C438E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560" w:firstLineChars="200"/>
        <w:jc w:val="left"/>
        <w:textAlignment w:val="bottom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</w:p>
    <w:p w14:paraId="3D9225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56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硫酸存储设施升级改造项目可研和实施方案设计(含安全设计专篇)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编制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服务</w:t>
      </w:r>
    </w:p>
    <w:p w14:paraId="7CCB02D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560" w:firstLineChars="200"/>
        <w:jc w:val="both"/>
        <w:textAlignment w:val="bottom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1375BD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560" w:firstLineChars="200"/>
        <w:jc w:val="center"/>
        <w:textAlignment w:val="bottom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38AF0B6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5B7478D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0F6E255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响应性文件</w:t>
      </w:r>
    </w:p>
    <w:p w14:paraId="63281EB3">
      <w:pPr>
        <w:ind w:firstLine="560" w:firstLineChars="200"/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3C30D38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EE9AD25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BA4ADEE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B578B9A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13F1F8D">
      <w:pPr>
        <w:spacing w:line="440" w:lineRule="exact"/>
        <w:ind w:firstLine="840" w:firstLineChars="30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服务商名称：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盖单位章）</w:t>
      </w:r>
    </w:p>
    <w:p w14:paraId="4C40C091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091A756">
      <w:pPr>
        <w:ind w:firstLine="1124" w:firstLineChars="400"/>
        <w:rPr>
          <w:rFonts w:hint="eastAsia" w:asciiTheme="majorEastAsia" w:hAnsiTheme="majorEastAsia" w:eastAsiaTheme="majorEastAsia" w:cstheme="majorEastAsia"/>
          <w:b/>
          <w:sz w:val="28"/>
          <w:szCs w:val="28"/>
          <w:u w:val="single"/>
        </w:rPr>
      </w:pPr>
    </w:p>
    <w:p w14:paraId="25B4D473"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both"/>
        <w:rPr>
          <w:rFonts w:hint="eastAsia" w:asciiTheme="majorEastAsia" w:hAnsiTheme="majorEastAsia" w:eastAsiaTheme="majorEastAsia" w:cstheme="majorEastAsia"/>
          <w:b/>
          <w:bCs/>
          <w:kern w:val="44"/>
          <w:sz w:val="28"/>
          <w:szCs w:val="28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br w:type="page"/>
      </w:r>
      <w:bookmarkStart w:id="16" w:name="_Toc30198"/>
      <w:bookmarkStart w:id="17" w:name="_Toc9978"/>
      <w:bookmarkStart w:id="18" w:name="_Toc4384"/>
      <w:r>
        <w:rPr>
          <w:rFonts w:hint="eastAsia" w:asciiTheme="majorEastAsia" w:hAnsiTheme="majorEastAsia" w:eastAsiaTheme="majorEastAsia" w:cstheme="maj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28"/>
          <w:szCs w:val="28"/>
        </w:rPr>
        <w:t>报价</w:t>
      </w:r>
      <w:r>
        <w:rPr>
          <w:rFonts w:hint="eastAsia" w:asciiTheme="majorEastAsia" w:hAnsiTheme="majorEastAsia" w:eastAsiaTheme="majorEastAsia" w:cstheme="majorEastAsia"/>
          <w:b/>
          <w:bCs/>
          <w:kern w:val="44"/>
          <w:sz w:val="28"/>
          <w:szCs w:val="28"/>
          <w:lang w:val="zh-CN"/>
        </w:rPr>
        <w:t>函</w:t>
      </w:r>
      <w:bookmarkEnd w:id="16"/>
      <w:bookmarkEnd w:id="17"/>
      <w:bookmarkEnd w:id="18"/>
    </w:p>
    <w:p w14:paraId="690A7465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 xml:space="preserve">   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(比选申请人名称)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</w:p>
    <w:p w14:paraId="7354C7EB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560" w:firstLineChars="200"/>
        <w:jc w:val="both"/>
        <w:textAlignment w:val="bottom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我方已仔细研究了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(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硫酸存储设施升级改造项目可研和实施方案设计(含安全设计专篇)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编制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服务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比选文件(包括补充通知的全部内容，愿意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以含税人民币大写：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元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（¥：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/>
        </w:rPr>
        <w:tab/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元</w:t>
      </w:r>
      <w:r>
        <w:rPr>
          <w:rFonts w:hint="eastAsia" w:asciiTheme="majorEastAsia" w:hAnsiTheme="majorEastAsia" w:eastAsiaTheme="majorEastAsia" w:cstheme="majorEastAsia"/>
          <w:spacing w:val="-13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</w:rPr>
        <w:t>（其中增值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税税率为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%）的比选总报价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费用含劳务、设计、报告评审等所有费用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完成时间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，按比选文件规定的条件和要求承担合同规定的全部工作，并承担相关的责任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。</w:t>
      </w:r>
    </w:p>
    <w:p w14:paraId="0B8FD28D">
      <w:pPr>
        <w:widowControl/>
        <w:numPr>
          <w:ilvl w:val="0"/>
          <w:numId w:val="1"/>
        </w:num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我公司承诺在投标有效期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>30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日历天内不修改、撤销比选文件。</w:t>
      </w:r>
    </w:p>
    <w:p w14:paraId="7B2E6878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3、如我方中标，我方承诺：</w:t>
      </w:r>
    </w:p>
    <w:p w14:paraId="6A573A08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（1）在签订合同时不向你方提出附加条件；</w:t>
      </w:r>
    </w:p>
    <w:p w14:paraId="4E2AD6D6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（2）在合同约定的期限内完成合同规定的全部义务。</w:t>
      </w:r>
    </w:p>
    <w:p w14:paraId="7AD4F29B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4.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。（其他补充说明）。</w:t>
      </w:r>
    </w:p>
    <w:p w14:paraId="3671B1F5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2E8D299E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50B9DCF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报价单位：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（盖单位章）</w:t>
      </w:r>
    </w:p>
    <w:p w14:paraId="2CA36C70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</w:t>
      </w:r>
    </w:p>
    <w:p w14:paraId="7FF0CDEC">
      <w:pPr>
        <w:spacing w:line="560" w:lineRule="exact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</w:t>
      </w:r>
    </w:p>
    <w:p w14:paraId="01C32111">
      <w:pPr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1C2AABFA"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209F5516"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54E30676">
      <w:pPr>
        <w:ind w:firstLine="562" w:firstLineChars="200"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</w:p>
    <w:p w14:paraId="178998BF">
      <w:pPr>
        <w:widowControl/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</w:p>
    <w:p w14:paraId="79E6E945">
      <w:pPr>
        <w:pStyle w:val="51"/>
        <w:spacing w:line="360" w:lineRule="auto"/>
        <w:ind w:firstLine="560" w:firstLineChars="200"/>
        <w:jc w:val="center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（二）报价表</w:t>
      </w:r>
    </w:p>
    <w:p w14:paraId="15414075">
      <w:pPr>
        <w:pStyle w:val="5"/>
        <w:ind w:firstLine="4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                                                        </w:t>
      </w:r>
    </w:p>
    <w:tbl>
      <w:tblPr>
        <w:tblStyle w:val="17"/>
        <w:tblW w:w="98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20"/>
        <w:gridCol w:w="1062"/>
        <w:gridCol w:w="628"/>
        <w:gridCol w:w="730"/>
        <w:gridCol w:w="1045"/>
        <w:gridCol w:w="935"/>
        <w:gridCol w:w="1180"/>
        <w:gridCol w:w="1140"/>
        <w:gridCol w:w="1120"/>
      </w:tblGrid>
      <w:tr w14:paraId="0A5E3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编号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服务名称</w:t>
            </w:r>
          </w:p>
        </w:tc>
        <w:tc>
          <w:tcPr>
            <w:tcW w:w="106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服务内容</w:t>
            </w:r>
          </w:p>
        </w:tc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投标报价</w:t>
            </w:r>
          </w:p>
        </w:tc>
        <w:tc>
          <w:tcPr>
            <w:tcW w:w="2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3D24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招标限价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56DCD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不含税单价（元）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合价（元）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7F5C6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不含税单价（元）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CAACC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合价（元）</w:t>
            </w:r>
          </w:p>
        </w:tc>
        <w:tc>
          <w:tcPr>
            <w:tcW w:w="112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73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A7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A1E1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A4A85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3DE4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E56E7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096D5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C761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E9CBE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8A810D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40C5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DC661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A4D88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7DB46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184C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9304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51CD6A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BE16AB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BAB79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9FFC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80DB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D2E9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6958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E7C60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2F5E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E09A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771F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9079AD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F970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C6BF1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F7C900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F89394">
            <w:pPr>
              <w:jc w:val="left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9D3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19CD6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2B97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9BFFC4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2D31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5AC4D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356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CAFF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D01D6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0BF1A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F05885"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AEF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B39CC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不含税合计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D5249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6CF9F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C4D1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B0CC4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5ECA0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8D250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2866C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010B68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A54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F74B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税金（税率  %）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1BE3E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138F0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A8ABD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2865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0D7EA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C83F0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6E7D4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E9FFCD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9900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D9BD8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  <w:t>含税合计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50056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BC11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38D7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979D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710B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871EF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2E7BE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AB04437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>不含税价总计金额（大写）：             含税到场价总计金额（大写）：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ab/>
      </w:r>
    </w:p>
    <w:p w14:paraId="31C1457F">
      <w:pPr>
        <w:tabs>
          <w:tab w:val="left" w:pos="8595"/>
        </w:tabs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t xml:space="preserve">服务商名称（加盖单位公章）：                       </w:t>
      </w:r>
    </w:p>
    <w:p w14:paraId="25497DF9">
      <w:pPr>
        <w:widowControl/>
        <w:spacing w:line="360" w:lineRule="auto"/>
        <w:ind w:firstLine="560" w:firstLineChars="200"/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 w:bidi="ar-SA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48FD1DBF">
      <w:pPr>
        <w:pStyle w:val="5"/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响应文件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</w:t>
      </w:r>
    </w:p>
    <w:p w14:paraId="303BD212">
      <w:pPr>
        <w:pStyle w:val="36"/>
        <w:spacing w:before="120" w:line="500" w:lineRule="exact"/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>付款方式：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lang w:val="en-US" w:eastAsia="zh-CN"/>
        </w:rPr>
        <w:t>完工时间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 xml:space="preserve">：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 xml:space="preserve">税率：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</w:rPr>
        <w:t xml:space="preserve">                                                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</w:rPr>
        <w:t>备注：</w:t>
      </w:r>
      <w:r>
        <w:rPr>
          <w:rFonts w:hint="eastAsia" w:asciiTheme="majorEastAsia" w:hAnsiTheme="majorEastAsia" w:eastAsiaTheme="majorEastAsia" w:cstheme="majorEastAsia"/>
          <w:kern w:val="2"/>
          <w:sz w:val="28"/>
          <w:szCs w:val="28"/>
          <w:u w:val="single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 w:asciiTheme="majorEastAsia" w:hAnsiTheme="majorEastAsia" w:eastAsiaTheme="majorEastAsia" w:cstheme="majorEastAsia"/>
          <w:sz w:val="28"/>
          <w:szCs w:val="28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                    </w:t>
      </w:r>
    </w:p>
    <w:p w14:paraId="69780875">
      <w:pPr>
        <w:widowControl/>
        <w:spacing w:line="360" w:lineRule="auto"/>
        <w:ind w:firstLine="420" w:firstLineChars="200"/>
      </w:pPr>
    </w:p>
    <w:p w14:paraId="55F3F5AD">
      <w:pPr>
        <w:spacing w:line="360" w:lineRule="auto"/>
        <w:ind w:firstLine="562" w:firstLineChars="200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sz w:val="28"/>
        </w:rPr>
        <w:t>承 诺</w:t>
      </w:r>
    </w:p>
    <w:p w14:paraId="4FF69AE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9BD65C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（服务内容）的投标，现郑重作出以下承诺：</w:t>
      </w:r>
    </w:p>
    <w:p w14:paraId="7897990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8E6C21A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1D9D61FC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F2BCF8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3CDF342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14E4E47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673ECDF3">
      <w:pPr>
        <w:spacing w:line="360" w:lineRule="auto"/>
        <w:ind w:firstLine="420" w:firstLineChars="200"/>
        <w:rPr>
          <w:rFonts w:ascii="宋体" w:hAnsi="宋体"/>
        </w:rPr>
      </w:pPr>
    </w:p>
    <w:p w14:paraId="693B3106">
      <w:pPr>
        <w:spacing w:line="360" w:lineRule="auto"/>
        <w:ind w:left="420" w:leftChars="200"/>
        <w:rPr>
          <w:rFonts w:ascii="宋体" w:hAnsi="宋体"/>
        </w:rPr>
      </w:pPr>
    </w:p>
    <w:p w14:paraId="1B7420F3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lang w:val="en-US" w:eastAsia="zh-CN"/>
        </w:rPr>
        <w:t>服务</w:t>
      </w:r>
      <w:bookmarkStart w:id="19" w:name="_GoBack"/>
      <w:bookmarkEnd w:id="19"/>
      <w:r>
        <w:rPr>
          <w:rFonts w:hint="eastAsia" w:ascii="宋体" w:hAnsi="宋体"/>
          <w:szCs w:val="21"/>
        </w:rPr>
        <w:t>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1D6B210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0DB0404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3D019534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D6A57E0">
      <w:pPr>
        <w:pStyle w:val="5"/>
        <w:ind w:firstLine="562"/>
        <w:rPr>
          <w:b/>
          <w:bCs/>
          <w:sz w:val="28"/>
          <w:szCs w:val="28"/>
        </w:rPr>
      </w:pPr>
    </w:p>
    <w:p w14:paraId="5EAC2CBF">
      <w:pPr>
        <w:pStyle w:val="11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35735EAF">
      <w:pPr>
        <w:ind w:firstLine="420" w:firstLineChars="200"/>
      </w:pPr>
    </w:p>
    <w:p w14:paraId="23E5136A">
      <w:pPr>
        <w:snapToGrid w:val="0"/>
        <w:spacing w:line="360" w:lineRule="auto"/>
        <w:ind w:firstLine="482" w:firstLineChars="200"/>
        <w:jc w:val="left"/>
        <w:rPr>
          <w:rFonts w:hAnsi="宋体" w:cs="宋体"/>
          <w:b/>
          <w:sz w:val="24"/>
        </w:rPr>
      </w:pPr>
    </w:p>
    <w:p w14:paraId="2775FEF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portal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Iconfon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Docfon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3DA0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57054"/>
    <w:rsid w:val="00D66C88"/>
    <w:rsid w:val="00D73FDA"/>
    <w:rsid w:val="00DA7914"/>
    <w:rsid w:val="00DB75CA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1804A4C"/>
    <w:rsid w:val="038F62BE"/>
    <w:rsid w:val="03A80897"/>
    <w:rsid w:val="03BC1030"/>
    <w:rsid w:val="03C63FC1"/>
    <w:rsid w:val="041E3808"/>
    <w:rsid w:val="04212517"/>
    <w:rsid w:val="043B2184"/>
    <w:rsid w:val="043D7848"/>
    <w:rsid w:val="0475718F"/>
    <w:rsid w:val="0485137E"/>
    <w:rsid w:val="04C66C1A"/>
    <w:rsid w:val="04D1736D"/>
    <w:rsid w:val="04E9100F"/>
    <w:rsid w:val="05573D16"/>
    <w:rsid w:val="057443B4"/>
    <w:rsid w:val="05C017FD"/>
    <w:rsid w:val="05FA03A9"/>
    <w:rsid w:val="063D57B6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74842"/>
    <w:rsid w:val="110E7C3C"/>
    <w:rsid w:val="120F5BA7"/>
    <w:rsid w:val="1235718D"/>
    <w:rsid w:val="128A3A09"/>
    <w:rsid w:val="12A6008B"/>
    <w:rsid w:val="12D009A7"/>
    <w:rsid w:val="130F140C"/>
    <w:rsid w:val="13C54541"/>
    <w:rsid w:val="14676D7E"/>
    <w:rsid w:val="14AB708B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AB601E2"/>
    <w:rsid w:val="1BC670A8"/>
    <w:rsid w:val="1C4C57FF"/>
    <w:rsid w:val="1D64697C"/>
    <w:rsid w:val="1DD969AB"/>
    <w:rsid w:val="1E2F53D8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032E04"/>
    <w:rsid w:val="223F0BB7"/>
    <w:rsid w:val="22A07CA6"/>
    <w:rsid w:val="237F15B6"/>
    <w:rsid w:val="23E97E47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68205B"/>
    <w:rsid w:val="289607B9"/>
    <w:rsid w:val="28F11C08"/>
    <w:rsid w:val="28FC354A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4224E0"/>
    <w:rsid w:val="3198766B"/>
    <w:rsid w:val="31A45B7D"/>
    <w:rsid w:val="31A5035D"/>
    <w:rsid w:val="323E55F6"/>
    <w:rsid w:val="33980AB1"/>
    <w:rsid w:val="340A6B94"/>
    <w:rsid w:val="344A7D4E"/>
    <w:rsid w:val="34713BFD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4043ED"/>
    <w:rsid w:val="435B56FC"/>
    <w:rsid w:val="43884ABF"/>
    <w:rsid w:val="44A00219"/>
    <w:rsid w:val="45367494"/>
    <w:rsid w:val="45877724"/>
    <w:rsid w:val="45E8685C"/>
    <w:rsid w:val="467A2DE5"/>
    <w:rsid w:val="470A03A4"/>
    <w:rsid w:val="47F46EAE"/>
    <w:rsid w:val="48724017"/>
    <w:rsid w:val="48750F6C"/>
    <w:rsid w:val="48D55F0A"/>
    <w:rsid w:val="492B4B3C"/>
    <w:rsid w:val="49E64E4D"/>
    <w:rsid w:val="4A185620"/>
    <w:rsid w:val="4A6F4C2B"/>
    <w:rsid w:val="4B317668"/>
    <w:rsid w:val="4B964C95"/>
    <w:rsid w:val="4BDF7931"/>
    <w:rsid w:val="4D477799"/>
    <w:rsid w:val="4DB67F7E"/>
    <w:rsid w:val="4DCF4AEB"/>
    <w:rsid w:val="4E0D1159"/>
    <w:rsid w:val="4E5A52AA"/>
    <w:rsid w:val="4EE10E98"/>
    <w:rsid w:val="4EE97C85"/>
    <w:rsid w:val="4F0F2E48"/>
    <w:rsid w:val="4F203C16"/>
    <w:rsid w:val="4FE70DC0"/>
    <w:rsid w:val="502E581F"/>
    <w:rsid w:val="50CC06E1"/>
    <w:rsid w:val="50F46497"/>
    <w:rsid w:val="514328A4"/>
    <w:rsid w:val="51814A45"/>
    <w:rsid w:val="51875472"/>
    <w:rsid w:val="51F577C4"/>
    <w:rsid w:val="52884ADC"/>
    <w:rsid w:val="52A80CDA"/>
    <w:rsid w:val="533212A1"/>
    <w:rsid w:val="53C86670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531992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041683"/>
    <w:rsid w:val="63210307"/>
    <w:rsid w:val="633B16F7"/>
    <w:rsid w:val="63613BBD"/>
    <w:rsid w:val="64132ACB"/>
    <w:rsid w:val="65F4383C"/>
    <w:rsid w:val="661512EF"/>
    <w:rsid w:val="66A77D57"/>
    <w:rsid w:val="66C75014"/>
    <w:rsid w:val="672B6AD9"/>
    <w:rsid w:val="67CD5013"/>
    <w:rsid w:val="68617509"/>
    <w:rsid w:val="68E42148"/>
    <w:rsid w:val="68F9171A"/>
    <w:rsid w:val="693A47A3"/>
    <w:rsid w:val="69B61D6F"/>
    <w:rsid w:val="69C1618A"/>
    <w:rsid w:val="69E63E4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5D4E25"/>
    <w:rsid w:val="6F712728"/>
    <w:rsid w:val="6FF06CE8"/>
    <w:rsid w:val="71710FBA"/>
    <w:rsid w:val="72F9402A"/>
    <w:rsid w:val="733A4279"/>
    <w:rsid w:val="74125240"/>
    <w:rsid w:val="74D06143"/>
    <w:rsid w:val="75284014"/>
    <w:rsid w:val="757765BE"/>
    <w:rsid w:val="75D4756D"/>
    <w:rsid w:val="75E36E5B"/>
    <w:rsid w:val="769671E2"/>
    <w:rsid w:val="775744D2"/>
    <w:rsid w:val="77E24ED1"/>
    <w:rsid w:val="789E730E"/>
    <w:rsid w:val="79042BD4"/>
    <w:rsid w:val="79FD0732"/>
    <w:rsid w:val="7A450456"/>
    <w:rsid w:val="7A736669"/>
    <w:rsid w:val="7AC516D6"/>
    <w:rsid w:val="7B453371"/>
    <w:rsid w:val="7B66653C"/>
    <w:rsid w:val="7BBE5F26"/>
    <w:rsid w:val="7C445D23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cdropright"/>
    <w:basedOn w:val="19"/>
    <w:uiPriority w:val="0"/>
  </w:style>
  <w:style w:type="character" w:customStyle="1" w:styleId="54">
    <w:name w:val="drapbtn"/>
    <w:basedOn w:val="19"/>
    <w:uiPriority w:val="0"/>
  </w:style>
  <w:style w:type="character" w:customStyle="1" w:styleId="55">
    <w:name w:val="w32"/>
    <w:basedOn w:val="19"/>
    <w:uiPriority w:val="0"/>
  </w:style>
  <w:style w:type="character" w:customStyle="1" w:styleId="56">
    <w:name w:val="first-child"/>
    <w:basedOn w:val="19"/>
    <w:uiPriority w:val="0"/>
    <w:rPr>
      <w:bdr w:val="none" w:color="auto" w:sz="0" w:space="0"/>
    </w:rPr>
  </w:style>
  <w:style w:type="character" w:customStyle="1" w:styleId="57">
    <w:name w:val="after"/>
    <w:basedOn w:val="19"/>
    <w:uiPriority w:val="0"/>
    <w:rPr>
      <w:sz w:val="0"/>
      <w:szCs w:val="0"/>
    </w:rPr>
  </w:style>
  <w:style w:type="character" w:customStyle="1" w:styleId="58">
    <w:name w:val="tmpztreemove_arrow"/>
    <w:basedOn w:val="19"/>
    <w:uiPriority w:val="0"/>
  </w:style>
  <w:style w:type="character" w:customStyle="1" w:styleId="59">
    <w:name w:val="cdropleft"/>
    <w:basedOn w:val="19"/>
    <w:uiPriority w:val="0"/>
  </w:style>
  <w:style w:type="character" w:customStyle="1" w:styleId="60">
    <w:name w:val="active2"/>
    <w:basedOn w:val="19"/>
    <w:uiPriority w:val="0"/>
    <w:rPr>
      <w:color w:val="00FF00"/>
      <w:bdr w:val="none" w:color="FF0000" w:sz="0" w:space="0"/>
      <w:shd w:val="clear" w:fill="111111"/>
    </w:rPr>
  </w:style>
  <w:style w:type="character" w:customStyle="1" w:styleId="61">
    <w:name w:val="active3"/>
    <w:basedOn w:val="19"/>
    <w:uiPriority w:val="0"/>
    <w:rPr>
      <w:shd w:val="clear" w:fill="EC3535"/>
    </w:rPr>
  </w:style>
  <w:style w:type="character" w:customStyle="1" w:styleId="62">
    <w:name w:val="cy"/>
    <w:basedOn w:val="19"/>
    <w:uiPriority w:val="0"/>
  </w:style>
  <w:style w:type="character" w:customStyle="1" w:styleId="63">
    <w:name w:val="iconline2"/>
    <w:basedOn w:val="19"/>
    <w:uiPriority w:val="0"/>
  </w:style>
  <w:style w:type="character" w:customStyle="1" w:styleId="64">
    <w:name w:val="iconline21"/>
    <w:basedOn w:val="19"/>
    <w:uiPriority w:val="0"/>
  </w:style>
  <w:style w:type="character" w:customStyle="1" w:styleId="65">
    <w:name w:val="hilite4"/>
    <w:basedOn w:val="19"/>
    <w:uiPriority w:val="0"/>
    <w:rPr>
      <w:color w:val="FFFFFF"/>
      <w:bdr w:val="none" w:color="111111" w:sz="0" w:space="0"/>
      <w:shd w:val="clear" w:fill="666666"/>
    </w:rPr>
  </w:style>
  <w:style w:type="character" w:customStyle="1" w:styleId="66">
    <w:name w:val="associateddata"/>
    <w:basedOn w:val="19"/>
    <w:uiPriority w:val="0"/>
    <w:rPr>
      <w:shd w:val="clear" w:fill="50A6F9"/>
    </w:rPr>
  </w:style>
  <w:style w:type="character" w:customStyle="1" w:styleId="67">
    <w:name w:val="icontext1"/>
    <w:basedOn w:val="19"/>
    <w:uiPriority w:val="0"/>
  </w:style>
  <w:style w:type="character" w:customStyle="1" w:styleId="68">
    <w:name w:val="icontext11"/>
    <w:basedOn w:val="19"/>
    <w:uiPriority w:val="0"/>
  </w:style>
  <w:style w:type="character" w:customStyle="1" w:styleId="69">
    <w:name w:val="icontext12"/>
    <w:basedOn w:val="19"/>
    <w:uiPriority w:val="0"/>
  </w:style>
  <w:style w:type="character" w:customStyle="1" w:styleId="70">
    <w:name w:val="icontext2"/>
    <w:basedOn w:val="19"/>
    <w:uiPriority w:val="0"/>
  </w:style>
  <w:style w:type="character" w:customStyle="1" w:styleId="71">
    <w:name w:val="icontext3"/>
    <w:basedOn w:val="19"/>
    <w:uiPriority w:val="0"/>
  </w:style>
  <w:style w:type="character" w:customStyle="1" w:styleId="72">
    <w:name w:val="hover37"/>
    <w:basedOn w:val="19"/>
    <w:uiPriority w:val="0"/>
    <w:rPr>
      <w:color w:val="2490F8"/>
    </w:rPr>
  </w:style>
  <w:style w:type="character" w:customStyle="1" w:styleId="73">
    <w:name w:val="pagechatarealistclose_box"/>
    <w:basedOn w:val="19"/>
    <w:uiPriority w:val="0"/>
  </w:style>
  <w:style w:type="character" w:customStyle="1" w:styleId="74">
    <w:name w:val="pagechatarealistclose_box1"/>
    <w:basedOn w:val="19"/>
    <w:uiPriority w:val="0"/>
  </w:style>
  <w:style w:type="character" w:customStyle="1" w:styleId="75">
    <w:name w:val="button4"/>
    <w:basedOn w:val="19"/>
    <w:uiPriority w:val="0"/>
  </w:style>
  <w:style w:type="character" w:customStyle="1" w:styleId="76">
    <w:name w:val="ico1654"/>
    <w:basedOn w:val="19"/>
    <w:uiPriority w:val="0"/>
  </w:style>
  <w:style w:type="character" w:customStyle="1" w:styleId="77">
    <w:name w:val="ico1655"/>
    <w:basedOn w:val="19"/>
    <w:uiPriority w:val="0"/>
  </w:style>
  <w:style w:type="character" w:customStyle="1" w:styleId="78">
    <w:name w:val="ico1656"/>
    <w:basedOn w:val="19"/>
    <w:uiPriority w:val="0"/>
  </w:style>
  <w:style w:type="character" w:customStyle="1" w:styleId="79">
    <w:name w:val="layui-layer-tabnow"/>
    <w:basedOn w:val="19"/>
    <w:uiPriority w:val="0"/>
    <w:rPr>
      <w:bdr w:val="single" w:color="CCCCCC" w:sz="4" w:space="0"/>
      <w:shd w:val="clear" w:fill="FFFFFF"/>
    </w:rPr>
  </w:style>
  <w:style w:type="character" w:customStyle="1" w:styleId="80">
    <w:name w:val="copytolefthover"/>
    <w:basedOn w:val="19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319A-57F0-4B39-A244-BF4DCD4BC2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1505</Words>
  <Characters>1608</Characters>
  <Lines>24</Lines>
  <Paragraphs>6</Paragraphs>
  <TotalTime>9</TotalTime>
  <ScaleCrop>false</ScaleCrop>
  <LinksUpToDate>false</LinksUpToDate>
  <CharactersWithSpaces>2414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2026-03-09T02:57:00Z</dcterms:created>
  <dc:creator>姚洪兵</dc:creator>
  <cp:lastModifiedBy>HUAWEI</cp:lastModifiedBy>
  <dcterms:modified xsi:type="dcterms:W3CDTF">2026-03-09T08:41:09Z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eyJoZGlkIjoiMzEwNTM5NzYwMDRjMzkwZTVkZjY2ODkwMGIxNGU0OTUiLCJ1c2VySWQiOiIyMTE4NjQwNDcifQ==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47966B20808149199600BC1EF98E2F2F_13</vt:lpwstr>
  </property>
</Properties>
</file>