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肥料松散机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编号：SFLHG-GKBX-2</w:t>
      </w:r>
      <w:r>
        <w:rPr>
          <w:rFonts w:hint="eastAsia" w:ascii="黑体" w:hAnsi="黑体" w:eastAsia="黑体" w:cs="黑体"/>
          <w:b/>
          <w:color w:val="auto"/>
          <w:kern w:val="0"/>
          <w:sz w:val="32"/>
          <w:szCs w:val="32"/>
          <w:lang w:val="en-US" w:eastAsia="zh-CN"/>
        </w:rPr>
        <w:t>026-HW16</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肥料松散机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编号：SFLHG-GKBX-2026-HW16</w:t>
      </w:r>
      <w:bookmarkStart w:id="20" w:name="_GoBack"/>
      <w:bookmarkEnd w:id="20"/>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肥料松散机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肥料松散机采购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肥料松散机4台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w:t>
      </w:r>
      <w:r>
        <w:rPr>
          <w:rFonts w:hint="eastAsia" w:ascii="黑体" w:hAnsi="黑体" w:eastAsia="黑体" w:cs="黑体"/>
          <w:sz w:val="28"/>
          <w:szCs w:val="28"/>
          <w:lang w:val="en-US" w:eastAsia="zh-CN"/>
        </w:rPr>
        <w:t>参数</w:t>
      </w:r>
      <w:r>
        <w:rPr>
          <w:rFonts w:hint="eastAsia" w:ascii="黑体" w:hAnsi="黑体" w:eastAsia="黑体" w:cs="黑体"/>
          <w:sz w:val="28"/>
          <w:szCs w:val="28"/>
        </w:rPr>
        <w:t>：</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14:paraId="019241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261" w:type="dxa"/>
          </w:tcPr>
          <w:p w14:paraId="1644D3FB">
            <w:r>
              <w:rPr>
                <w:rFonts w:hint="eastAsia"/>
                <w:color w:val="000000"/>
                <w:sz w:val="22"/>
              </w:rPr>
              <w:t>外形尺寸</w:t>
            </w:r>
          </w:p>
        </w:tc>
        <w:tc>
          <w:tcPr>
            <w:tcW w:w="4261" w:type="dxa"/>
          </w:tcPr>
          <w:p w14:paraId="0A7ECFD7">
            <w:r>
              <w:rPr>
                <w:rFonts w:hint="eastAsia"/>
                <w:color w:val="000000"/>
                <w:sz w:val="22"/>
              </w:rPr>
              <w:t>3820mm×1350mm×1950mm</w:t>
            </w:r>
          </w:p>
        </w:tc>
      </w:tr>
      <w:tr w14:paraId="4BDF5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63A3D79A">
            <w:r>
              <w:rPr>
                <w:rFonts w:hint="eastAsia"/>
                <w:color w:val="000000"/>
                <w:sz w:val="22"/>
              </w:rPr>
              <w:t>供电电源</w:t>
            </w:r>
          </w:p>
        </w:tc>
        <w:tc>
          <w:tcPr>
            <w:tcW w:w="4261" w:type="dxa"/>
          </w:tcPr>
          <w:p w14:paraId="1DBFFF9D">
            <w:r>
              <w:rPr>
                <w:rFonts w:hint="eastAsia"/>
                <w:color w:val="000000"/>
                <w:sz w:val="22"/>
              </w:rPr>
              <w:t>三相380V</w:t>
            </w:r>
          </w:p>
        </w:tc>
      </w:tr>
      <w:tr w14:paraId="189E4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08EA7941">
            <w:r>
              <w:rPr>
                <w:rFonts w:hint="eastAsia"/>
                <w:color w:val="000000"/>
                <w:sz w:val="22"/>
              </w:rPr>
              <w:t>输送带材质</w:t>
            </w:r>
          </w:p>
        </w:tc>
        <w:tc>
          <w:tcPr>
            <w:tcW w:w="4261" w:type="dxa"/>
          </w:tcPr>
          <w:p w14:paraId="6CEDDA06">
            <w:r>
              <w:rPr>
                <w:rFonts w:hint="eastAsia"/>
                <w:color w:val="000000"/>
                <w:sz w:val="22"/>
              </w:rPr>
              <w:t>耐油耐酸碱EP环带 5（4.5+1.5）</w:t>
            </w:r>
          </w:p>
        </w:tc>
      </w:tr>
      <w:tr w14:paraId="2281D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1C0F79C7">
            <w:r>
              <w:rPr>
                <w:rFonts w:hint="eastAsia"/>
                <w:color w:val="000000"/>
                <w:sz w:val="22"/>
              </w:rPr>
              <w:t>输送速度</w:t>
            </w:r>
          </w:p>
        </w:tc>
        <w:tc>
          <w:tcPr>
            <w:tcW w:w="4261" w:type="dxa"/>
          </w:tcPr>
          <w:p w14:paraId="1E1C0B3B">
            <w:r>
              <w:rPr>
                <w:rFonts w:hint="eastAsia"/>
                <w:color w:val="000000"/>
                <w:sz w:val="22"/>
              </w:rPr>
              <w:t>0.7m/s</w:t>
            </w:r>
          </w:p>
        </w:tc>
      </w:tr>
      <w:tr w14:paraId="2D386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6E27BC64">
            <w:r>
              <w:rPr>
                <w:rFonts w:hint="eastAsia"/>
                <w:color w:val="000000"/>
                <w:sz w:val="22"/>
              </w:rPr>
              <w:t>轴承</w:t>
            </w:r>
          </w:p>
        </w:tc>
        <w:tc>
          <w:tcPr>
            <w:tcW w:w="4261" w:type="dxa"/>
          </w:tcPr>
          <w:p w14:paraId="2252A571">
            <w:r>
              <w:rPr>
                <w:rFonts w:hint="eastAsia"/>
                <w:color w:val="000000"/>
                <w:sz w:val="22"/>
              </w:rPr>
              <w:t>铸钢座UCP209、UCP208、UCP207，304不锈钢座UCT207</w:t>
            </w:r>
          </w:p>
        </w:tc>
      </w:tr>
      <w:tr w14:paraId="45756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36295252">
            <w:r>
              <w:rPr>
                <w:rFonts w:hint="eastAsia"/>
                <w:color w:val="000000"/>
                <w:sz w:val="22"/>
              </w:rPr>
              <w:t>链条</w:t>
            </w:r>
          </w:p>
        </w:tc>
        <w:tc>
          <w:tcPr>
            <w:tcW w:w="4261" w:type="dxa"/>
          </w:tcPr>
          <w:p w14:paraId="51A34CAE">
            <w:r>
              <w:rPr>
                <w:rFonts w:hint="eastAsia"/>
                <w:color w:val="000000"/>
                <w:sz w:val="22"/>
              </w:rPr>
              <w:t>12A</w:t>
            </w:r>
          </w:p>
        </w:tc>
      </w:tr>
      <w:tr w14:paraId="2CF00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5D3C8CA1">
            <w:r>
              <w:rPr>
                <w:rFonts w:hint="eastAsia"/>
                <w:color w:val="000000"/>
                <w:sz w:val="22"/>
              </w:rPr>
              <w:t>壳体材质</w:t>
            </w:r>
          </w:p>
        </w:tc>
        <w:tc>
          <w:tcPr>
            <w:tcW w:w="4261" w:type="dxa"/>
          </w:tcPr>
          <w:p w14:paraId="050E299F">
            <w:r>
              <w:rPr>
                <w:rFonts w:hint="eastAsia"/>
                <w:color w:val="000000"/>
                <w:sz w:val="22"/>
              </w:rPr>
              <w:t>Q235碳钢冷板</w:t>
            </w:r>
          </w:p>
        </w:tc>
      </w:tr>
      <w:tr w14:paraId="0A960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640DE235">
            <w:r>
              <w:rPr>
                <w:rFonts w:hint="eastAsia"/>
                <w:color w:val="000000"/>
                <w:sz w:val="22"/>
              </w:rPr>
              <w:t>壳体板材厚度</w:t>
            </w:r>
          </w:p>
        </w:tc>
        <w:tc>
          <w:tcPr>
            <w:tcW w:w="4261" w:type="dxa"/>
          </w:tcPr>
          <w:p w14:paraId="48D78530">
            <w:r>
              <w:rPr>
                <w:rFonts w:hint="eastAsia"/>
              </w:rPr>
              <w:t>2mm</w:t>
            </w:r>
          </w:p>
        </w:tc>
      </w:tr>
      <w:tr w14:paraId="27F5A1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3D3AD697">
            <w:r>
              <w:rPr>
                <w:rFonts w:hint="eastAsia"/>
                <w:color w:val="000000"/>
                <w:sz w:val="22"/>
              </w:rPr>
              <w:t>上机架材质</w:t>
            </w:r>
          </w:p>
        </w:tc>
        <w:tc>
          <w:tcPr>
            <w:tcW w:w="4261" w:type="dxa"/>
          </w:tcPr>
          <w:p w14:paraId="23C2B166">
            <w:r>
              <w:rPr>
                <w:rFonts w:hint="eastAsia"/>
                <w:color w:val="000000"/>
                <w:sz w:val="22"/>
              </w:rPr>
              <w:t>Q235,80×50×4</w:t>
            </w:r>
          </w:p>
        </w:tc>
      </w:tr>
      <w:tr w14:paraId="5CF46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54CF4C41">
            <w:r>
              <w:rPr>
                <w:rFonts w:hint="eastAsia"/>
                <w:color w:val="000000"/>
                <w:sz w:val="22"/>
              </w:rPr>
              <w:t>上压辊材质</w:t>
            </w:r>
          </w:p>
        </w:tc>
        <w:tc>
          <w:tcPr>
            <w:tcW w:w="4261" w:type="dxa"/>
          </w:tcPr>
          <w:p w14:paraId="65CDA7CB">
            <w:r>
              <w:rPr>
                <w:rFonts w:hint="eastAsia"/>
                <w:color w:val="000000"/>
                <w:sz w:val="22"/>
              </w:rPr>
              <w:t>304不锈钢压辊</w:t>
            </w:r>
          </w:p>
        </w:tc>
      </w:tr>
      <w:tr w14:paraId="77121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1E63ACBF">
            <w:r>
              <w:rPr>
                <w:rFonts w:hint="eastAsia"/>
                <w:color w:val="000000"/>
                <w:sz w:val="22"/>
              </w:rPr>
              <w:t>上滚电机功率</w:t>
            </w:r>
          </w:p>
        </w:tc>
        <w:tc>
          <w:tcPr>
            <w:tcW w:w="4261" w:type="dxa"/>
          </w:tcPr>
          <w:p w14:paraId="188E104B">
            <w:r>
              <w:rPr>
                <w:rFonts w:hint="eastAsia"/>
                <w:color w:val="000000"/>
                <w:sz w:val="22"/>
              </w:rPr>
              <w:t>2.2kw</w:t>
            </w:r>
          </w:p>
        </w:tc>
      </w:tr>
      <w:tr w14:paraId="7D97F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36E2ED0F">
            <w:r>
              <w:rPr>
                <w:rFonts w:hint="eastAsia"/>
                <w:color w:val="000000"/>
                <w:sz w:val="22"/>
              </w:rPr>
              <w:t>下机架材质</w:t>
            </w:r>
          </w:p>
        </w:tc>
        <w:tc>
          <w:tcPr>
            <w:tcW w:w="4261" w:type="dxa"/>
          </w:tcPr>
          <w:p w14:paraId="093154E2">
            <w:r>
              <w:rPr>
                <w:rFonts w:hint="eastAsia"/>
                <w:color w:val="000000"/>
                <w:sz w:val="22"/>
              </w:rPr>
              <w:t>Q235,80×50×4</w:t>
            </w:r>
          </w:p>
        </w:tc>
      </w:tr>
      <w:tr w14:paraId="5164C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160AE0EB">
            <w:r>
              <w:rPr>
                <w:rFonts w:hint="eastAsia"/>
                <w:color w:val="000000"/>
                <w:sz w:val="22"/>
              </w:rPr>
              <w:t>下托辊材质</w:t>
            </w:r>
          </w:p>
        </w:tc>
        <w:tc>
          <w:tcPr>
            <w:tcW w:w="4261" w:type="dxa"/>
          </w:tcPr>
          <w:p w14:paraId="08A56B6F">
            <w:r>
              <w:rPr>
                <w:rFonts w:hint="eastAsia"/>
                <w:color w:val="000000"/>
                <w:sz w:val="22"/>
              </w:rPr>
              <w:t>Q235碳钢托辊</w:t>
            </w:r>
          </w:p>
        </w:tc>
      </w:tr>
      <w:tr w14:paraId="4D4A7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48D27A73">
            <w:r>
              <w:rPr>
                <w:rFonts w:hint="eastAsia"/>
                <w:color w:val="000000"/>
                <w:sz w:val="22"/>
              </w:rPr>
              <w:t>下滚电机功率</w:t>
            </w:r>
          </w:p>
        </w:tc>
        <w:tc>
          <w:tcPr>
            <w:tcW w:w="4261" w:type="dxa"/>
          </w:tcPr>
          <w:p w14:paraId="63BE46AB">
            <w:r>
              <w:rPr>
                <w:rFonts w:hint="eastAsia"/>
                <w:color w:val="000000"/>
                <w:sz w:val="22"/>
              </w:rPr>
              <w:t>2.2kw</w:t>
            </w:r>
          </w:p>
        </w:tc>
      </w:tr>
      <w:tr w14:paraId="30F63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47F7895C">
            <w:r>
              <w:rPr>
                <w:rFonts w:hint="eastAsia"/>
                <w:color w:val="000000"/>
                <w:sz w:val="22"/>
              </w:rPr>
              <w:t>进出口调压方式</w:t>
            </w:r>
          </w:p>
        </w:tc>
        <w:tc>
          <w:tcPr>
            <w:tcW w:w="4261" w:type="dxa"/>
          </w:tcPr>
          <w:p w14:paraId="609CC1AA">
            <w:r>
              <w:rPr>
                <w:rFonts w:hint="eastAsia"/>
                <w:color w:val="000000"/>
                <w:sz w:val="22"/>
              </w:rPr>
              <w:t>电动调节</w:t>
            </w:r>
          </w:p>
        </w:tc>
      </w:tr>
      <w:tr w14:paraId="3F476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2D899729">
            <w:r>
              <w:rPr>
                <w:rFonts w:hint="eastAsia"/>
                <w:color w:val="000000"/>
                <w:sz w:val="22"/>
              </w:rPr>
              <w:t>进口调压电机功率</w:t>
            </w:r>
          </w:p>
        </w:tc>
        <w:tc>
          <w:tcPr>
            <w:tcW w:w="4261" w:type="dxa"/>
          </w:tcPr>
          <w:p w14:paraId="0C49FE8E">
            <w:r>
              <w:rPr>
                <w:rFonts w:hint="eastAsia"/>
                <w:color w:val="000000"/>
                <w:sz w:val="22"/>
              </w:rPr>
              <w:t>0.55kw</w:t>
            </w:r>
          </w:p>
        </w:tc>
      </w:tr>
      <w:tr w14:paraId="2A7ED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7BA9392A">
            <w:r>
              <w:rPr>
                <w:rFonts w:hint="eastAsia"/>
                <w:color w:val="000000"/>
                <w:sz w:val="22"/>
              </w:rPr>
              <w:t>进口调节行程</w:t>
            </w:r>
          </w:p>
        </w:tc>
        <w:tc>
          <w:tcPr>
            <w:tcW w:w="4261" w:type="dxa"/>
          </w:tcPr>
          <w:p w14:paraId="1B463735">
            <w:r>
              <w:rPr>
                <w:rFonts w:hint="eastAsia"/>
                <w:color w:val="000000"/>
                <w:sz w:val="22"/>
              </w:rPr>
              <w:t>0～110mm</w:t>
            </w:r>
          </w:p>
        </w:tc>
      </w:tr>
      <w:tr w14:paraId="43670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58C7F611">
            <w:r>
              <w:rPr>
                <w:rFonts w:hint="eastAsia"/>
                <w:color w:val="000000"/>
                <w:sz w:val="22"/>
              </w:rPr>
              <w:t>出口调压电机功率</w:t>
            </w:r>
          </w:p>
        </w:tc>
        <w:tc>
          <w:tcPr>
            <w:tcW w:w="4261" w:type="dxa"/>
          </w:tcPr>
          <w:p w14:paraId="676F77A5">
            <w:r>
              <w:rPr>
                <w:rFonts w:hint="eastAsia"/>
                <w:color w:val="000000"/>
                <w:sz w:val="22"/>
              </w:rPr>
              <w:t>0.55kw</w:t>
            </w:r>
          </w:p>
        </w:tc>
      </w:tr>
      <w:tr w14:paraId="3000C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7F77147B">
            <w:r>
              <w:rPr>
                <w:rFonts w:hint="eastAsia"/>
                <w:color w:val="000000"/>
                <w:sz w:val="22"/>
              </w:rPr>
              <w:t>出口调节行程</w:t>
            </w:r>
          </w:p>
        </w:tc>
        <w:tc>
          <w:tcPr>
            <w:tcW w:w="4261" w:type="dxa"/>
          </w:tcPr>
          <w:p w14:paraId="325B6277">
            <w:r>
              <w:rPr>
                <w:rFonts w:hint="eastAsia"/>
                <w:color w:val="000000"/>
                <w:sz w:val="22"/>
              </w:rPr>
              <w:t>0～110mm</w:t>
            </w:r>
          </w:p>
        </w:tc>
      </w:tr>
      <w:tr w14:paraId="5EDE2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2ED2F390">
            <w:r>
              <w:rPr>
                <w:rFonts w:hint="eastAsia"/>
                <w:color w:val="000000"/>
                <w:sz w:val="22"/>
              </w:rPr>
              <w:t>压力组件最大压力</w:t>
            </w:r>
          </w:p>
        </w:tc>
        <w:tc>
          <w:tcPr>
            <w:tcW w:w="4261" w:type="dxa"/>
          </w:tcPr>
          <w:p w14:paraId="1D87F3BC">
            <w:r>
              <w:rPr>
                <w:rFonts w:hint="eastAsia"/>
                <w:color w:val="000000"/>
                <w:sz w:val="22"/>
              </w:rPr>
              <w:t>1000kgf/组</w:t>
            </w:r>
          </w:p>
        </w:tc>
      </w:tr>
      <w:tr w14:paraId="43AF4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187080B0">
            <w:r>
              <w:rPr>
                <w:rFonts w:hint="eastAsia"/>
                <w:color w:val="000000"/>
                <w:sz w:val="22"/>
              </w:rPr>
              <w:t>压力组件使用寿命</w:t>
            </w:r>
          </w:p>
        </w:tc>
        <w:tc>
          <w:tcPr>
            <w:tcW w:w="4261" w:type="dxa"/>
          </w:tcPr>
          <w:p w14:paraId="34D480F3">
            <w:r>
              <w:rPr>
                <w:rFonts w:hint="eastAsia"/>
                <w:color w:val="000000"/>
                <w:sz w:val="22"/>
              </w:rPr>
              <w:t>500,000次</w:t>
            </w:r>
          </w:p>
        </w:tc>
      </w:tr>
      <w:tr w14:paraId="0B481A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2FF258D1">
            <w:r>
              <w:rPr>
                <w:rFonts w:hint="eastAsia"/>
                <w:color w:val="000000"/>
                <w:sz w:val="22"/>
              </w:rPr>
              <w:t>安全门控制方式</w:t>
            </w:r>
          </w:p>
        </w:tc>
        <w:tc>
          <w:tcPr>
            <w:tcW w:w="4261" w:type="dxa"/>
          </w:tcPr>
          <w:p w14:paraId="599126D2">
            <w:r>
              <w:rPr>
                <w:rFonts w:hint="eastAsia"/>
                <w:color w:val="000000"/>
                <w:sz w:val="22"/>
              </w:rPr>
              <w:t>传感器控制</w:t>
            </w:r>
          </w:p>
        </w:tc>
      </w:tr>
      <w:tr w14:paraId="6F92D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14:paraId="038F80CD">
            <w:r>
              <w:rPr>
                <w:rFonts w:hint="eastAsia"/>
                <w:color w:val="000000"/>
                <w:sz w:val="22"/>
              </w:rPr>
              <w:t>传感器断电响应时间</w:t>
            </w:r>
          </w:p>
        </w:tc>
        <w:tc>
          <w:tcPr>
            <w:tcW w:w="4261" w:type="dxa"/>
          </w:tcPr>
          <w:p w14:paraId="1E411027">
            <w:r>
              <w:rPr>
                <w:rFonts w:hint="eastAsia"/>
                <w:color w:val="000000"/>
                <w:sz w:val="22"/>
              </w:rPr>
              <w:t>0.2s</w:t>
            </w:r>
          </w:p>
        </w:tc>
      </w:tr>
    </w:tbl>
    <w:p w14:paraId="120BC076">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肥料松散机相关资料（图片、参数说明等）。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38552273"/>
      <w:bookmarkStart w:id="4" w:name="_Toc269113527"/>
      <w:bookmarkStart w:id="5" w:name="_Toc274596702"/>
      <w:bookmarkStart w:id="6" w:name="_Toc318986166"/>
      <w:bookmarkStart w:id="7" w:name="_Toc268793030"/>
      <w:bookmarkStart w:id="8" w:name="_Toc274236999"/>
      <w:bookmarkStart w:id="9" w:name="_Toc275019684"/>
      <w:bookmarkStart w:id="10" w:name="_Toc275014947"/>
      <w:bookmarkStart w:id="11" w:name="_Toc275019836"/>
      <w:bookmarkStart w:id="12" w:name="_Toc275019290"/>
      <w:bookmarkStart w:id="13" w:name="_Toc238797630"/>
      <w:bookmarkStart w:id="14" w:name="_Toc303149804"/>
      <w:bookmarkStart w:id="15" w:name="_Toc16684"/>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肥料松散机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肥料松散机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肥料松散机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肥料松散机</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4</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3573</Words>
  <Characters>3782</Characters>
  <Lines>16</Lines>
  <Paragraphs>4</Paragraphs>
  <TotalTime>5</TotalTime>
  <ScaleCrop>false</ScaleCrop>
  <LinksUpToDate>false</LinksUpToDate>
  <CharactersWithSpaces>4920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2026-03-05T03:52:16Z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