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电磁流量计采购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编号：SFLHG-GKBX-2026-HW22</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日</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四川宏达股份公司电磁流量计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编号：SFLHG-GKBX-2025-HW22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宏达股份什邡磷化工分公司因生产技改需要，需采购电磁流量计4台，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电磁流量计</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1660"/>
        <w:gridCol w:w="3750"/>
        <w:gridCol w:w="880"/>
        <w:gridCol w:w="269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66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75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规格参数</w:t>
            </w:r>
          </w:p>
        </w:tc>
        <w:tc>
          <w:tcPr>
            <w:tcW w:w="88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269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166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电磁流量计</w:t>
            </w:r>
          </w:p>
        </w:tc>
        <w:tc>
          <w:tcPr>
            <w:tcW w:w="3750"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color w:val="auto"/>
                <w:kern w:val="0"/>
                <w:sz w:val="21"/>
                <w:szCs w:val="21"/>
                <w:lang w:val="en-US" w:eastAsia="zh-CN"/>
              </w:rPr>
              <w:t>DN100/PN16 本体材质304 双频励磁            精度0.2%  详见数据表</w:t>
            </w:r>
          </w:p>
        </w:tc>
        <w:tc>
          <w:tcPr>
            <w:tcW w:w="880"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4 台</w:t>
            </w:r>
          </w:p>
        </w:tc>
        <w:tc>
          <w:tcPr>
            <w:tcW w:w="2690" w:type="dxa"/>
            <w:tcBorders>
              <w:right w:val="single" w:color="auto" w:sz="4" w:space="0"/>
            </w:tcBorders>
            <w:noWrap w:val="0"/>
            <w:vAlign w:val="center"/>
          </w:tcPr>
          <w:p w14:paraId="2BA9942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硫酸厂装卸酸改造项目</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color w:val="auto"/>
          <w:sz w:val="28"/>
          <w:szCs w:val="28"/>
        </w:rPr>
        <w:t>起</w:t>
      </w:r>
      <w:r>
        <w:rPr>
          <w:rFonts w:hint="eastAsia" w:ascii="黑体" w:hAnsi="黑体" w:eastAsia="黑体"/>
          <w:color w:val="auto"/>
          <w:sz w:val="28"/>
          <w:szCs w:val="28"/>
          <w:lang w:val="en-US" w:eastAsia="zh-CN"/>
        </w:rPr>
        <w:t>40</w:t>
      </w:r>
      <w:r>
        <w:rPr>
          <w:rFonts w:hint="eastAsia" w:ascii="黑体" w:hAnsi="黑体" w:eastAsia="黑体"/>
          <w:color w:val="auto"/>
          <w:sz w:val="28"/>
          <w:szCs w:val="28"/>
        </w:rPr>
        <w:t>个</w:t>
      </w:r>
      <w:r>
        <w:rPr>
          <w:rFonts w:hint="eastAsia" w:ascii="黑体" w:hAnsi="黑体" w:eastAsia="黑体"/>
          <w:sz w:val="28"/>
          <w:szCs w:val="28"/>
        </w:rPr>
        <w:t>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2026年3月8日10时 00 分至 2026年3月13日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递交截止时间：2026年3月13日10时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52A15149">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②提供近三年（2023年1月-2025年12月）</w:t>
      </w:r>
      <w:r>
        <w:rPr>
          <w:rFonts w:hint="eastAsia" w:ascii="黑体" w:hAnsi="黑体" w:eastAsia="黑体" w:cs="Segoe UI"/>
          <w:kern w:val="0"/>
          <w:sz w:val="28"/>
          <w:szCs w:val="28"/>
          <w:lang w:val="en-US" w:eastAsia="zh-CN"/>
        </w:rPr>
        <w:t>电磁流量计</w:t>
      </w:r>
      <w:r>
        <w:rPr>
          <w:rFonts w:hint="eastAsia" w:ascii="黑体" w:hAnsi="黑体" w:eastAsia="黑体" w:cs="仿宋_GB2312"/>
          <w:sz w:val="28"/>
          <w:szCs w:val="28"/>
          <w:lang w:val="en-US" w:eastAsia="zh-CN"/>
        </w:rPr>
        <w:t>相关销售业绩，不低于3项。附中标通知书或合同扫描件，中标通知书或合同包括已履约完成和正在履约均可，同一家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流量计规格型号不限。生产商（品牌）或代理商业绩予以认可。</w:t>
      </w:r>
    </w:p>
    <w:p w14:paraId="51C7A98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kern w:val="0"/>
          <w:sz w:val="28"/>
          <w:szCs w:val="28"/>
          <w:lang w:val="en-US" w:eastAsia="zh-CN"/>
        </w:rPr>
        <w:t>品牌（生产商）、</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455BE296">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④提供电磁流量计</w:t>
      </w:r>
      <w:r>
        <w:rPr>
          <w:rFonts w:hint="eastAsia" w:ascii="黑体" w:hAnsi="黑体" w:eastAsia="黑体" w:cs="仿宋_GB2312"/>
          <w:sz w:val="28"/>
          <w:szCs w:val="28"/>
          <w:lang w:val="en-US" w:eastAsia="zh-CN"/>
        </w:rPr>
        <w:t>技术规格书。</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C6833CA">
      <w:pPr>
        <w:spacing w:line="420" w:lineRule="exact"/>
        <w:rPr>
          <w:rFonts w:ascii="黑体" w:hAnsi="黑体" w:eastAsia="黑体" w:cs="Times New Roman"/>
          <w:sz w:val="28"/>
          <w:szCs w:val="28"/>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225BD9C5">
      <w:pPr>
        <w:spacing w:line="360" w:lineRule="exact"/>
        <w:rPr>
          <w:rFonts w:hint="eastAsia" w:ascii="黑体" w:hAnsi="黑体" w:eastAsia="黑体" w:cs="宋体"/>
          <w:b/>
          <w:kern w:val="0"/>
          <w:sz w:val="28"/>
          <w:szCs w:val="28"/>
          <w:lang w:val="en-US" w:eastAsia="zh-CN"/>
        </w:rPr>
      </w:pPr>
    </w:p>
    <w:p w14:paraId="40EE21B2">
      <w:pPr>
        <w:spacing w:line="360" w:lineRule="exact"/>
        <w:rPr>
          <w:rFonts w:hint="eastAsia" w:ascii="黑体" w:hAnsi="黑体" w:eastAsia="黑体" w:cs="宋体"/>
          <w:b/>
          <w:kern w:val="0"/>
          <w:sz w:val="28"/>
          <w:szCs w:val="28"/>
          <w:lang w:val="en-US" w:eastAsia="zh-CN"/>
        </w:rPr>
      </w:pPr>
    </w:p>
    <w:p w14:paraId="4D17E4CD">
      <w:pPr>
        <w:spacing w:line="360" w:lineRule="exact"/>
        <w:rPr>
          <w:rFonts w:hint="eastAsia" w:ascii="黑体" w:hAnsi="黑体" w:eastAsia="黑体" w:cs="宋体"/>
          <w:b/>
          <w:kern w:val="0"/>
          <w:sz w:val="28"/>
          <w:szCs w:val="28"/>
          <w:lang w:val="en-US" w:eastAsia="zh-CN"/>
        </w:rPr>
      </w:pPr>
    </w:p>
    <w:p w14:paraId="30327911">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28"/>
          <w:szCs w:val="28"/>
          <w:lang w:val="en-US" w:eastAsia="zh-CN"/>
        </w:rPr>
      </w:pPr>
    </w:p>
    <w:p w14:paraId="71E0D79A">
      <w:pPr>
        <w:jc w:val="center"/>
        <w:rPr>
          <w:rFonts w:hint="eastAsia" w:ascii="黑体" w:hAnsi="黑体" w:eastAsia="黑体" w:cs="黑体"/>
          <w:b/>
          <w:bCs/>
          <w:sz w:val="28"/>
          <w:szCs w:val="28"/>
          <w:lang w:eastAsia="zh-CN"/>
        </w:rPr>
      </w:pPr>
      <w:r>
        <w:rPr>
          <w:rFonts w:hint="eastAsia" w:ascii="黑体" w:hAnsi="黑体" w:eastAsia="黑体" w:cs="宋体"/>
          <w:b/>
          <w:kern w:val="0"/>
          <w:sz w:val="28"/>
          <w:szCs w:val="28"/>
          <w:lang w:val="en-US" w:eastAsia="zh-CN"/>
        </w:rPr>
        <w:t xml:space="preserve">第二章    </w:t>
      </w:r>
      <w:r>
        <w:rPr>
          <w:rFonts w:hint="eastAsia" w:ascii="黑体" w:hAnsi="黑体" w:eastAsia="黑体" w:cs="黑体"/>
          <w:b/>
          <w:bCs/>
          <w:sz w:val="28"/>
          <w:szCs w:val="28"/>
          <w:lang w:val="en-US" w:eastAsia="zh-CN"/>
        </w:rPr>
        <w:t>电磁流量计</w:t>
      </w:r>
      <w:r>
        <w:rPr>
          <w:rFonts w:hint="eastAsia" w:ascii="黑体" w:hAnsi="黑体" w:eastAsia="黑体" w:cs="黑体"/>
          <w:color w:val="auto"/>
          <w:sz w:val="28"/>
          <w:szCs w:val="28"/>
        </w:rPr>
        <w:t>采</w:t>
      </w:r>
      <w:r>
        <w:rPr>
          <w:rFonts w:hint="eastAsia" w:ascii="黑体" w:hAnsi="黑体" w:eastAsia="黑体" w:cs="黑体"/>
          <w:b/>
          <w:bCs/>
          <w:sz w:val="28"/>
          <w:szCs w:val="28"/>
        </w:rPr>
        <w:t>购</w:t>
      </w:r>
      <w:r>
        <w:rPr>
          <w:rFonts w:hint="eastAsia" w:ascii="黑体" w:hAnsi="黑体" w:eastAsia="黑体" w:cs="黑体"/>
          <w:b/>
          <w:bCs/>
          <w:sz w:val="28"/>
          <w:szCs w:val="28"/>
          <w:lang w:val="en-US" w:eastAsia="zh-CN"/>
        </w:rPr>
        <w:t>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9978"/>
      <w:bookmarkStart w:id="2"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612B39D">
      <w:pPr>
        <w:numPr>
          <w:ilvl w:val="0"/>
          <w:numId w:val="0"/>
        </w:numPr>
        <w:spacing w:line="420" w:lineRule="exact"/>
        <w:ind w:leftChars="0"/>
        <w:rPr>
          <w:rFonts w:hint="eastAsia" w:ascii="宋体" w:hAnsi="宋体" w:cs="宋体"/>
          <w:b/>
          <w:bCs/>
          <w:color w:val="auto"/>
          <w:sz w:val="28"/>
          <w:szCs w:val="28"/>
        </w:rPr>
      </w:pPr>
      <w:r>
        <w:rPr>
          <w:rFonts w:hint="eastAsia" w:cs="黑体" w:asciiTheme="minorEastAsia" w:hAnsiTheme="minorEastAsia"/>
          <w:b/>
          <w:bCs/>
          <w:kern w:val="44"/>
          <w:sz w:val="28"/>
          <w:szCs w:val="28"/>
          <w:highlight w:val="none"/>
          <w:lang w:val="en-US" w:eastAsia="zh-CN"/>
        </w:rPr>
        <w:t>（二）</w:t>
      </w:r>
      <w:bookmarkEnd w:id="0"/>
      <w:bookmarkEnd w:id="1"/>
      <w:bookmarkEnd w:id="2"/>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39E927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近三年（2023年1月-2025年12月）</w:t>
      </w:r>
      <w:r>
        <w:rPr>
          <w:rFonts w:hint="eastAsia" w:ascii="黑体" w:hAnsi="黑体" w:eastAsia="黑体" w:cs="Segoe UI"/>
          <w:kern w:val="0"/>
          <w:sz w:val="28"/>
          <w:szCs w:val="28"/>
          <w:lang w:val="en-US" w:eastAsia="zh-CN"/>
        </w:rPr>
        <w:t>电磁流量计</w:t>
      </w:r>
      <w:r>
        <w:rPr>
          <w:rFonts w:hint="eastAsia" w:ascii="黑体" w:hAnsi="黑体" w:eastAsia="黑体" w:cs="仿宋_GB2312"/>
          <w:sz w:val="28"/>
          <w:szCs w:val="28"/>
          <w:lang w:val="en-US" w:eastAsia="zh-CN"/>
        </w:rPr>
        <w:t>相关销售业绩，不低于3项。附中标通知书或合同扫描件，中标通知书或合同包括已履约完成和正在履约均可，同一家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流量计规格型号不限。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bookmarkStart w:id="4" w:name="_GoBack"/>
      <w:bookmarkEnd w:id="4"/>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2"/>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3"/>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4、随货提供详细的资料，包括但不限于：产品名称、规格型号、位号（标注在铭上）、合格证（检测报告）和使用说明书等。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5、本合同未涉及的标的物其它参数，以合同附件《技术规格书》为准。《技术规格书》作为本合同的附件和验收标准，具有同等法律效力。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7F60780"/>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48F7767"/>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4A1E10"/>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046B3C"/>
    <w:rsid w:val="5B1D65E8"/>
    <w:rsid w:val="5C8C341B"/>
    <w:rsid w:val="5D152C97"/>
    <w:rsid w:val="5D2F2B1E"/>
    <w:rsid w:val="5D981B02"/>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4339</Words>
  <Characters>4592</Characters>
  <Lines>16</Lines>
  <Paragraphs>4</Paragraphs>
  <TotalTime>27</TotalTime>
  <ScaleCrop>false</ScaleCrop>
  <LinksUpToDate>false</LinksUpToDate>
  <CharactersWithSpaces>5497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2026-03-07T07:27:09Z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