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603971A8">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宏达股份有</w:t>
      </w:r>
      <w:r>
        <w:rPr>
          <w:rFonts w:hint="eastAsia" w:ascii="宋体" w:hAnsi="宋体" w:eastAsia="宋体" w:cs="宋体"/>
          <w:b/>
          <w:bCs/>
          <w:sz w:val="32"/>
          <w:szCs w:val="32"/>
          <w:lang w:val="en-US" w:eastAsia="zh-CN"/>
        </w:rPr>
        <w:t>色</w:t>
      </w:r>
      <w:r>
        <w:rPr>
          <w:rFonts w:hint="eastAsia" w:ascii="宋体" w:hAnsi="宋体" w:eastAsia="宋体" w:cs="宋体"/>
          <w:b/>
          <w:bCs/>
          <w:sz w:val="32"/>
          <w:szCs w:val="32"/>
        </w:rPr>
        <w:t>公司</w:t>
      </w:r>
    </w:p>
    <w:p w14:paraId="618F2EF8">
      <w:pPr>
        <w:widowControl/>
        <w:jc w:val="center"/>
        <w:rPr>
          <w:rFonts w:hint="default" w:asciiTheme="minorEastAsia" w:hAnsiTheme="minorEastAsia" w:eastAsiaTheme="minorEastAsia"/>
          <w:b/>
          <w:kern w:val="0"/>
          <w:sz w:val="72"/>
          <w:szCs w:val="72"/>
          <w:highlight w:val="none"/>
          <w:lang w:val="en-US"/>
        </w:rPr>
      </w:pPr>
      <w:r>
        <w:rPr>
          <w:rFonts w:hint="eastAsia" w:ascii="宋体" w:hAnsi="宋体" w:eastAsia="宋体" w:cs="宋体"/>
          <w:b/>
          <w:bCs/>
          <w:sz w:val="30"/>
          <w:szCs w:val="30"/>
          <w:lang w:val="en-US" w:eastAsia="zh-CN"/>
        </w:rPr>
        <w:t>高压电器设施设备安装服务采购</w:t>
      </w: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401D36DC">
      <w:pPr>
        <w:autoSpaceDE w:val="0"/>
        <w:autoSpaceDN w:val="0"/>
        <w:adjustRightInd w:val="0"/>
        <w:spacing w:before="100" w:after="100"/>
        <w:jc w:val="center"/>
        <w:rPr>
          <w:rFonts w:hint="default" w:ascii="黑体" w:hAnsi="黑体" w:eastAsia="黑体" w:cs="黑体"/>
          <w:b/>
          <w:bCs/>
          <w:color w:val="auto"/>
          <w:sz w:val="36"/>
          <w:szCs w:val="36"/>
          <w:highlight w:val="none"/>
          <w:lang w:val="en-US" w:eastAsia="zh-CN"/>
        </w:rPr>
      </w:pPr>
      <w:r>
        <w:rPr>
          <w:rFonts w:hint="eastAsia" w:ascii="黑体" w:hAnsi="黑体" w:eastAsia="黑体" w:cs="宋体"/>
          <w:b/>
          <w:color w:val="auto"/>
          <w:kern w:val="0"/>
          <w:sz w:val="32"/>
          <w:szCs w:val="32"/>
          <w:lang w:val="en-US" w:eastAsia="zh-CN"/>
        </w:rPr>
        <w:t>编号：</w:t>
      </w:r>
      <w:r>
        <w:rPr>
          <w:rFonts w:hint="eastAsia" w:ascii="黑体" w:hAnsi="黑体" w:eastAsia="黑体" w:cs="黑体"/>
          <w:b/>
          <w:bCs/>
          <w:color w:val="auto"/>
          <w:sz w:val="36"/>
          <w:szCs w:val="36"/>
          <w:highlight w:val="none"/>
          <w:lang w:val="en-US" w:eastAsia="zh-CN"/>
        </w:rPr>
        <w:t>YS-GKBX-2026-FW41</w:t>
      </w:r>
    </w:p>
    <w:p w14:paraId="13817FF9">
      <w:pPr>
        <w:pStyle w:val="5"/>
        <w:tabs>
          <w:tab w:val="left" w:pos="2499"/>
          <w:tab w:val="center" w:pos="5198"/>
        </w:tabs>
        <w:jc w:val="center"/>
        <w:rPr>
          <w:rFonts w:hint="default"/>
          <w:color w:val="auto"/>
          <w:lang w:val="en-US" w:eastAsia="zh-CN"/>
        </w:rPr>
      </w:pP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3</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en-US" w:eastAsia="zh-CN"/>
        </w:rPr>
        <w:t>日</w:t>
      </w:r>
    </w:p>
    <w:p w14:paraId="08529DF2">
      <w:pPr>
        <w:widowControl/>
        <w:shd w:val="clear" w:color="auto" w:fill="FFFFFF"/>
        <w:spacing w:line="240" w:lineRule="auto"/>
        <w:ind w:firstLine="371"/>
        <w:jc w:val="center"/>
        <w:rPr>
          <w:rFonts w:hint="default"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第一章 宏达股份有色公司</w:t>
      </w:r>
    </w:p>
    <w:p w14:paraId="4D8C29F6">
      <w:pPr>
        <w:widowControl/>
        <w:jc w:val="center"/>
        <w:rPr>
          <w:rFonts w:hint="default" w:asciiTheme="minorEastAsia" w:hAnsiTheme="minorEastAsia" w:eastAsiaTheme="minorEastAsia"/>
          <w:b/>
          <w:kern w:val="0"/>
          <w:sz w:val="72"/>
          <w:szCs w:val="72"/>
          <w:highlight w:val="none"/>
          <w:lang w:val="en-US"/>
        </w:rPr>
      </w:pPr>
      <w:r>
        <w:rPr>
          <w:rFonts w:hint="eastAsia" w:ascii="宋体" w:hAnsi="宋体" w:eastAsia="宋体" w:cs="宋体"/>
          <w:b/>
          <w:bCs/>
          <w:sz w:val="30"/>
          <w:szCs w:val="30"/>
          <w:lang w:val="en-US" w:eastAsia="zh-CN"/>
        </w:rPr>
        <w:t>高压电器设施设备安装服务采购</w:t>
      </w:r>
    </w:p>
    <w:p w14:paraId="1439042A">
      <w:pPr>
        <w:widowControl/>
        <w:shd w:val="clear" w:color="auto" w:fill="FFFFFF"/>
        <w:spacing w:line="240" w:lineRule="auto"/>
        <w:ind w:firstLine="371"/>
        <w:jc w:val="center"/>
        <w:rPr>
          <w:rFonts w:hint="default" w:ascii="黑体" w:hAnsi="黑体" w:eastAsia="黑体" w:cs="宋体"/>
          <w:b/>
          <w:color w:val="333333"/>
          <w:kern w:val="0"/>
          <w:sz w:val="32"/>
          <w:szCs w:val="32"/>
          <w:lang w:val="en-US" w:eastAsia="zh-CN"/>
        </w:rPr>
      </w:pPr>
    </w:p>
    <w:p w14:paraId="3C2905FA">
      <w:pPr>
        <w:widowControl/>
        <w:shd w:val="clear" w:color="auto" w:fill="FFFFFF"/>
        <w:spacing w:line="240" w:lineRule="auto"/>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采购比选文件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sz w:val="28"/>
          <w:szCs w:val="28"/>
          <w:highlight w:val="none"/>
          <w:lang w:val="en-US" w:eastAsia="zh-CN"/>
        </w:rPr>
      </w:pPr>
      <w:r>
        <w:rPr>
          <w:rFonts w:hint="eastAsia" w:ascii="黑体" w:hAnsi="黑体" w:eastAsia="黑体" w:cs="宋体"/>
          <w:b/>
          <w:color w:val="auto"/>
          <w:kern w:val="0"/>
          <w:sz w:val="28"/>
          <w:szCs w:val="28"/>
          <w:lang w:val="en-US" w:eastAsia="zh-CN"/>
        </w:rPr>
        <w:t>编号：YS-GKBX-202</w:t>
      </w:r>
      <w:r>
        <w:rPr>
          <w:rFonts w:hint="eastAsia" w:ascii="黑体" w:hAnsi="黑体" w:eastAsia="黑体" w:cs="宋体"/>
          <w:b/>
          <w:color w:val="auto"/>
          <w:kern w:val="0"/>
          <w:sz w:val="28"/>
          <w:szCs w:val="28"/>
          <w:highlight w:val="none"/>
          <w:lang w:val="en-US" w:eastAsia="zh-CN"/>
        </w:rPr>
        <w:t>5-FW41</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keepNext w:val="0"/>
        <w:keepLines w:val="0"/>
        <w:pageBreakBefore w:val="0"/>
        <w:numPr>
          <w:ilvl w:val="0"/>
          <w:numId w:val="0"/>
        </w:numPr>
        <w:kinsoku/>
        <w:wordWrap/>
        <w:overflowPunct/>
        <w:topLinePunct w:val="0"/>
        <w:autoSpaceDE/>
        <w:autoSpaceDN/>
        <w:bidi w:val="0"/>
        <w:spacing w:line="480" w:lineRule="exact"/>
        <w:ind w:firstLine="560" w:firstLineChars="200"/>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因工作需要，本着“公开、公平、公正”的原则，我公司对以下标的物进行公开比选。欢迎贵公司前来报价，现将相关事项公告如下：</w:t>
      </w:r>
    </w:p>
    <w:p w14:paraId="6146E5BF">
      <w:pPr>
        <w:keepNext w:val="0"/>
        <w:keepLines w:val="0"/>
        <w:pageBreakBefore w:val="0"/>
        <w:numPr>
          <w:ilvl w:val="0"/>
          <w:numId w:val="0"/>
        </w:numPr>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一、标的物：高压电器设施设备安装服务</w:t>
      </w:r>
    </w:p>
    <w:p w14:paraId="3189E225">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 xml:space="preserve">二、比选人：四川宏达股份有限公司  </w:t>
      </w:r>
    </w:p>
    <w:p w14:paraId="67EB3B3D">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服务内容</w:t>
      </w:r>
      <w:r>
        <w:rPr>
          <w:rFonts w:hint="eastAsia" w:ascii="黑体" w:hAnsi="黑体" w:eastAsia="黑体" w:cs="宋体"/>
          <w:kern w:val="0"/>
          <w:sz w:val="28"/>
          <w:szCs w:val="28"/>
        </w:rPr>
        <w:t>：</w:t>
      </w:r>
    </w:p>
    <w:tbl>
      <w:tblPr>
        <w:tblStyle w:val="16"/>
        <w:tblW w:w="8478" w:type="dxa"/>
        <w:tblInd w:w="93" w:type="dxa"/>
        <w:tblLayout w:type="autofit"/>
        <w:tblCellMar>
          <w:top w:w="0" w:type="dxa"/>
          <w:left w:w="108" w:type="dxa"/>
          <w:bottom w:w="0" w:type="dxa"/>
          <w:right w:w="108" w:type="dxa"/>
        </w:tblCellMar>
      </w:tblPr>
      <w:tblGrid>
        <w:gridCol w:w="728"/>
        <w:gridCol w:w="2120"/>
        <w:gridCol w:w="5630"/>
      </w:tblGrid>
      <w:tr w14:paraId="3EE7D171">
        <w:tblPrEx>
          <w:tblCellMar>
            <w:top w:w="0" w:type="dxa"/>
            <w:left w:w="108" w:type="dxa"/>
            <w:bottom w:w="0" w:type="dxa"/>
            <w:right w:w="108" w:type="dxa"/>
          </w:tblCellMar>
        </w:tblPrEx>
        <w:trPr>
          <w:trHeight w:val="706"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E614">
            <w:pPr>
              <w:widowControl/>
              <w:jc w:val="center"/>
              <w:textAlignment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序号</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0B4B">
            <w:pPr>
              <w:widowControl/>
              <w:jc w:val="center"/>
              <w:textAlignment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lang w:val="en-US" w:eastAsia="zh-CN"/>
              </w:rPr>
              <w:t>服务</w:t>
            </w:r>
            <w:r>
              <w:rPr>
                <w:rFonts w:hint="eastAsia" w:ascii="黑体" w:hAnsi="黑体" w:eastAsia="黑体" w:cs="黑体"/>
                <w:color w:val="000000"/>
                <w:kern w:val="0"/>
                <w:sz w:val="22"/>
                <w:szCs w:val="22"/>
              </w:rPr>
              <w:t>名称</w:t>
            </w:r>
          </w:p>
        </w:tc>
        <w:tc>
          <w:tcPr>
            <w:tcW w:w="5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069B">
            <w:pPr>
              <w:widowControl/>
              <w:jc w:val="center"/>
              <w:textAlignment w:val="center"/>
              <w:rPr>
                <w:rFonts w:hint="default" w:ascii="黑体" w:hAnsi="黑体" w:eastAsia="黑体" w:cs="黑体"/>
                <w:color w:val="000000"/>
                <w:kern w:val="0"/>
                <w:sz w:val="22"/>
                <w:szCs w:val="22"/>
                <w:lang w:val="en-US" w:eastAsia="zh-CN"/>
              </w:rPr>
            </w:pPr>
            <w:r>
              <w:rPr>
                <w:rFonts w:hint="eastAsia" w:ascii="黑体" w:hAnsi="黑体" w:eastAsia="黑体" w:cs="黑体"/>
                <w:color w:val="000000"/>
                <w:kern w:val="0"/>
                <w:sz w:val="22"/>
                <w:szCs w:val="22"/>
                <w:lang w:val="en-US" w:eastAsia="zh-CN"/>
              </w:rPr>
              <w:t>服务内容</w:t>
            </w:r>
          </w:p>
        </w:tc>
      </w:tr>
      <w:tr w14:paraId="51043AA4">
        <w:tblPrEx>
          <w:tblCellMar>
            <w:top w:w="0" w:type="dxa"/>
            <w:left w:w="108" w:type="dxa"/>
            <w:bottom w:w="0" w:type="dxa"/>
            <w:right w:w="108" w:type="dxa"/>
          </w:tblCellMar>
        </w:tblPrEx>
        <w:trPr>
          <w:trHeight w:val="9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8E3A">
            <w:pPr>
              <w:widowControl/>
              <w:jc w:val="center"/>
              <w:textAlignment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1</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A4F6">
            <w:pPr>
              <w:widowControl/>
              <w:jc w:val="center"/>
              <w:textAlignment w:val="center"/>
              <w:rPr>
                <w:rFonts w:hint="default" w:ascii="黑体" w:hAnsi="黑体" w:eastAsia="黑体" w:cs="黑体"/>
                <w:color w:val="000000"/>
                <w:kern w:val="0"/>
                <w:sz w:val="24"/>
                <w:szCs w:val="24"/>
                <w:lang w:val="en-US"/>
              </w:rPr>
            </w:pPr>
            <w:r>
              <w:rPr>
                <w:rFonts w:hint="eastAsia" w:ascii="黑体" w:hAnsi="黑体" w:eastAsia="黑体" w:cs="黑体"/>
                <w:color w:val="000000"/>
                <w:kern w:val="0"/>
                <w:sz w:val="24"/>
                <w:szCs w:val="24"/>
                <w:lang w:val="en-US" w:eastAsia="zh-CN"/>
              </w:rPr>
              <w:t>高压电器设施设备安装服务</w:t>
            </w:r>
          </w:p>
        </w:tc>
        <w:tc>
          <w:tcPr>
            <w:tcW w:w="5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862F">
            <w:pPr>
              <w:keepNext w:val="0"/>
              <w:keepLines w:val="0"/>
              <w:widowControl/>
              <w:suppressLineNumbers w:val="0"/>
              <w:jc w:val="left"/>
              <w:textAlignment w:val="center"/>
              <w:rPr>
                <w:rFonts w:hint="default" w:ascii="黑体" w:hAnsi="黑体" w:eastAsia="黑体" w:cs="黑体"/>
                <w:color w:val="000000"/>
                <w:kern w:val="0"/>
                <w:sz w:val="24"/>
                <w:szCs w:val="24"/>
                <w:lang w:val="en-US" w:eastAsia="zh-CN"/>
              </w:rPr>
            </w:pPr>
            <w:r>
              <w:rPr>
                <w:rFonts w:hint="eastAsia" w:ascii="黑体" w:hAnsi="黑体" w:eastAsia="黑体" w:cs="黑体"/>
                <w:color w:val="000000"/>
                <w:kern w:val="0"/>
                <w:sz w:val="24"/>
                <w:szCs w:val="24"/>
                <w:lang w:val="en-US" w:eastAsia="zh-CN"/>
              </w:rPr>
              <w:t>1#、2#、3#高压室改造；10KV工隐路迁改；民宏7/8路迁改；民宏1/2路迁改；各厂高压电缆安装外协施工。相加附件（安装目录清单）。</w:t>
            </w:r>
          </w:p>
        </w:tc>
      </w:tr>
    </w:tbl>
    <w:p w14:paraId="58D5D985">
      <w:pPr>
        <w:widowControl/>
        <w:jc w:val="both"/>
        <w:textAlignment w:val="center"/>
        <w:rPr>
          <w:rFonts w:hint="default" w:ascii="黑体" w:hAnsi="黑体" w:eastAsia="黑体" w:cs="宋体"/>
          <w:kern w:val="0"/>
          <w:sz w:val="24"/>
          <w:szCs w:val="24"/>
          <w:lang w:val="en-US" w:eastAsia="zh-CN"/>
        </w:rPr>
      </w:pPr>
    </w:p>
    <w:p w14:paraId="4ACFD346">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资格要求：</w:t>
      </w:r>
    </w:p>
    <w:p w14:paraId="28D073B5">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default" w:ascii="Calibri" w:hAnsi="Calibri" w:eastAsia="黑体" w:cs="Calibri"/>
          <w:kern w:val="0"/>
          <w:sz w:val="24"/>
          <w:szCs w:val="24"/>
          <w:lang w:val="en-US" w:eastAsia="zh-CN"/>
        </w:rPr>
        <w:t>①</w:t>
      </w:r>
      <w:r>
        <w:rPr>
          <w:rFonts w:hint="eastAsia" w:ascii="黑体" w:hAnsi="黑体" w:eastAsia="黑体" w:cs="宋体"/>
          <w:kern w:val="0"/>
          <w:sz w:val="24"/>
          <w:szCs w:val="24"/>
          <w:lang w:val="en-US" w:eastAsia="zh-CN"/>
        </w:rPr>
        <w:t xml:space="preserve">基本资质要求 </w:t>
      </w:r>
    </w:p>
    <w:p w14:paraId="6548680A">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eastAsia" w:ascii="黑体" w:hAnsi="黑体" w:eastAsia="黑体" w:cs="Segoe UI"/>
          <w:kern w:val="0"/>
          <w:sz w:val="24"/>
          <w:szCs w:val="24"/>
        </w:rPr>
        <w:t>具有独立法人资格</w:t>
      </w:r>
      <w:r>
        <w:rPr>
          <w:rFonts w:hint="eastAsia" w:ascii="黑体" w:hAnsi="黑体" w:eastAsia="黑体" w:cs="Segoe UI"/>
          <w:kern w:val="0"/>
          <w:sz w:val="24"/>
          <w:szCs w:val="24"/>
          <w:lang w:eastAsia="zh-CN"/>
        </w:rPr>
        <w:t>（</w:t>
      </w:r>
      <w:r>
        <w:rPr>
          <w:rFonts w:hint="eastAsia" w:ascii="黑体" w:hAnsi="黑体" w:eastAsia="黑体" w:cs="Segoe UI"/>
          <w:kern w:val="0"/>
          <w:sz w:val="24"/>
          <w:szCs w:val="24"/>
        </w:rPr>
        <w:t>营业执照</w:t>
      </w:r>
      <w:r>
        <w:rPr>
          <w:rFonts w:hint="eastAsia" w:ascii="黑体" w:hAnsi="黑体" w:eastAsia="黑体" w:cs="Segoe UI"/>
          <w:kern w:val="0"/>
          <w:sz w:val="24"/>
          <w:szCs w:val="24"/>
          <w:lang w:eastAsia="zh-CN"/>
        </w:rPr>
        <w:t>）</w:t>
      </w:r>
      <w:r>
        <w:rPr>
          <w:rFonts w:hint="eastAsia" w:ascii="黑体" w:hAnsi="黑体" w:eastAsia="黑体" w:cs="Segoe UI"/>
          <w:kern w:val="0"/>
          <w:sz w:val="24"/>
          <w:szCs w:val="24"/>
        </w:rPr>
        <w:t>。</w:t>
      </w:r>
      <w:r>
        <w:rPr>
          <w:rFonts w:hint="eastAsia" w:ascii="黑体" w:hAnsi="黑体" w:eastAsia="黑体" w:cs="宋体"/>
          <w:kern w:val="0"/>
          <w:sz w:val="24"/>
          <w:szCs w:val="24"/>
          <w:lang w:val="en-US" w:eastAsia="zh-CN"/>
        </w:rPr>
        <w:t>电力工程施工总承包资质：具备电力工程施工总承包三级及以上资质，或承装（修、试）电力设施许可证四级及以上资质（须包含承装类、承修类、承试类，且电压等级覆盖10kV）。</w:t>
      </w:r>
    </w:p>
    <w:p w14:paraId="19045C1B">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安全生产许可证：具有国家应急管理部门颁发的有效安全生产许可证。</w:t>
      </w:r>
    </w:p>
    <w:p w14:paraId="7AAD9C64">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default" w:ascii="Calibri" w:hAnsi="Calibri" w:eastAsia="黑体" w:cs="Calibri"/>
          <w:kern w:val="0"/>
          <w:sz w:val="24"/>
          <w:szCs w:val="24"/>
          <w:lang w:val="en-US" w:eastAsia="zh-CN"/>
        </w:rPr>
        <w:t>②</w:t>
      </w:r>
      <w:r>
        <w:rPr>
          <w:rFonts w:hint="eastAsia" w:ascii="黑体" w:hAnsi="黑体" w:eastAsia="黑体" w:cs="宋体"/>
          <w:kern w:val="0"/>
          <w:sz w:val="24"/>
          <w:szCs w:val="24"/>
          <w:lang w:val="en-US" w:eastAsia="zh-CN"/>
        </w:rPr>
        <w:t xml:space="preserve">业绩要求 </w:t>
      </w:r>
    </w:p>
    <w:p w14:paraId="34FD08FE">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color w:val="auto"/>
          <w:kern w:val="0"/>
          <w:sz w:val="24"/>
          <w:szCs w:val="24"/>
          <w:lang w:val="en-US" w:eastAsia="zh-CN"/>
        </w:rPr>
      </w:pPr>
      <w:r>
        <w:rPr>
          <w:rFonts w:hint="eastAsia" w:ascii="黑体" w:hAnsi="黑体" w:eastAsia="黑体" w:cs="宋体"/>
          <w:kern w:val="0"/>
          <w:sz w:val="24"/>
          <w:szCs w:val="24"/>
          <w:lang w:val="en-US" w:eastAsia="zh-CN"/>
        </w:rPr>
        <w:t>从事电气设备安装业</w:t>
      </w:r>
      <w:r>
        <w:rPr>
          <w:rFonts w:hint="eastAsia" w:ascii="黑体" w:hAnsi="黑体" w:eastAsia="黑体" w:cs="宋体"/>
          <w:color w:val="auto"/>
          <w:kern w:val="0"/>
          <w:sz w:val="24"/>
          <w:szCs w:val="24"/>
          <w:lang w:val="en-US" w:eastAsia="zh-CN"/>
        </w:rPr>
        <w:t>务4年以上，独立承担过不少于3项10kV及以下</w:t>
      </w:r>
      <w:r>
        <w:rPr>
          <w:rFonts w:hint="eastAsia" w:ascii="黑体" w:hAnsi="黑体" w:eastAsia="黑体" w:cs="宋体"/>
          <w:kern w:val="0"/>
          <w:sz w:val="24"/>
          <w:szCs w:val="24"/>
          <w:lang w:val="en-US" w:eastAsia="zh-CN"/>
        </w:rPr>
        <w:t>电压等级的变配电设备安装工程（包括变压器更换、配电柜安装等）</w:t>
      </w:r>
      <w:r>
        <w:rPr>
          <w:rFonts w:hint="eastAsia" w:ascii="黑体" w:hAnsi="黑体" w:eastAsia="黑体" w:cs="宋体"/>
          <w:color w:val="auto"/>
          <w:kern w:val="0"/>
          <w:sz w:val="24"/>
          <w:szCs w:val="24"/>
          <w:lang w:val="en-US" w:eastAsia="zh-CN"/>
        </w:rPr>
        <w:t>，并已成功投运，无重大质量安全事故。</w:t>
      </w:r>
    </w:p>
    <w:p w14:paraId="1B3976B3">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color w:val="auto"/>
          <w:kern w:val="0"/>
          <w:sz w:val="24"/>
          <w:szCs w:val="24"/>
          <w:lang w:val="en-US" w:eastAsia="zh-CN"/>
        </w:rPr>
      </w:pPr>
      <w:r>
        <w:rPr>
          <w:rFonts w:hint="eastAsia" w:ascii="黑体" w:hAnsi="黑体" w:eastAsia="黑体" w:cs="宋体"/>
          <w:color w:val="auto"/>
          <w:kern w:val="0"/>
          <w:sz w:val="24"/>
          <w:szCs w:val="24"/>
          <w:lang w:val="en-US" w:eastAsia="zh-CN"/>
        </w:rPr>
        <w:t>具有同类化工企业电气设备安装经验者优先考虑。</w:t>
      </w:r>
    </w:p>
    <w:p w14:paraId="19A94F63">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color w:val="auto"/>
          <w:kern w:val="0"/>
          <w:sz w:val="24"/>
          <w:szCs w:val="24"/>
          <w:lang w:val="en-US" w:eastAsia="zh-CN"/>
        </w:rPr>
      </w:pPr>
      <w:r>
        <w:rPr>
          <w:rFonts w:hint="default" w:ascii="Calibri" w:hAnsi="Calibri" w:eastAsia="黑体" w:cs="Calibri"/>
          <w:color w:val="auto"/>
          <w:kern w:val="0"/>
          <w:sz w:val="24"/>
          <w:szCs w:val="24"/>
          <w:lang w:val="en-US" w:eastAsia="zh-CN"/>
        </w:rPr>
        <w:t>③</w:t>
      </w:r>
      <w:r>
        <w:rPr>
          <w:rFonts w:hint="eastAsia" w:ascii="黑体" w:hAnsi="黑体" w:eastAsia="黑体" w:cs="宋体"/>
          <w:color w:val="auto"/>
          <w:kern w:val="0"/>
          <w:sz w:val="24"/>
          <w:szCs w:val="24"/>
          <w:lang w:val="en-US" w:eastAsia="zh-CN"/>
        </w:rPr>
        <w:t xml:space="preserve">技术力量要求 </w:t>
      </w:r>
    </w:p>
    <w:p w14:paraId="1C24FD47">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color w:val="auto"/>
          <w:kern w:val="0"/>
          <w:sz w:val="24"/>
          <w:szCs w:val="24"/>
          <w:lang w:val="en-US" w:eastAsia="zh-CN"/>
        </w:rPr>
      </w:pPr>
      <w:r>
        <w:rPr>
          <w:rFonts w:hint="eastAsia" w:ascii="黑体" w:hAnsi="黑体" w:eastAsia="黑体" w:cs="宋体"/>
          <w:color w:val="auto"/>
          <w:kern w:val="0"/>
          <w:sz w:val="24"/>
          <w:szCs w:val="24"/>
          <w:lang w:val="en-US" w:eastAsia="zh-CN"/>
        </w:rPr>
        <w:t>单位有良好的社会信誉和相应的经济实力，工商注册资本不少于100万元。</w:t>
      </w:r>
    </w:p>
    <w:p w14:paraId="0FC11D0B">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单位专职技术骨干人员不少于15人，其中：</w:t>
      </w:r>
    </w:p>
    <w:p w14:paraId="5C6752C3">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电气工程及其自动化、电力系统等相关专业人员不少于8人；</w:t>
      </w:r>
    </w:p>
    <w:p w14:paraId="7C05DF66">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具有高压电工操作证的专业技术人员不少于5人；</w:t>
      </w:r>
    </w:p>
    <w:p w14:paraId="48FD9F59">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从事机电安装、控制柜安装等专业人员各不少于2人；</w:t>
      </w:r>
    </w:p>
    <w:p w14:paraId="38661E81">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其他配套专业人员（如起重、焊接等）配置合理。</w:t>
      </w:r>
    </w:p>
    <w:p w14:paraId="4CA5DF64">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项目负责人（项目经理）应具有机电工程专业二级及以上注册建造师资格，并持有安全生产考核合格证书（B证），具有5年以上10kV及以下变配电设备安装项目管理经验，主持过不少于2项类似工程。</w:t>
      </w:r>
    </w:p>
    <w:p w14:paraId="3E4E2C79">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技术负责人应具有电气工程相关专业中级及以上技术职称，具有8年以上电气设备安装技术管理经验。</w:t>
      </w:r>
    </w:p>
    <w:p w14:paraId="495C5238">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fldChar w:fldCharType="begin"/>
      </w:r>
      <w:r>
        <w:rPr>
          <w:rFonts w:hint="eastAsia" w:ascii="黑体" w:hAnsi="黑体" w:eastAsia="黑体" w:cs="宋体"/>
          <w:kern w:val="0"/>
          <w:sz w:val="24"/>
          <w:szCs w:val="24"/>
          <w:lang w:val="en-US" w:eastAsia="zh-CN"/>
        </w:rPr>
        <w:instrText xml:space="preserve"> = 4 \* GB3 \* MERGEFORMAT </w:instrText>
      </w:r>
      <w:r>
        <w:rPr>
          <w:rFonts w:hint="eastAsia" w:ascii="黑体" w:hAnsi="黑体" w:eastAsia="黑体" w:cs="宋体"/>
          <w:kern w:val="0"/>
          <w:sz w:val="24"/>
          <w:szCs w:val="24"/>
          <w:lang w:val="en-US" w:eastAsia="zh-CN"/>
        </w:rPr>
        <w:fldChar w:fldCharType="separate"/>
      </w:r>
      <w:r>
        <w:t>④</w:t>
      </w:r>
      <w:r>
        <w:rPr>
          <w:rFonts w:hint="eastAsia" w:ascii="黑体" w:hAnsi="黑体" w:eastAsia="黑体" w:cs="宋体"/>
          <w:kern w:val="0"/>
          <w:sz w:val="24"/>
          <w:szCs w:val="24"/>
          <w:lang w:val="en-US" w:eastAsia="zh-CN"/>
        </w:rPr>
        <w:fldChar w:fldCharType="end"/>
      </w:r>
      <w:r>
        <w:rPr>
          <w:rFonts w:hint="eastAsia" w:ascii="黑体" w:hAnsi="黑体" w:eastAsia="黑体" w:cs="宋体"/>
          <w:kern w:val="0"/>
          <w:sz w:val="24"/>
          <w:szCs w:val="24"/>
          <w:lang w:val="en-US" w:eastAsia="zh-CN"/>
        </w:rPr>
        <w:t xml:space="preserve">质量保证体系 </w:t>
      </w:r>
    </w:p>
    <w:p w14:paraId="0E532CBD">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具有完善的工程质量保证体系，技术、经营、人事、财务、档案等管理制度健全。</w:t>
      </w:r>
    </w:p>
    <w:p w14:paraId="6C0A058D">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具备符合国家及行业标准的施工质量控制流程和检验检测手段。</w:t>
      </w:r>
    </w:p>
    <w:p w14:paraId="1E0A411C">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近三年内无重大质量事故和安全责任事故记录。</w:t>
      </w:r>
    </w:p>
    <w:p w14:paraId="2DC40CDC">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fldChar w:fldCharType="begin"/>
      </w:r>
      <w:r>
        <w:rPr>
          <w:rFonts w:hint="eastAsia" w:ascii="黑体" w:hAnsi="黑体" w:eastAsia="黑体" w:cs="宋体"/>
          <w:kern w:val="0"/>
          <w:sz w:val="24"/>
          <w:szCs w:val="24"/>
          <w:lang w:val="en-US" w:eastAsia="zh-CN"/>
        </w:rPr>
        <w:instrText xml:space="preserve"> = 5 \* GB3 \* MERGEFORMAT </w:instrText>
      </w:r>
      <w:r>
        <w:rPr>
          <w:rFonts w:hint="eastAsia" w:ascii="黑体" w:hAnsi="黑体" w:eastAsia="黑体" w:cs="宋体"/>
          <w:kern w:val="0"/>
          <w:sz w:val="24"/>
          <w:szCs w:val="24"/>
          <w:lang w:val="en-US" w:eastAsia="zh-CN"/>
        </w:rPr>
        <w:fldChar w:fldCharType="separate"/>
      </w:r>
      <w:r>
        <w:t>⑤</w:t>
      </w:r>
      <w:r>
        <w:rPr>
          <w:rFonts w:hint="eastAsia" w:ascii="黑体" w:hAnsi="黑体" w:eastAsia="黑体" w:cs="宋体"/>
          <w:kern w:val="0"/>
          <w:sz w:val="24"/>
          <w:szCs w:val="24"/>
          <w:lang w:val="en-US" w:eastAsia="zh-CN"/>
        </w:rPr>
        <w:fldChar w:fldCharType="end"/>
      </w:r>
      <w:r>
        <w:rPr>
          <w:rFonts w:hint="eastAsia" w:ascii="黑体" w:hAnsi="黑体" w:eastAsia="黑体" w:cs="宋体"/>
          <w:kern w:val="0"/>
          <w:sz w:val="24"/>
          <w:szCs w:val="24"/>
          <w:lang w:val="en-US" w:eastAsia="zh-CN"/>
        </w:rPr>
        <w:t xml:space="preserve">技术装备及办公条件 </w:t>
      </w:r>
    </w:p>
    <w:p w14:paraId="6AF9BB89">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达到国家建设行政主管部门规定的电气安装施工技术装备及应用水平的考核标准，具有必要的电气试验、检测仪器和安装工具。</w:t>
      </w:r>
    </w:p>
    <w:p w14:paraId="2797DE39">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配备必要的安全防护设施和电气安全检测设备，满足化工企业特殊环境下的安全施工要求。</w:t>
      </w:r>
    </w:p>
    <w:p w14:paraId="13B6C65D">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fldChar w:fldCharType="begin"/>
      </w:r>
      <w:r>
        <w:rPr>
          <w:rFonts w:hint="eastAsia" w:ascii="黑体" w:hAnsi="黑体" w:eastAsia="黑体" w:cs="宋体"/>
          <w:kern w:val="0"/>
          <w:sz w:val="24"/>
          <w:szCs w:val="24"/>
          <w:lang w:val="en-US" w:eastAsia="zh-CN"/>
        </w:rPr>
        <w:instrText xml:space="preserve"> = 6 \* GB3 \* MERGEFORMAT </w:instrText>
      </w:r>
      <w:r>
        <w:rPr>
          <w:rFonts w:hint="eastAsia" w:ascii="黑体" w:hAnsi="黑体" w:eastAsia="黑体" w:cs="宋体"/>
          <w:kern w:val="0"/>
          <w:sz w:val="24"/>
          <w:szCs w:val="24"/>
          <w:lang w:val="en-US" w:eastAsia="zh-CN"/>
        </w:rPr>
        <w:fldChar w:fldCharType="separate"/>
      </w:r>
      <w:r>
        <w:t>⑥</w:t>
      </w:r>
      <w:r>
        <w:rPr>
          <w:rFonts w:hint="eastAsia" w:ascii="黑体" w:hAnsi="黑体" w:eastAsia="黑体" w:cs="宋体"/>
          <w:kern w:val="0"/>
          <w:sz w:val="24"/>
          <w:szCs w:val="24"/>
          <w:lang w:val="en-US" w:eastAsia="zh-CN"/>
        </w:rPr>
        <w:fldChar w:fldCharType="end"/>
      </w:r>
      <w:r>
        <w:rPr>
          <w:rFonts w:hint="eastAsia" w:ascii="黑体" w:hAnsi="黑体" w:eastAsia="黑体" w:cs="宋体"/>
          <w:kern w:val="0"/>
          <w:sz w:val="24"/>
          <w:szCs w:val="24"/>
          <w:lang w:val="en-US" w:eastAsia="zh-CN"/>
        </w:rPr>
        <w:t xml:space="preserve">其他要求 </w:t>
      </w:r>
    </w:p>
    <w:p w14:paraId="7BA984F6">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熟悉化工企业电气安全规范和防爆要求，具有化工企业电气设备安装经验者优先。</w:t>
      </w:r>
    </w:p>
    <w:p w14:paraId="7F3292AB">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具有良好的工程保修和售后服务体系，能提供7×24小时应急响应服务。</w:t>
      </w:r>
    </w:p>
    <w:p w14:paraId="27B72230">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eastAsia" w:ascii="黑体" w:hAnsi="黑体" w:eastAsia="黑体" w:cs="宋体"/>
          <w:kern w:val="0"/>
          <w:sz w:val="24"/>
          <w:szCs w:val="24"/>
          <w:lang w:val="en-US" w:eastAsia="zh-CN"/>
        </w:rPr>
        <w:t>符合国家和地方有关法律法规规定的其他条件和要求。</w:t>
      </w:r>
    </w:p>
    <w:p w14:paraId="6D85B176">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p>
    <w:p w14:paraId="2A24F0CC">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p>
    <w:p w14:paraId="0953877E">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p>
    <w:p w14:paraId="05E6E14B">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Segoe UI"/>
          <w:kern w:val="0"/>
          <w:sz w:val="28"/>
          <w:szCs w:val="28"/>
          <w:lang w:val="en-US" w:eastAsia="zh-CN"/>
        </w:rPr>
        <w:t>服务时段：2026年3月。具体进场时间以比选人通知为准。</w:t>
      </w:r>
    </w:p>
    <w:p w14:paraId="69F811C3">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黑体"/>
          <w:sz w:val="28"/>
          <w:szCs w:val="28"/>
          <w:lang w:val="en-US" w:eastAsia="zh-CN"/>
        </w:rPr>
        <w:t>服务</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镇</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宏达股份有色分公司</w:t>
      </w:r>
      <w:r>
        <w:rPr>
          <w:rFonts w:hint="eastAsia" w:ascii="黑体" w:hAnsi="黑体" w:eastAsia="黑体" w:cs="宋体"/>
          <w:kern w:val="0"/>
          <w:sz w:val="28"/>
          <w:szCs w:val="28"/>
          <w:lang w:eastAsia="zh-CN"/>
        </w:rPr>
        <w:t>）。</w:t>
      </w:r>
    </w:p>
    <w:p w14:paraId="3EE2CBE9">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kern w:val="0"/>
          <w:sz w:val="28"/>
          <w:szCs w:val="28"/>
          <w:lang w:val="en-US" w:eastAsia="zh-CN"/>
        </w:rPr>
        <w:t>验收合格报告签订之日起20个工作日内支付合同总额90%，待质保期结束且无质量异议后付清（质保期1年）</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w:t>
      </w:r>
      <w:r>
        <w:rPr>
          <w:rFonts w:hint="eastAsia" w:ascii="黑体" w:hAnsi="黑体" w:eastAsia="黑体" w:cs="宋体"/>
          <w:kern w:val="0"/>
          <w:sz w:val="28"/>
          <w:szCs w:val="28"/>
          <w:lang w:val="en-US" w:eastAsia="zh-CN"/>
        </w:rPr>
        <w:t>中选人</w:t>
      </w:r>
      <w:r>
        <w:rPr>
          <w:rFonts w:hint="eastAsia" w:ascii="黑体" w:hAnsi="黑体" w:eastAsia="黑体" w:cs="宋体"/>
          <w:kern w:val="0"/>
          <w:sz w:val="28"/>
          <w:szCs w:val="28"/>
        </w:rPr>
        <w:t>开具全额增值税专用发票(税率</w:t>
      </w: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rPr>
        <w:t>%)。</w:t>
      </w:r>
    </w:p>
    <w:p w14:paraId="5A1F1030">
      <w:pPr>
        <w:spacing w:line="420" w:lineRule="exact"/>
        <w:rPr>
          <w:rFonts w:hint="default" w:ascii="黑体" w:hAnsi="黑体" w:eastAsia="黑体" w:cs="宋体"/>
          <w:kern w:val="0"/>
          <w:sz w:val="28"/>
          <w:szCs w:val="28"/>
          <w:lang w:val="en-US"/>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lang w:eastAsia="zh-CN"/>
        </w:rPr>
        <w:t>.</w:t>
      </w:r>
      <w:r>
        <w:rPr>
          <w:rFonts w:hint="eastAsia" w:ascii="黑体" w:hAnsi="黑体" w:eastAsia="黑体" w:cs="黑体"/>
          <w:kern w:val="0"/>
          <w:sz w:val="28"/>
          <w:szCs w:val="28"/>
          <w:lang w:val="en-US" w:eastAsia="zh-CN" w:bidi="ar-SA"/>
        </w:rPr>
        <w:t>验收：由比选人相关职能部门和中选人双方对设备安装质量进行运行验收并签署验收报告。</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2026年3月7日10时 00 分至 2026年3月10日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bookmarkStart w:id="3" w:name="_GoBack"/>
      <w:bookmarkEnd w:id="3"/>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①递交截止时间：2026年3月10日10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②</w:t>
      </w: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kern w:val="0"/>
          <w:sz w:val="28"/>
          <w:szCs w:val="28"/>
          <w:lang w:eastAsia="zh-CN"/>
        </w:rPr>
        <w:t>、</w:t>
      </w:r>
      <w:r>
        <w:rPr>
          <w:rFonts w:hint="eastAsia" w:ascii="黑体" w:hAnsi="黑体" w:eastAsia="黑体" w:cs="黑体"/>
          <w:kern w:val="0"/>
          <w:sz w:val="28"/>
          <w:szCs w:val="28"/>
          <w:lang w:val="en-US" w:eastAsia="zh-CN"/>
        </w:rPr>
        <w:t>费用、</w:t>
      </w:r>
      <w:r>
        <w:rPr>
          <w:rFonts w:hint="eastAsia" w:ascii="黑体" w:hAnsi="黑体" w:eastAsia="黑体" w:cs="黑体"/>
          <w:sz w:val="28"/>
          <w:szCs w:val="28"/>
        </w:rPr>
        <w:t>合计金额（</w:t>
      </w:r>
      <w:r>
        <w:rPr>
          <w:rFonts w:hint="eastAsia" w:ascii="黑体" w:hAnsi="黑体" w:eastAsia="黑体" w:cs="黑体"/>
          <w:sz w:val="28"/>
          <w:szCs w:val="28"/>
          <w:lang w:val="en-US" w:eastAsia="zh-CN"/>
        </w:rPr>
        <w:t>含9%增值</w:t>
      </w:r>
      <w:r>
        <w:rPr>
          <w:rFonts w:hint="eastAsia" w:ascii="黑体" w:hAnsi="黑体" w:eastAsia="黑体" w:cs="黑体"/>
          <w:sz w:val="28"/>
          <w:szCs w:val="28"/>
        </w:rPr>
        <w:t>税）、付款方式等（若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w:t>
      </w:r>
      <w:r>
        <w:rPr>
          <w:rFonts w:hint="eastAsia" w:ascii="黑体" w:hAnsi="黑体" w:eastAsia="黑体" w:cs="黑体"/>
          <w:sz w:val="28"/>
          <w:szCs w:val="28"/>
          <w:lang w:val="en-US" w:eastAsia="zh-CN"/>
        </w:rPr>
        <w:t>交货</w:t>
      </w:r>
      <w:r>
        <w:rPr>
          <w:rFonts w:hint="eastAsia" w:ascii="黑体" w:hAnsi="黑体" w:eastAsia="黑体" w:cs="黑体"/>
          <w:sz w:val="28"/>
          <w:szCs w:val="28"/>
        </w:rPr>
        <w:t>期、付款方式、</w:t>
      </w:r>
      <w:r>
        <w:rPr>
          <w:rFonts w:hint="eastAsia" w:ascii="黑体" w:hAnsi="黑体" w:eastAsia="黑体" w:cs="黑体"/>
          <w:sz w:val="28"/>
          <w:szCs w:val="28"/>
          <w:lang w:val="en-US" w:eastAsia="zh-CN"/>
        </w:rPr>
        <w:t>质保要求等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62EBEBCF">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①资格文件</w:t>
      </w:r>
    </w:p>
    <w:p w14:paraId="766E77CF">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②服务团队人员</w:t>
      </w:r>
    </w:p>
    <w:p w14:paraId="11878943">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仿宋_GB2312"/>
          <w:sz w:val="28"/>
          <w:szCs w:val="28"/>
          <w:lang w:val="en-US" w:eastAsia="zh-CN"/>
        </w:rPr>
        <w:t>报价函件。</w:t>
      </w:r>
    </w:p>
    <w:p w14:paraId="0295FE29">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fldChar w:fldCharType="begin"/>
      </w:r>
      <w:r>
        <w:rPr>
          <w:rFonts w:hint="eastAsia" w:ascii="黑体" w:hAnsi="黑体" w:eastAsia="黑体" w:cs="黑体"/>
          <w:color w:val="auto"/>
          <w:kern w:val="0"/>
          <w:sz w:val="28"/>
          <w:szCs w:val="28"/>
          <w:lang w:val="en-US" w:eastAsia="zh-CN"/>
        </w:rPr>
        <w:instrText xml:space="preserve"> = 4 \* GB3 \* MERGEFORMAT </w:instrText>
      </w:r>
      <w:r>
        <w:rPr>
          <w:rFonts w:hint="eastAsia" w:ascii="黑体" w:hAnsi="黑体" w:eastAsia="黑体" w:cs="黑体"/>
          <w:color w:val="auto"/>
          <w:kern w:val="0"/>
          <w:sz w:val="28"/>
          <w:szCs w:val="28"/>
          <w:lang w:val="en-US" w:eastAsia="zh-CN"/>
        </w:rPr>
        <w:fldChar w:fldCharType="separate"/>
      </w:r>
      <w:r>
        <w:rPr>
          <w:rFonts w:hint="eastAsia" w:ascii="黑体" w:hAnsi="黑体" w:eastAsia="黑体" w:cs="黑体"/>
          <w:color w:val="auto"/>
          <w:kern w:val="0"/>
          <w:sz w:val="28"/>
          <w:szCs w:val="28"/>
        </w:rPr>
        <w:t>④</w:t>
      </w:r>
      <w:r>
        <w:rPr>
          <w:rFonts w:hint="eastAsia" w:ascii="黑体" w:hAnsi="黑体" w:eastAsia="黑体" w:cs="黑体"/>
          <w:color w:val="auto"/>
          <w:kern w:val="0"/>
          <w:sz w:val="28"/>
          <w:szCs w:val="28"/>
          <w:lang w:val="en-US" w:eastAsia="zh-CN"/>
        </w:rPr>
        <w:fldChar w:fldCharType="end"/>
      </w:r>
      <w:r>
        <w:rPr>
          <w:rFonts w:hint="eastAsia" w:ascii="黑体" w:hAnsi="黑体" w:eastAsia="黑体" w:cs="黑体"/>
          <w:color w:val="auto"/>
          <w:kern w:val="0"/>
          <w:sz w:val="28"/>
          <w:szCs w:val="28"/>
          <w:lang w:val="en-US" w:eastAsia="zh-CN"/>
        </w:rPr>
        <w:t>承诺函。</w:t>
      </w:r>
    </w:p>
    <w:p w14:paraId="3C6833CA">
      <w:pPr>
        <w:spacing w:line="420" w:lineRule="exact"/>
        <w:rPr>
          <w:rFonts w:hint="default" w:ascii="黑体" w:hAnsi="黑体" w:eastAsia="黑体" w:cs="Times New Roman"/>
          <w:sz w:val="28"/>
          <w:szCs w:val="28"/>
          <w:lang w:val="en-US" w:eastAsia="zh-CN"/>
        </w:rPr>
      </w:pPr>
      <w:r>
        <w:rPr>
          <w:rFonts w:hint="eastAsia" w:ascii="黑体" w:hAnsi="黑体" w:eastAsia="黑体" w:cs="Times New Roman"/>
          <w:sz w:val="28"/>
          <w:szCs w:val="28"/>
          <w:lang w:val="en-US" w:eastAsia="zh-CN"/>
        </w:rPr>
        <w:t>10.本项目采用合理最低价法进行比选。由比选人根据投标人资质文件、报价函等进行综合评审后确定中选人。</w:t>
      </w:r>
    </w:p>
    <w:p w14:paraId="6A7B960F">
      <w:pPr>
        <w:keepNext w:val="0"/>
        <w:keepLines w:val="0"/>
        <w:pageBreakBefore w:val="0"/>
        <w:kinsoku/>
        <w:wordWrap/>
        <w:overflowPunct/>
        <w:topLinePunct w:val="0"/>
        <w:autoSpaceDE/>
        <w:autoSpaceDN/>
        <w:bidi w:val="0"/>
        <w:snapToGrid/>
        <w:spacing w:line="400" w:lineRule="exact"/>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上传</w:t>
      </w:r>
      <w:r>
        <w:rPr>
          <w:rFonts w:hint="eastAsia" w:ascii="黑体" w:hAnsi="黑体" w:eastAsia="黑体" w:cs="宋体"/>
          <w:kern w:val="0"/>
          <w:sz w:val="28"/>
          <w:szCs w:val="28"/>
        </w:rPr>
        <w:t>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技术咨询：张华久19881556688</w:t>
      </w:r>
    </w:p>
    <w:p w14:paraId="6ED43AE4">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          </w:t>
      </w:r>
    </w:p>
    <w:p w14:paraId="20636B28">
      <w:pPr>
        <w:pStyle w:val="5"/>
      </w:pPr>
    </w:p>
    <w:p w14:paraId="7F1145CE">
      <w:pPr>
        <w:adjustRightInd w:val="0"/>
        <w:spacing w:line="360" w:lineRule="auto"/>
        <w:ind w:firstLine="6020" w:firstLineChars="2150"/>
        <w:jc w:val="left"/>
        <w:rPr>
          <w:rFonts w:hint="default" w:ascii="黑体" w:hAnsi="黑体" w:eastAsia="黑体" w:cs="宋体"/>
          <w:kern w:val="0"/>
          <w:sz w:val="28"/>
          <w:szCs w:val="28"/>
          <w:lang w:val="en-US" w:eastAsia="zh-CN"/>
        </w:rPr>
      </w:pPr>
    </w:p>
    <w:p w14:paraId="0A9B5430">
      <w:pPr>
        <w:spacing w:line="360" w:lineRule="auto"/>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日</w:t>
      </w:r>
    </w:p>
    <w:p w14:paraId="12331C79">
      <w:pPr>
        <w:pStyle w:val="49"/>
        <w:rPr>
          <w:rFonts w:hint="eastAsia"/>
        </w:rPr>
      </w:pPr>
    </w:p>
    <w:p w14:paraId="6AAEB3DE">
      <w:pPr>
        <w:spacing w:line="360" w:lineRule="exact"/>
        <w:rPr>
          <w:rFonts w:hint="eastAsia" w:ascii="黑体" w:hAnsi="黑体" w:eastAsia="黑体" w:cs="宋体"/>
          <w:b/>
          <w:kern w:val="0"/>
          <w:sz w:val="28"/>
          <w:szCs w:val="28"/>
          <w:lang w:val="en-US" w:eastAsia="zh-CN"/>
        </w:rPr>
      </w:pPr>
    </w:p>
    <w:p w14:paraId="0F4AFB8C">
      <w:pPr>
        <w:spacing w:line="360" w:lineRule="exact"/>
        <w:rPr>
          <w:rFonts w:hint="eastAsia" w:ascii="黑体" w:hAnsi="黑体" w:eastAsia="黑体" w:cs="宋体"/>
          <w:b/>
          <w:kern w:val="0"/>
          <w:sz w:val="28"/>
          <w:szCs w:val="28"/>
          <w:lang w:val="en-US" w:eastAsia="zh-CN"/>
        </w:rPr>
      </w:pPr>
    </w:p>
    <w:p w14:paraId="76092A50">
      <w:pPr>
        <w:spacing w:line="360" w:lineRule="exact"/>
        <w:rPr>
          <w:rFonts w:hint="eastAsia" w:ascii="黑体" w:hAnsi="黑体" w:eastAsia="黑体" w:cs="宋体"/>
          <w:b/>
          <w:kern w:val="0"/>
          <w:sz w:val="28"/>
          <w:szCs w:val="28"/>
          <w:lang w:val="en-US" w:eastAsia="zh-CN"/>
        </w:rPr>
      </w:pPr>
    </w:p>
    <w:p w14:paraId="18AD87E4">
      <w:pPr>
        <w:spacing w:line="360" w:lineRule="exact"/>
        <w:rPr>
          <w:rFonts w:hint="eastAsia" w:ascii="黑体" w:hAnsi="黑体" w:eastAsia="黑体" w:cs="宋体"/>
          <w:b/>
          <w:kern w:val="0"/>
          <w:sz w:val="28"/>
          <w:szCs w:val="28"/>
          <w:lang w:val="en-US" w:eastAsia="zh-CN"/>
        </w:rPr>
      </w:pPr>
    </w:p>
    <w:p w14:paraId="63C1A53B">
      <w:pPr>
        <w:spacing w:line="360" w:lineRule="exact"/>
        <w:rPr>
          <w:rFonts w:hint="eastAsia" w:ascii="黑体" w:hAnsi="黑体" w:eastAsia="黑体" w:cs="宋体"/>
          <w:b/>
          <w:kern w:val="0"/>
          <w:sz w:val="28"/>
          <w:szCs w:val="28"/>
          <w:lang w:val="en-US" w:eastAsia="zh-CN"/>
        </w:rPr>
      </w:pPr>
    </w:p>
    <w:p w14:paraId="0F3B4673">
      <w:pPr>
        <w:spacing w:line="360" w:lineRule="exact"/>
        <w:rPr>
          <w:rFonts w:hint="eastAsia" w:ascii="黑体" w:hAnsi="黑体" w:eastAsia="黑体" w:cs="宋体"/>
          <w:b/>
          <w:kern w:val="0"/>
          <w:sz w:val="28"/>
          <w:szCs w:val="28"/>
          <w:lang w:val="en-US" w:eastAsia="zh-CN"/>
        </w:rPr>
      </w:pPr>
    </w:p>
    <w:p w14:paraId="0AC1074E">
      <w:pPr>
        <w:spacing w:line="360" w:lineRule="exact"/>
        <w:rPr>
          <w:rFonts w:hint="eastAsia" w:ascii="黑体" w:hAnsi="黑体" w:eastAsia="黑体" w:cs="宋体"/>
          <w:b/>
          <w:kern w:val="0"/>
          <w:sz w:val="28"/>
          <w:szCs w:val="28"/>
          <w:lang w:val="en-US" w:eastAsia="zh-CN"/>
        </w:rPr>
      </w:pPr>
    </w:p>
    <w:p w14:paraId="19FFFBCB">
      <w:pPr>
        <w:spacing w:line="360" w:lineRule="exact"/>
        <w:rPr>
          <w:rFonts w:hint="eastAsia" w:ascii="黑体" w:hAnsi="黑体" w:eastAsia="黑体" w:cs="宋体"/>
          <w:b/>
          <w:kern w:val="0"/>
          <w:sz w:val="28"/>
          <w:szCs w:val="28"/>
          <w:lang w:val="en-US" w:eastAsia="zh-CN"/>
        </w:rPr>
      </w:pPr>
    </w:p>
    <w:p w14:paraId="6BFA3FB4">
      <w:pPr>
        <w:spacing w:line="360" w:lineRule="exact"/>
        <w:rPr>
          <w:rFonts w:hint="eastAsia" w:ascii="黑体" w:hAnsi="黑体" w:eastAsia="黑体" w:cs="宋体"/>
          <w:b/>
          <w:kern w:val="0"/>
          <w:sz w:val="28"/>
          <w:szCs w:val="28"/>
          <w:lang w:val="en-US" w:eastAsia="zh-CN"/>
        </w:rPr>
      </w:pPr>
    </w:p>
    <w:p w14:paraId="57ADC637">
      <w:pPr>
        <w:spacing w:line="360" w:lineRule="exact"/>
        <w:rPr>
          <w:rFonts w:hint="eastAsia" w:ascii="黑体" w:hAnsi="黑体" w:eastAsia="黑体" w:cs="宋体"/>
          <w:b/>
          <w:kern w:val="0"/>
          <w:sz w:val="28"/>
          <w:szCs w:val="28"/>
          <w:lang w:val="en-US" w:eastAsia="zh-CN"/>
        </w:rPr>
      </w:pPr>
    </w:p>
    <w:p w14:paraId="6F8C9DE4">
      <w:pPr>
        <w:spacing w:line="360" w:lineRule="exact"/>
        <w:rPr>
          <w:rFonts w:hint="eastAsia" w:ascii="黑体" w:hAnsi="黑体" w:eastAsia="黑体" w:cs="宋体"/>
          <w:b/>
          <w:kern w:val="0"/>
          <w:sz w:val="28"/>
          <w:szCs w:val="28"/>
          <w:lang w:val="en-US" w:eastAsia="zh-CN"/>
        </w:rPr>
      </w:pPr>
    </w:p>
    <w:p w14:paraId="59F4B1FB">
      <w:pPr>
        <w:spacing w:line="360" w:lineRule="exact"/>
        <w:rPr>
          <w:rFonts w:hint="eastAsia" w:ascii="黑体" w:hAnsi="黑体" w:eastAsia="黑体" w:cs="宋体"/>
          <w:b/>
          <w:kern w:val="0"/>
          <w:sz w:val="28"/>
          <w:szCs w:val="28"/>
          <w:lang w:val="en-US" w:eastAsia="zh-CN"/>
        </w:rPr>
      </w:pPr>
    </w:p>
    <w:p w14:paraId="5E3BBE62">
      <w:pPr>
        <w:spacing w:line="360" w:lineRule="exact"/>
        <w:rPr>
          <w:rFonts w:hint="eastAsia" w:ascii="黑体" w:hAnsi="黑体" w:eastAsia="黑体" w:cs="宋体"/>
          <w:b/>
          <w:kern w:val="0"/>
          <w:sz w:val="28"/>
          <w:szCs w:val="28"/>
          <w:lang w:val="en-US" w:eastAsia="zh-CN"/>
        </w:rPr>
      </w:pPr>
    </w:p>
    <w:p w14:paraId="6F9D0FDB">
      <w:pPr>
        <w:spacing w:line="360" w:lineRule="exact"/>
        <w:rPr>
          <w:rFonts w:hint="eastAsia" w:ascii="黑体" w:hAnsi="黑体" w:eastAsia="黑体" w:cs="宋体"/>
          <w:b/>
          <w:kern w:val="0"/>
          <w:sz w:val="28"/>
          <w:szCs w:val="28"/>
          <w:lang w:val="en-US" w:eastAsia="zh-CN"/>
        </w:rPr>
      </w:pPr>
    </w:p>
    <w:p w14:paraId="544F950F">
      <w:pPr>
        <w:spacing w:line="360" w:lineRule="exact"/>
        <w:rPr>
          <w:rFonts w:hint="eastAsia" w:ascii="黑体" w:hAnsi="黑体" w:eastAsia="黑体" w:cs="宋体"/>
          <w:b/>
          <w:kern w:val="0"/>
          <w:sz w:val="28"/>
          <w:szCs w:val="28"/>
          <w:lang w:val="en-US" w:eastAsia="zh-CN"/>
        </w:rPr>
      </w:pPr>
    </w:p>
    <w:p w14:paraId="48E1376A">
      <w:pPr>
        <w:spacing w:line="360" w:lineRule="exact"/>
        <w:rPr>
          <w:rFonts w:hint="eastAsia" w:ascii="黑体" w:hAnsi="黑体" w:eastAsia="黑体" w:cs="宋体"/>
          <w:b/>
          <w:kern w:val="0"/>
          <w:sz w:val="28"/>
          <w:szCs w:val="28"/>
          <w:lang w:val="en-US" w:eastAsia="zh-CN"/>
        </w:rPr>
      </w:pPr>
    </w:p>
    <w:p w14:paraId="521E3A3D">
      <w:pPr>
        <w:spacing w:line="360" w:lineRule="exact"/>
        <w:rPr>
          <w:rFonts w:hint="eastAsia" w:ascii="黑体" w:hAnsi="黑体" w:eastAsia="黑体" w:cs="宋体"/>
          <w:b/>
          <w:kern w:val="0"/>
          <w:sz w:val="28"/>
          <w:szCs w:val="28"/>
          <w:lang w:val="en-US" w:eastAsia="zh-CN"/>
        </w:rPr>
      </w:pPr>
    </w:p>
    <w:p w14:paraId="5C926637">
      <w:pPr>
        <w:spacing w:line="360" w:lineRule="exact"/>
        <w:rPr>
          <w:rFonts w:hint="eastAsia" w:ascii="黑体" w:hAnsi="黑体" w:eastAsia="黑体" w:cs="宋体"/>
          <w:b/>
          <w:kern w:val="0"/>
          <w:sz w:val="28"/>
          <w:szCs w:val="28"/>
          <w:lang w:val="en-US" w:eastAsia="zh-CN"/>
        </w:rPr>
      </w:pPr>
    </w:p>
    <w:p w14:paraId="720C9830">
      <w:pPr>
        <w:spacing w:line="360" w:lineRule="exact"/>
        <w:rPr>
          <w:rFonts w:hint="eastAsia" w:ascii="黑体" w:hAnsi="黑体" w:eastAsia="黑体" w:cs="宋体"/>
          <w:b/>
          <w:kern w:val="0"/>
          <w:sz w:val="28"/>
          <w:szCs w:val="28"/>
          <w:lang w:val="en-US" w:eastAsia="zh-CN"/>
        </w:rPr>
      </w:pPr>
    </w:p>
    <w:p w14:paraId="757826DD">
      <w:pPr>
        <w:spacing w:line="360" w:lineRule="exact"/>
        <w:rPr>
          <w:rFonts w:hint="eastAsia" w:ascii="黑体" w:hAnsi="黑体" w:eastAsia="黑体" w:cs="宋体"/>
          <w:b/>
          <w:kern w:val="0"/>
          <w:sz w:val="28"/>
          <w:szCs w:val="28"/>
          <w:lang w:val="en-US" w:eastAsia="zh-CN"/>
        </w:rPr>
      </w:pPr>
    </w:p>
    <w:p w14:paraId="34ABCB4E">
      <w:pPr>
        <w:spacing w:line="360" w:lineRule="exact"/>
        <w:rPr>
          <w:rFonts w:hint="eastAsia" w:ascii="黑体" w:hAnsi="黑体" w:eastAsia="黑体" w:cs="宋体"/>
          <w:b/>
          <w:kern w:val="0"/>
          <w:sz w:val="28"/>
          <w:szCs w:val="28"/>
          <w:lang w:val="en-US" w:eastAsia="zh-CN"/>
        </w:rPr>
      </w:pPr>
    </w:p>
    <w:p w14:paraId="5089B2A3">
      <w:pPr>
        <w:spacing w:line="360" w:lineRule="exact"/>
        <w:rPr>
          <w:rFonts w:hint="eastAsia" w:ascii="黑体" w:hAnsi="黑体" w:eastAsia="黑体" w:cs="宋体"/>
          <w:b/>
          <w:kern w:val="0"/>
          <w:sz w:val="28"/>
          <w:szCs w:val="28"/>
          <w:lang w:val="en-US" w:eastAsia="zh-CN"/>
        </w:rPr>
      </w:pPr>
    </w:p>
    <w:p w14:paraId="63801BA0">
      <w:pPr>
        <w:spacing w:line="360" w:lineRule="exact"/>
        <w:rPr>
          <w:rFonts w:hint="eastAsia" w:ascii="黑体" w:hAnsi="黑体" w:eastAsia="黑体" w:cs="宋体"/>
          <w:b/>
          <w:kern w:val="0"/>
          <w:sz w:val="28"/>
          <w:szCs w:val="28"/>
          <w:lang w:val="en-US" w:eastAsia="zh-CN"/>
        </w:rPr>
      </w:pPr>
    </w:p>
    <w:p w14:paraId="072B918B">
      <w:pPr>
        <w:spacing w:line="360" w:lineRule="exact"/>
        <w:rPr>
          <w:rFonts w:hint="eastAsia" w:ascii="黑体" w:hAnsi="黑体" w:eastAsia="黑体" w:cs="宋体"/>
          <w:b/>
          <w:kern w:val="0"/>
          <w:sz w:val="28"/>
          <w:szCs w:val="28"/>
          <w:lang w:val="en-US" w:eastAsia="zh-CN"/>
        </w:rPr>
      </w:pPr>
    </w:p>
    <w:p w14:paraId="0E3ECEEE">
      <w:pPr>
        <w:spacing w:line="360" w:lineRule="exact"/>
        <w:rPr>
          <w:rFonts w:hint="eastAsia" w:ascii="黑体" w:hAnsi="黑体" w:eastAsia="黑体" w:cs="宋体"/>
          <w:b/>
          <w:kern w:val="0"/>
          <w:sz w:val="28"/>
          <w:szCs w:val="28"/>
          <w:lang w:val="en-US" w:eastAsia="zh-CN"/>
        </w:rPr>
      </w:pPr>
    </w:p>
    <w:p w14:paraId="7F1A69F2">
      <w:pPr>
        <w:spacing w:line="360" w:lineRule="exact"/>
        <w:rPr>
          <w:rFonts w:hint="eastAsia" w:ascii="黑体" w:hAnsi="黑体" w:eastAsia="黑体" w:cs="宋体"/>
          <w:b/>
          <w:kern w:val="0"/>
          <w:sz w:val="28"/>
          <w:szCs w:val="28"/>
          <w:lang w:val="en-US" w:eastAsia="zh-CN"/>
        </w:rPr>
      </w:pPr>
    </w:p>
    <w:p w14:paraId="46F85BCD">
      <w:pPr>
        <w:spacing w:line="360" w:lineRule="exact"/>
        <w:rPr>
          <w:rFonts w:hint="eastAsia" w:ascii="黑体" w:hAnsi="黑体" w:eastAsia="黑体" w:cs="宋体"/>
          <w:b/>
          <w:kern w:val="0"/>
          <w:sz w:val="28"/>
          <w:szCs w:val="28"/>
          <w:lang w:val="en-US" w:eastAsia="zh-CN"/>
        </w:rPr>
      </w:pPr>
    </w:p>
    <w:p w14:paraId="2928BA04">
      <w:pPr>
        <w:spacing w:line="360" w:lineRule="exact"/>
        <w:rPr>
          <w:rFonts w:hint="eastAsia" w:ascii="黑体" w:hAnsi="黑体" w:eastAsia="黑体" w:cs="宋体"/>
          <w:b/>
          <w:kern w:val="0"/>
          <w:sz w:val="28"/>
          <w:szCs w:val="28"/>
          <w:lang w:val="en-US" w:eastAsia="zh-CN"/>
        </w:rPr>
      </w:pPr>
    </w:p>
    <w:p w14:paraId="1954838C">
      <w:pPr>
        <w:spacing w:line="360" w:lineRule="exact"/>
        <w:rPr>
          <w:rFonts w:hint="eastAsia" w:ascii="黑体" w:hAnsi="黑体" w:eastAsia="黑体" w:cs="宋体"/>
          <w:b/>
          <w:kern w:val="0"/>
          <w:sz w:val="28"/>
          <w:szCs w:val="28"/>
          <w:lang w:val="en-US" w:eastAsia="zh-CN"/>
        </w:rPr>
      </w:pPr>
    </w:p>
    <w:p w14:paraId="7B7CD2BE">
      <w:pPr>
        <w:spacing w:line="360" w:lineRule="exact"/>
        <w:rPr>
          <w:rFonts w:hint="eastAsia" w:ascii="黑体" w:hAnsi="黑体" w:eastAsia="黑体" w:cs="宋体"/>
          <w:b/>
          <w:kern w:val="0"/>
          <w:sz w:val="28"/>
          <w:szCs w:val="28"/>
          <w:lang w:val="en-US" w:eastAsia="zh-CN"/>
        </w:rPr>
      </w:pPr>
    </w:p>
    <w:p w14:paraId="0AECCE7E">
      <w:pPr>
        <w:spacing w:line="360" w:lineRule="exact"/>
        <w:rPr>
          <w:rFonts w:hint="eastAsia" w:ascii="黑体" w:hAnsi="黑体" w:eastAsia="黑体" w:cs="宋体"/>
          <w:b/>
          <w:kern w:val="0"/>
          <w:sz w:val="28"/>
          <w:szCs w:val="28"/>
          <w:lang w:val="en-US" w:eastAsia="zh-CN"/>
        </w:rPr>
      </w:pPr>
    </w:p>
    <w:p w14:paraId="23E8771E">
      <w:pPr>
        <w:spacing w:line="360" w:lineRule="exact"/>
        <w:rPr>
          <w:rFonts w:hint="eastAsia" w:ascii="黑体" w:hAnsi="黑体" w:eastAsia="黑体" w:cs="宋体"/>
          <w:b/>
          <w:kern w:val="0"/>
          <w:sz w:val="28"/>
          <w:szCs w:val="28"/>
          <w:lang w:val="en-US" w:eastAsia="zh-CN"/>
        </w:rPr>
      </w:pPr>
    </w:p>
    <w:p w14:paraId="44C9FEA5">
      <w:pPr>
        <w:spacing w:line="360" w:lineRule="exact"/>
        <w:rPr>
          <w:rFonts w:hint="eastAsia" w:ascii="黑体" w:hAnsi="黑体" w:eastAsia="黑体" w:cs="宋体"/>
          <w:b/>
          <w:kern w:val="0"/>
          <w:sz w:val="28"/>
          <w:szCs w:val="28"/>
          <w:lang w:val="en-US" w:eastAsia="zh-CN"/>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7242F37F">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21BBF074">
      <w:pPr>
        <w:widowControl/>
        <w:shd w:val="clear" w:color="auto" w:fill="FFFFFF"/>
        <w:spacing w:line="240" w:lineRule="auto"/>
        <w:ind w:firstLine="371"/>
        <w:jc w:val="center"/>
        <w:rPr>
          <w:rFonts w:hint="default"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第二章 宏达股份有色公司</w:t>
      </w:r>
    </w:p>
    <w:p w14:paraId="11A79142">
      <w:pPr>
        <w:widowControl/>
        <w:shd w:val="clear" w:color="auto" w:fill="FFFFFF"/>
        <w:spacing w:line="240" w:lineRule="auto"/>
        <w:ind w:firstLine="371"/>
        <w:jc w:val="center"/>
        <w:rPr>
          <w:rFonts w:hint="default"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高压电器设施设备安装服务采购</w:t>
      </w:r>
    </w:p>
    <w:p w14:paraId="165D3F36">
      <w:pPr>
        <w:jc w:val="center"/>
        <w:rPr>
          <w:rFonts w:hint="eastAsia" w:ascii="黑体" w:hAnsi="黑体" w:eastAsia="黑体" w:cs="黑体"/>
          <w:b/>
          <w:bCs/>
          <w:sz w:val="32"/>
          <w:szCs w:val="32"/>
        </w:rPr>
      </w:pPr>
    </w:p>
    <w:p w14:paraId="26DFE4FB">
      <w:pPr>
        <w:jc w:val="center"/>
        <w:rPr>
          <w:rFonts w:hint="eastAsia" w:ascii="黑体" w:hAnsi="黑体" w:eastAsia="黑体" w:cs="黑体"/>
          <w:b/>
          <w:bCs/>
          <w:sz w:val="32"/>
          <w:szCs w:val="32"/>
        </w:rPr>
      </w:pPr>
      <w:r>
        <w:rPr>
          <w:rFonts w:hint="eastAsia" w:ascii="黑体" w:hAnsi="黑体" w:eastAsia="黑体" w:cs="黑体"/>
          <w:b/>
          <w:bCs/>
          <w:sz w:val="32"/>
          <w:szCs w:val="32"/>
          <w:lang w:val="en-US" w:eastAsia="zh-CN"/>
        </w:rPr>
        <w:t>响应性</w:t>
      </w:r>
      <w:r>
        <w:rPr>
          <w:rFonts w:hint="eastAsia" w:ascii="黑体" w:hAnsi="黑体" w:eastAsia="黑体" w:cs="黑体"/>
          <w:b/>
          <w:bCs/>
          <w:sz w:val="32"/>
          <w:szCs w:val="32"/>
        </w:rPr>
        <w:t>文件</w:t>
      </w:r>
    </w:p>
    <w:p w14:paraId="2D3A4F1A">
      <w:pPr>
        <w:kinsoku/>
        <w:overflowPunct/>
        <w:topLinePunct w:val="0"/>
        <w:bidi w:val="0"/>
        <w:ind w:left="0" w:leftChars="0" w:right="0" w:rightChars="0" w:firstLine="720" w:firstLineChars="200"/>
        <w:jc w:val="center"/>
        <w:rPr>
          <w:rFonts w:ascii="黑体" w:hAnsi="宋体" w:eastAsia="黑体"/>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063CC2AE">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p>
    <w:p w14:paraId="2A737C05">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p>
    <w:p w14:paraId="010395C1">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p>
    <w:p w14:paraId="2B726BE9">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p>
    <w:p w14:paraId="01DC391E">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p>
    <w:p w14:paraId="65E2AB45">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p>
    <w:p w14:paraId="2AA4627C">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p>
    <w:p w14:paraId="50D22D03">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p>
    <w:p w14:paraId="02DC0537">
      <w:pPr>
        <w:keepNext/>
        <w:keepLines/>
        <w:numPr>
          <w:ilvl w:val="0"/>
          <w:numId w:val="2"/>
        </w:numPr>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bookmarkStart w:id="0" w:name="_Toc9978"/>
      <w:bookmarkStart w:id="1" w:name="_Toc4384"/>
      <w:bookmarkStart w:id="2" w:name="_Toc30198"/>
      <w:r>
        <w:rPr>
          <w:rFonts w:hint="eastAsia" w:cs="黑体" w:asciiTheme="minorEastAsia" w:hAnsiTheme="minorEastAsia"/>
          <w:b/>
          <w:bCs/>
          <w:kern w:val="44"/>
          <w:sz w:val="28"/>
          <w:szCs w:val="28"/>
          <w:highlight w:val="none"/>
          <w:lang w:val="en-US" w:eastAsia="zh-CN"/>
        </w:rPr>
        <w:t>资格文件：包括但不限于：</w:t>
      </w:r>
    </w:p>
    <w:p w14:paraId="1FEF207E">
      <w:pPr>
        <w:keepNext/>
        <w:keepLines/>
        <w:numPr>
          <w:ilvl w:val="0"/>
          <w:numId w:val="0"/>
        </w:numPr>
        <w:tabs>
          <w:tab w:val="left" w:pos="215"/>
          <w:tab w:val="center" w:pos="4535"/>
        </w:tabs>
        <w:autoSpaceDE w:val="0"/>
        <w:autoSpaceDN w:val="0"/>
        <w:adjustRightInd w:val="0"/>
        <w:spacing w:before="340" w:after="330"/>
        <w:jc w:val="both"/>
        <w:rPr>
          <w:rFonts w:hint="eastAsia" w:ascii="黑体" w:hAnsi="黑体" w:eastAsia="黑体" w:cs="宋体"/>
          <w:kern w:val="0"/>
          <w:sz w:val="24"/>
          <w:szCs w:val="24"/>
          <w:lang w:val="en-US" w:eastAsia="zh-CN"/>
        </w:rPr>
      </w:pPr>
      <w:r>
        <w:rPr>
          <w:rFonts w:hint="default" w:ascii="Calibri" w:hAnsi="Calibri" w:eastAsia="黑体" w:cs="Calibri"/>
          <w:kern w:val="0"/>
          <w:sz w:val="24"/>
          <w:szCs w:val="24"/>
          <w:lang w:val="en-US" w:eastAsia="zh-CN"/>
        </w:rPr>
        <w:t>①</w:t>
      </w:r>
      <w:r>
        <w:rPr>
          <w:rFonts w:hint="eastAsia" w:ascii="黑体" w:hAnsi="黑体" w:eastAsia="黑体" w:cs="宋体"/>
          <w:kern w:val="0"/>
          <w:sz w:val="24"/>
          <w:szCs w:val="24"/>
          <w:lang w:val="en-US" w:eastAsia="zh-CN"/>
        </w:rPr>
        <w:t>基本资质文件</w:t>
      </w:r>
    </w:p>
    <w:p w14:paraId="41EC3285">
      <w:pPr>
        <w:keepNext/>
        <w:keepLines/>
        <w:numPr>
          <w:ilvl w:val="0"/>
          <w:numId w:val="0"/>
        </w:numPr>
        <w:tabs>
          <w:tab w:val="left" w:pos="215"/>
          <w:tab w:val="center" w:pos="4535"/>
        </w:tabs>
        <w:autoSpaceDE w:val="0"/>
        <w:autoSpaceDN w:val="0"/>
        <w:adjustRightInd w:val="0"/>
        <w:spacing w:before="340" w:after="330"/>
        <w:jc w:val="both"/>
        <w:rPr>
          <w:rFonts w:hint="eastAsia" w:ascii="黑体" w:hAnsi="黑体" w:eastAsia="黑体" w:cs="宋体"/>
          <w:kern w:val="0"/>
          <w:sz w:val="24"/>
          <w:szCs w:val="24"/>
          <w:lang w:val="en-US" w:eastAsia="zh-CN"/>
        </w:rPr>
      </w:pPr>
      <w:r>
        <w:rPr>
          <w:rFonts w:hint="default" w:ascii="Calibri" w:hAnsi="Calibri" w:eastAsia="黑体" w:cs="Calibri"/>
          <w:kern w:val="0"/>
          <w:sz w:val="24"/>
          <w:szCs w:val="24"/>
          <w:lang w:val="en-US" w:eastAsia="zh-CN"/>
        </w:rPr>
        <w:t>②</w:t>
      </w:r>
      <w:r>
        <w:rPr>
          <w:rFonts w:hint="eastAsia" w:ascii="黑体" w:hAnsi="黑体" w:eastAsia="黑体" w:cs="宋体"/>
          <w:kern w:val="0"/>
          <w:sz w:val="24"/>
          <w:szCs w:val="24"/>
          <w:lang w:val="en-US" w:eastAsia="zh-CN"/>
        </w:rPr>
        <w:t>业绩要求</w:t>
      </w:r>
    </w:p>
    <w:p w14:paraId="6870C67F">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4"/>
          <w:szCs w:val="24"/>
          <w:lang w:val="en-US" w:eastAsia="zh-CN"/>
        </w:rPr>
      </w:pPr>
      <w:r>
        <w:rPr>
          <w:rFonts w:hint="default" w:ascii="Calibri" w:hAnsi="Calibri" w:eastAsia="黑体" w:cs="Calibri"/>
          <w:color w:val="auto"/>
          <w:kern w:val="0"/>
          <w:sz w:val="24"/>
          <w:szCs w:val="24"/>
          <w:lang w:val="en-US" w:eastAsia="zh-CN"/>
        </w:rPr>
        <w:t>③</w:t>
      </w:r>
      <w:r>
        <w:rPr>
          <w:rFonts w:hint="eastAsia" w:ascii="黑体" w:hAnsi="黑体" w:eastAsia="黑体" w:cs="宋体"/>
          <w:color w:val="auto"/>
          <w:kern w:val="0"/>
          <w:sz w:val="24"/>
          <w:szCs w:val="24"/>
          <w:lang w:val="en-US" w:eastAsia="zh-CN"/>
        </w:rPr>
        <w:t>技术力量要求：</w:t>
      </w:r>
      <w:r>
        <w:rPr>
          <w:rFonts w:hint="eastAsia" w:ascii="黑体" w:hAnsi="黑体" w:eastAsia="黑体" w:cs="宋体"/>
          <w:kern w:val="0"/>
          <w:sz w:val="24"/>
          <w:szCs w:val="24"/>
          <w:lang w:val="en-US" w:eastAsia="zh-CN"/>
        </w:rPr>
        <w:t>单位专职技术骨干人员名单及证书,包括社保证明文件；</w:t>
      </w:r>
    </w:p>
    <w:p w14:paraId="53E3DC6D">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仿宋_GB2312"/>
          <w:sz w:val="28"/>
          <w:szCs w:val="28"/>
          <w:lang w:val="zh-CN" w:eastAsia="zh-CN"/>
        </w:rPr>
      </w:pPr>
      <w:r>
        <w:rPr>
          <w:rFonts w:hint="eastAsia" w:ascii="黑体" w:hAnsi="黑体" w:eastAsia="黑体" w:cs="宋体"/>
          <w:kern w:val="0"/>
          <w:sz w:val="24"/>
          <w:szCs w:val="24"/>
          <w:lang w:val="en-US" w:eastAsia="zh-CN"/>
        </w:rPr>
        <w:t>高压电工操作证、项目负责人（项目经理）机电工程专业二级及以上注册建造师资格文件、安全生产考核合格证书（B证）。</w:t>
      </w:r>
    </w:p>
    <w:p w14:paraId="65721400">
      <w:pPr>
        <w:keepNext/>
        <w:keepLines/>
        <w:numPr>
          <w:ilvl w:val="0"/>
          <w:numId w:val="2"/>
        </w:numPr>
        <w:tabs>
          <w:tab w:val="left" w:pos="215"/>
          <w:tab w:val="center" w:pos="4535"/>
        </w:tabs>
        <w:autoSpaceDE w:val="0"/>
        <w:autoSpaceDN w:val="0"/>
        <w:adjustRightInd w:val="0"/>
        <w:spacing w:before="340" w:after="330"/>
        <w:jc w:val="both"/>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服务团队组成名单及资料</w:t>
      </w:r>
    </w:p>
    <w:p w14:paraId="504A80AE">
      <w:pPr>
        <w:keepNext/>
        <w:keepLines/>
        <w:numPr>
          <w:ilvl w:val="0"/>
          <w:numId w:val="0"/>
        </w:numPr>
        <w:tabs>
          <w:tab w:val="left" w:pos="215"/>
          <w:tab w:val="center" w:pos="4535"/>
        </w:tabs>
        <w:autoSpaceDE w:val="0"/>
        <w:autoSpaceDN w:val="0"/>
        <w:adjustRightInd w:val="0"/>
        <w:spacing w:before="340" w:after="330"/>
        <w:jc w:val="both"/>
        <w:rPr>
          <w:rFonts w:hint="eastAsia" w:ascii="黑体" w:hAnsi="黑体" w:eastAsia="黑体" w:cs="仿宋_GB2312"/>
          <w:sz w:val="28"/>
          <w:szCs w:val="28"/>
          <w:lang w:val="en-US" w:eastAsia="zh-CN"/>
        </w:rPr>
      </w:pPr>
    </w:p>
    <w:p w14:paraId="675E5A91">
      <w:pPr>
        <w:keepNext/>
        <w:keepLines/>
        <w:numPr>
          <w:ilvl w:val="0"/>
          <w:numId w:val="0"/>
        </w:numPr>
        <w:tabs>
          <w:tab w:val="left" w:pos="215"/>
          <w:tab w:val="center" w:pos="4535"/>
        </w:tabs>
        <w:autoSpaceDE w:val="0"/>
        <w:autoSpaceDN w:val="0"/>
        <w:adjustRightInd w:val="0"/>
        <w:spacing w:before="340" w:after="330"/>
        <w:jc w:val="both"/>
        <w:rPr>
          <w:rFonts w:hint="eastAsia" w:ascii="黑体" w:hAnsi="黑体" w:eastAsia="黑体" w:cs="仿宋_GB2312"/>
          <w:sz w:val="28"/>
          <w:szCs w:val="28"/>
          <w:lang w:val="en-US" w:eastAsia="zh-CN"/>
        </w:rPr>
      </w:pPr>
    </w:p>
    <w:p w14:paraId="68D3C1A0">
      <w:pPr>
        <w:keepNext/>
        <w:keepLines/>
        <w:numPr>
          <w:ilvl w:val="0"/>
          <w:numId w:val="0"/>
        </w:numPr>
        <w:tabs>
          <w:tab w:val="left" w:pos="215"/>
          <w:tab w:val="center" w:pos="4535"/>
        </w:tabs>
        <w:autoSpaceDE w:val="0"/>
        <w:autoSpaceDN w:val="0"/>
        <w:adjustRightInd w:val="0"/>
        <w:spacing w:before="340" w:after="330"/>
        <w:jc w:val="both"/>
        <w:rPr>
          <w:rFonts w:hint="eastAsia" w:ascii="黑体" w:hAnsi="黑体" w:eastAsia="黑体" w:cs="仿宋_GB2312"/>
          <w:sz w:val="28"/>
          <w:szCs w:val="28"/>
          <w:lang w:val="en-US" w:eastAsia="zh-CN"/>
        </w:rPr>
      </w:pPr>
    </w:p>
    <w:p w14:paraId="55EFC104">
      <w:pPr>
        <w:keepNext/>
        <w:keepLines/>
        <w:numPr>
          <w:ilvl w:val="0"/>
          <w:numId w:val="0"/>
        </w:numPr>
        <w:tabs>
          <w:tab w:val="left" w:pos="215"/>
          <w:tab w:val="center" w:pos="4535"/>
        </w:tabs>
        <w:autoSpaceDE w:val="0"/>
        <w:autoSpaceDN w:val="0"/>
        <w:adjustRightInd w:val="0"/>
        <w:spacing w:before="340" w:after="330"/>
        <w:jc w:val="both"/>
        <w:rPr>
          <w:rFonts w:hint="eastAsia" w:ascii="黑体" w:hAnsi="黑体" w:eastAsia="黑体" w:cs="仿宋_GB2312"/>
          <w:sz w:val="28"/>
          <w:szCs w:val="28"/>
          <w:lang w:val="en-US" w:eastAsia="zh-CN"/>
        </w:rPr>
      </w:pPr>
    </w:p>
    <w:p w14:paraId="1C124345">
      <w:pPr>
        <w:keepNext/>
        <w:keepLines/>
        <w:numPr>
          <w:ilvl w:val="0"/>
          <w:numId w:val="0"/>
        </w:numPr>
        <w:tabs>
          <w:tab w:val="left" w:pos="215"/>
          <w:tab w:val="center" w:pos="4535"/>
        </w:tabs>
        <w:autoSpaceDE w:val="0"/>
        <w:autoSpaceDN w:val="0"/>
        <w:adjustRightInd w:val="0"/>
        <w:spacing w:before="340" w:after="330"/>
        <w:jc w:val="both"/>
        <w:rPr>
          <w:rFonts w:hint="eastAsia" w:ascii="黑体" w:hAnsi="黑体" w:eastAsia="黑体" w:cs="仿宋_GB2312"/>
          <w:sz w:val="28"/>
          <w:szCs w:val="28"/>
          <w:lang w:val="en-US" w:eastAsia="zh-CN"/>
        </w:rPr>
      </w:pPr>
    </w:p>
    <w:p w14:paraId="1448E6B0">
      <w:pPr>
        <w:keepNext/>
        <w:keepLines/>
        <w:numPr>
          <w:ilvl w:val="0"/>
          <w:numId w:val="0"/>
        </w:numPr>
        <w:tabs>
          <w:tab w:val="left" w:pos="215"/>
          <w:tab w:val="center" w:pos="4535"/>
        </w:tabs>
        <w:autoSpaceDE w:val="0"/>
        <w:autoSpaceDN w:val="0"/>
        <w:adjustRightInd w:val="0"/>
        <w:spacing w:before="340" w:after="330"/>
        <w:jc w:val="both"/>
        <w:rPr>
          <w:rFonts w:hint="eastAsia" w:ascii="黑体" w:hAnsi="黑体" w:eastAsia="黑体" w:cs="仿宋_GB2312"/>
          <w:sz w:val="28"/>
          <w:szCs w:val="28"/>
          <w:lang w:val="en-US" w:eastAsia="zh-CN"/>
        </w:rPr>
      </w:pPr>
    </w:p>
    <w:p w14:paraId="4D4127DE">
      <w:pPr>
        <w:keepNext/>
        <w:keepLines/>
        <w:numPr>
          <w:ilvl w:val="0"/>
          <w:numId w:val="0"/>
        </w:numPr>
        <w:tabs>
          <w:tab w:val="left" w:pos="215"/>
          <w:tab w:val="center" w:pos="4535"/>
        </w:tabs>
        <w:autoSpaceDE w:val="0"/>
        <w:autoSpaceDN w:val="0"/>
        <w:adjustRightInd w:val="0"/>
        <w:spacing w:before="340" w:after="330"/>
        <w:jc w:val="both"/>
        <w:rPr>
          <w:rFonts w:hint="eastAsia" w:ascii="黑体" w:hAnsi="黑体" w:eastAsia="黑体" w:cs="仿宋_GB2312"/>
          <w:sz w:val="28"/>
          <w:szCs w:val="28"/>
          <w:lang w:val="en-US" w:eastAsia="zh-CN"/>
        </w:rPr>
      </w:pPr>
    </w:p>
    <w:p w14:paraId="3A8B445C">
      <w:pPr>
        <w:keepNext/>
        <w:keepLines/>
        <w:numPr>
          <w:ilvl w:val="0"/>
          <w:numId w:val="0"/>
        </w:numPr>
        <w:tabs>
          <w:tab w:val="left" w:pos="215"/>
          <w:tab w:val="center" w:pos="4535"/>
        </w:tabs>
        <w:autoSpaceDE w:val="0"/>
        <w:autoSpaceDN w:val="0"/>
        <w:adjustRightInd w:val="0"/>
        <w:spacing w:before="340" w:after="330"/>
        <w:jc w:val="both"/>
        <w:rPr>
          <w:rFonts w:hint="eastAsia" w:ascii="黑体" w:hAnsi="黑体" w:eastAsia="黑体" w:cs="仿宋_GB2312"/>
          <w:sz w:val="28"/>
          <w:szCs w:val="28"/>
          <w:lang w:val="en-US" w:eastAsia="zh-CN"/>
        </w:rPr>
      </w:pPr>
    </w:p>
    <w:p w14:paraId="2032A2FB">
      <w:pPr>
        <w:keepNext/>
        <w:keepLines/>
        <w:numPr>
          <w:ilvl w:val="0"/>
          <w:numId w:val="0"/>
        </w:numPr>
        <w:tabs>
          <w:tab w:val="left" w:pos="215"/>
          <w:tab w:val="center" w:pos="4535"/>
        </w:tabs>
        <w:autoSpaceDE w:val="0"/>
        <w:autoSpaceDN w:val="0"/>
        <w:adjustRightInd w:val="0"/>
        <w:spacing w:before="340" w:after="330"/>
        <w:jc w:val="both"/>
        <w:rPr>
          <w:rFonts w:hint="eastAsia" w:ascii="黑体" w:hAnsi="黑体" w:eastAsia="黑体" w:cs="仿宋_GB2312"/>
          <w:sz w:val="28"/>
          <w:szCs w:val="28"/>
          <w:lang w:val="en-US" w:eastAsia="zh-CN"/>
        </w:rPr>
      </w:pPr>
    </w:p>
    <w:p w14:paraId="0D14B0C7">
      <w:pPr>
        <w:keepNext/>
        <w:keepLines/>
        <w:numPr>
          <w:ilvl w:val="0"/>
          <w:numId w:val="0"/>
        </w:numPr>
        <w:tabs>
          <w:tab w:val="left" w:pos="215"/>
          <w:tab w:val="center" w:pos="4535"/>
        </w:tabs>
        <w:autoSpaceDE w:val="0"/>
        <w:autoSpaceDN w:val="0"/>
        <w:adjustRightInd w:val="0"/>
        <w:spacing w:before="340" w:after="330"/>
        <w:jc w:val="both"/>
        <w:rPr>
          <w:rFonts w:hint="eastAsia" w:ascii="黑体" w:hAnsi="黑体" w:eastAsia="黑体" w:cs="仿宋_GB2312"/>
          <w:sz w:val="28"/>
          <w:szCs w:val="28"/>
          <w:lang w:val="en-US" w:eastAsia="zh-CN"/>
        </w:rPr>
      </w:pPr>
    </w:p>
    <w:p w14:paraId="3F72B19F">
      <w:pPr>
        <w:keepNext/>
        <w:keepLines/>
        <w:numPr>
          <w:ilvl w:val="0"/>
          <w:numId w:val="0"/>
        </w:numPr>
        <w:tabs>
          <w:tab w:val="left" w:pos="215"/>
          <w:tab w:val="center" w:pos="4535"/>
        </w:tabs>
        <w:autoSpaceDE w:val="0"/>
        <w:autoSpaceDN w:val="0"/>
        <w:adjustRightInd w:val="0"/>
        <w:spacing w:before="340" w:after="330"/>
        <w:jc w:val="both"/>
        <w:rPr>
          <w:rFonts w:hint="eastAsia" w:ascii="黑体" w:hAnsi="黑体" w:eastAsia="黑体" w:cs="仿宋_GB2312"/>
          <w:sz w:val="28"/>
          <w:szCs w:val="28"/>
          <w:lang w:val="en-US" w:eastAsia="zh-CN"/>
        </w:rPr>
      </w:pPr>
    </w:p>
    <w:p w14:paraId="0DB44948">
      <w:pPr>
        <w:keepNext/>
        <w:keepLines/>
        <w:numPr>
          <w:ilvl w:val="0"/>
          <w:numId w:val="0"/>
        </w:numPr>
        <w:tabs>
          <w:tab w:val="left" w:pos="215"/>
          <w:tab w:val="center" w:pos="4535"/>
        </w:tabs>
        <w:autoSpaceDE w:val="0"/>
        <w:autoSpaceDN w:val="0"/>
        <w:adjustRightInd w:val="0"/>
        <w:spacing w:before="340" w:after="330"/>
        <w:jc w:val="both"/>
        <w:rPr>
          <w:rFonts w:hint="eastAsia" w:ascii="黑体" w:hAnsi="黑体" w:eastAsia="黑体" w:cs="仿宋_GB2312"/>
          <w:sz w:val="28"/>
          <w:szCs w:val="28"/>
          <w:lang w:val="en-US" w:eastAsia="zh-CN"/>
        </w:rPr>
      </w:pPr>
    </w:p>
    <w:p w14:paraId="23076B78">
      <w:pPr>
        <w:keepNext/>
        <w:keepLines/>
        <w:numPr>
          <w:ilvl w:val="0"/>
          <w:numId w:val="0"/>
        </w:numPr>
        <w:tabs>
          <w:tab w:val="left" w:pos="215"/>
          <w:tab w:val="center" w:pos="4535"/>
        </w:tabs>
        <w:autoSpaceDE w:val="0"/>
        <w:autoSpaceDN w:val="0"/>
        <w:adjustRightInd w:val="0"/>
        <w:spacing w:before="340" w:after="330"/>
        <w:jc w:val="both"/>
        <w:rPr>
          <w:rFonts w:hint="eastAsia" w:ascii="黑体" w:hAnsi="黑体" w:eastAsia="黑体" w:cs="仿宋_GB2312"/>
          <w:sz w:val="28"/>
          <w:szCs w:val="28"/>
          <w:lang w:val="en-US" w:eastAsia="zh-CN"/>
        </w:rPr>
      </w:pPr>
    </w:p>
    <w:p w14:paraId="34900582">
      <w:pPr>
        <w:keepNext/>
        <w:keepLines/>
        <w:numPr>
          <w:ilvl w:val="0"/>
          <w:numId w:val="2"/>
        </w:numPr>
        <w:tabs>
          <w:tab w:val="left" w:pos="215"/>
          <w:tab w:val="center" w:pos="4535"/>
        </w:tabs>
        <w:autoSpaceDE w:val="0"/>
        <w:autoSpaceDN w:val="0"/>
        <w:adjustRightInd w:val="0"/>
        <w:spacing w:before="340" w:after="330"/>
        <w:jc w:val="both"/>
        <w:rPr>
          <w:rFonts w:hint="eastAsia" w:ascii="黑体" w:hAnsi="黑体" w:eastAsia="黑体" w:cs="仿宋_GB2312"/>
          <w:sz w:val="28"/>
          <w:szCs w:val="28"/>
          <w:lang w:val="en-US" w:eastAsia="zh-CN"/>
        </w:rPr>
      </w:pP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p>
    <w:bookmarkEnd w:id="0"/>
    <w:bookmarkEnd w:id="1"/>
    <w:bookmarkEnd w:id="2"/>
    <w:p w14:paraId="24EF1B2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A0D465D">
      <w:pPr>
        <w:pStyle w:val="51"/>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07481A4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5DE9AEA5">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1B20D02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2912102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597BDCF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3D069AB">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2F578CB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601BA19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272C6BD8">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4DAD82C0">
      <w:pPr>
        <w:kinsoku/>
        <w:overflowPunct/>
        <w:topLinePunct w:val="0"/>
        <w:bidi w:val="0"/>
        <w:spacing w:line="360" w:lineRule="auto"/>
        <w:ind w:left="0" w:leftChars="0" w:right="0" w:rightChars="0" w:firstLine="480" w:firstLineChars="200"/>
        <w:rPr>
          <w:rFonts w:ascii="宋体" w:hAnsi="宋体"/>
          <w:color w:val="auto"/>
          <w:sz w:val="24"/>
        </w:rPr>
      </w:pPr>
    </w:p>
    <w:p w14:paraId="5236849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170DC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DAEE8E">
      <w:pPr>
        <w:kinsoku/>
        <w:overflowPunct/>
        <w:topLinePunct w:val="0"/>
        <w:bidi w:val="0"/>
        <w:ind w:right="0" w:rightChars="0"/>
        <w:jc w:val="left"/>
        <w:rPr>
          <w:rFonts w:hint="eastAsia" w:ascii="宋体" w:hAnsi="宋体" w:cs="宋体"/>
          <w:b/>
          <w:bCs/>
          <w:color w:val="auto"/>
          <w:sz w:val="28"/>
          <w:szCs w:val="28"/>
        </w:rPr>
      </w:pPr>
    </w:p>
    <w:p w14:paraId="0F6DD457">
      <w:pPr>
        <w:keepNext/>
        <w:keepLines/>
        <w:numPr>
          <w:ilvl w:val="0"/>
          <w:numId w:val="0"/>
        </w:numPr>
        <w:tabs>
          <w:tab w:val="left" w:pos="215"/>
          <w:tab w:val="center" w:pos="4535"/>
        </w:tabs>
        <w:autoSpaceDE w:val="0"/>
        <w:autoSpaceDN w:val="0"/>
        <w:adjustRightInd w:val="0"/>
        <w:spacing w:before="340" w:after="330"/>
        <w:ind w:leftChars="0"/>
        <w:jc w:val="both"/>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分项报价清单：</w:t>
      </w:r>
    </w:p>
    <w:p w14:paraId="69BA4181">
      <w:pPr>
        <w:kinsoku/>
        <w:overflowPunct/>
        <w:topLinePunct w:val="0"/>
        <w:bidi w:val="0"/>
        <w:spacing w:line="360" w:lineRule="auto"/>
        <w:ind w:right="0" w:rightChars="0"/>
        <w:rPr>
          <w:rFonts w:ascii="宋体" w:hAnsi="宋体"/>
          <w:color w:val="auto"/>
          <w:sz w:val="24"/>
        </w:rPr>
      </w:pPr>
    </w:p>
    <w:tbl>
      <w:tblPr>
        <w:tblStyle w:val="16"/>
        <w:tblpPr w:leftFromText="180" w:rightFromText="180" w:vertAnchor="text" w:horzAnchor="page" w:tblpX="1074" w:tblpY="253"/>
        <w:tblOverlap w:val="never"/>
        <w:tblW w:w="10262"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333"/>
      </w:tblGrid>
      <w:tr w14:paraId="1D31B96F">
        <w:tblPrEx>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FA314DD">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34111A">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21523F22">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63E10EC">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E0BB966">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B7457B6">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投标报价（现汇付款税率9%）</w:t>
            </w:r>
          </w:p>
        </w:tc>
        <w:tc>
          <w:tcPr>
            <w:tcW w:w="1333"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4B5C29E2">
            <w:pPr>
              <w:keepNext w:val="0"/>
              <w:keepLines w:val="0"/>
              <w:widowControl/>
              <w:suppressLineNumbers w:val="0"/>
              <w:jc w:val="center"/>
              <w:textAlignment w:val="center"/>
              <w:rPr>
                <w:rFonts w:hint="default"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1712A68E">
        <w:tblPrEx>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6995E0B">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ECD22C">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7E3B169">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5E0641B">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738B7850">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2319C9">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FFF868">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333"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18AD5B06">
            <w:pPr>
              <w:jc w:val="left"/>
              <w:rPr>
                <w:rFonts w:hint="eastAsia" w:ascii="宋体" w:hAnsi="宋体" w:eastAsia="宋体" w:cs="宋体"/>
                <w:b/>
                <w:i w:val="0"/>
                <w:color w:val="auto"/>
                <w:sz w:val="18"/>
                <w:szCs w:val="18"/>
                <w:highlight w:val="none"/>
                <w:u w:val="none"/>
              </w:rPr>
            </w:pPr>
          </w:p>
        </w:tc>
      </w:tr>
      <w:tr w14:paraId="1ACBD542">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743BBF9">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197A730">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52A68D3">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9629A0">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8473A6">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31BBF9">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4312B8">
            <w:pPr>
              <w:jc w:val="center"/>
              <w:rPr>
                <w:rFonts w:hint="eastAsia" w:ascii="宋体" w:hAnsi="宋体" w:eastAsia="宋体" w:cs="宋体"/>
                <w:i w:val="0"/>
                <w:color w:val="auto"/>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71CEC769">
            <w:pPr>
              <w:rPr>
                <w:rFonts w:hint="eastAsia" w:ascii="宋体" w:hAnsi="宋体" w:eastAsia="宋体" w:cs="宋体"/>
                <w:i w:val="0"/>
                <w:color w:val="auto"/>
                <w:sz w:val="18"/>
                <w:szCs w:val="18"/>
                <w:highlight w:val="none"/>
                <w:u w:val="none"/>
              </w:rPr>
            </w:pPr>
          </w:p>
        </w:tc>
      </w:tr>
      <w:tr w14:paraId="5DF7413A">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D14A956">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A6597F">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5EFD45">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488F02">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3DF267">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6E7237">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A17CB7">
            <w:pPr>
              <w:jc w:val="center"/>
              <w:rPr>
                <w:rFonts w:hint="eastAsia" w:ascii="宋体" w:hAnsi="宋体" w:eastAsia="宋体" w:cs="宋体"/>
                <w:i w:val="0"/>
                <w:color w:val="auto"/>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28238BD6">
            <w:pPr>
              <w:rPr>
                <w:rFonts w:hint="eastAsia" w:ascii="宋体" w:hAnsi="宋体" w:eastAsia="宋体" w:cs="宋体"/>
                <w:i w:val="0"/>
                <w:color w:val="auto"/>
                <w:sz w:val="18"/>
                <w:szCs w:val="18"/>
                <w:highlight w:val="none"/>
                <w:u w:val="none"/>
              </w:rPr>
            </w:pPr>
          </w:p>
        </w:tc>
      </w:tr>
      <w:tr w14:paraId="28D7083B">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0135A8D1">
            <w:pPr>
              <w:keepNext w:val="0"/>
              <w:keepLines w:val="0"/>
              <w:widowControl/>
              <w:suppressLineNumbers w:val="0"/>
              <w:jc w:val="both"/>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492863">
            <w:pPr>
              <w:jc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D40DED">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1121C62">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w:t>
            </w: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D5C231">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0324F7">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445B63">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w:t>
            </w:r>
          </w:p>
        </w:tc>
        <w:tc>
          <w:tcPr>
            <w:tcW w:w="133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A47596E">
            <w:pP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w:t>
            </w:r>
          </w:p>
        </w:tc>
      </w:tr>
      <w:tr w14:paraId="60455D47">
        <w:tblPrEx>
          <w:shd w:val="clear" w:color="auto" w:fill="auto"/>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730556F">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663"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AB6D182">
            <w:pPr>
              <w:rPr>
                <w:rFonts w:hint="default" w:ascii="宋体" w:hAnsi="宋体" w:eastAsia="宋体" w:cs="宋体"/>
                <w:b/>
                <w:bCs/>
                <w:i w:val="0"/>
                <w:color w:val="auto"/>
                <w:sz w:val="18"/>
                <w:szCs w:val="18"/>
                <w:highlight w:val="none"/>
                <w:u w:val="none"/>
                <w:lang w:val="en-US" w:eastAsia="zh-CN"/>
              </w:rPr>
            </w:pPr>
          </w:p>
        </w:tc>
      </w:tr>
    </w:tbl>
    <w:p w14:paraId="35910D83">
      <w:pPr>
        <w:pStyle w:val="5"/>
        <w:kinsoku/>
        <w:overflowPunct/>
        <w:topLinePunct w:val="0"/>
        <w:bidi w:val="0"/>
        <w:spacing w:line="360" w:lineRule="auto"/>
        <w:ind w:left="0" w:leftChars="0" w:right="0" w:rightChars="0" w:firstLine="0" w:firstLineChars="0"/>
        <w:jc w:val="left"/>
        <w:rPr>
          <w:rFonts w:hint="eastAsia"/>
          <w:color w:val="auto"/>
          <w:sz w:val="20"/>
          <w:szCs w:val="20"/>
        </w:rPr>
      </w:pPr>
      <w:r>
        <w:rPr>
          <w:rFonts w:hint="eastAsia"/>
          <w:b/>
          <w:bCs/>
          <w:color w:val="auto"/>
          <w:sz w:val="28"/>
          <w:szCs w:val="28"/>
        </w:rPr>
        <w:t xml:space="preserve"> </w:t>
      </w:r>
      <w:r>
        <w:rPr>
          <w:rFonts w:hint="eastAsia"/>
          <w:color w:val="auto"/>
          <w:sz w:val="20"/>
          <w:szCs w:val="20"/>
        </w:rPr>
        <w:t xml:space="preserve"> </w:t>
      </w:r>
    </w:p>
    <w:p w14:paraId="33EA8B23">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p w14:paraId="4207C314">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4B531781">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371D2023">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eastAsiaTheme="minorEastAsia" w:cstheme="minorBidi"/>
          <w:color w:val="auto"/>
          <w:kern w:val="2"/>
          <w:sz w:val="21"/>
          <w:szCs w:val="21"/>
          <w:lang w:val="en-US" w:eastAsia="zh-CN" w:bidi="ar-SA"/>
        </w:rPr>
        <w:t>工</w:t>
      </w:r>
      <w:r>
        <w:rPr>
          <w:rFonts w:hint="eastAsia" w:ascii="宋体" w:hAnsi="宋体" w:eastAsiaTheme="minorEastAsia" w:cstheme="minorBidi"/>
          <w:color w:val="auto"/>
          <w:kern w:val="2"/>
          <w:sz w:val="21"/>
          <w:szCs w:val="21"/>
          <w:lang w:val="en-US" w:eastAsia="zh-CN" w:bidi="ar-SA"/>
        </w:rPr>
        <w:t xml:space="preserve">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1B75C9D">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4C9E27D1">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70BBA08F">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1A7283B3">
      <w:pPr>
        <w:kinsoku/>
        <w:overflowPunct/>
        <w:topLinePunct w:val="0"/>
        <w:bidi w:val="0"/>
        <w:ind w:left="0" w:leftChars="0" w:right="0" w:rightChars="0" w:firstLine="420" w:firstLineChars="200"/>
        <w:jc w:val="left"/>
        <w:rPr>
          <w:rFonts w:hint="eastAsia" w:ascii="宋体" w:hAnsi="宋体" w:eastAsiaTheme="minorEastAsia" w:cstheme="minorBidi"/>
          <w:color w:val="auto"/>
          <w:kern w:val="2"/>
          <w:sz w:val="21"/>
          <w:szCs w:val="21"/>
          <w:lang w:val="en-US" w:eastAsia="zh-CN" w:bidi="ar-SA"/>
        </w:rPr>
      </w:pPr>
    </w:p>
    <w:p w14:paraId="4DB7856E">
      <w:pPr>
        <w:kinsoku/>
        <w:overflowPunct/>
        <w:topLinePunct w:val="0"/>
        <w:bidi w:val="0"/>
        <w:ind w:left="0" w:leftChars="0" w:right="0" w:rightChars="0" w:firstLine="420" w:firstLineChars="200"/>
        <w:jc w:val="left"/>
        <w:rPr>
          <w:rFonts w:hint="eastAsia" w:ascii="宋体" w:hAnsi="宋体"/>
          <w:color w:val="auto"/>
          <w:szCs w:val="21"/>
        </w:rPr>
      </w:pPr>
      <w:r>
        <w:rPr>
          <w:rFonts w:hint="eastAsia" w:ascii="宋体" w:hAnsi="宋体" w:eastAsiaTheme="minorEastAsia" w:cstheme="minorBidi"/>
          <w:color w:val="auto"/>
          <w:kern w:val="2"/>
          <w:sz w:val="21"/>
          <w:szCs w:val="21"/>
          <w:lang w:val="en-US" w:eastAsia="zh-CN" w:bidi="ar-SA"/>
        </w:rPr>
        <w:t>报价包含但不限于</w:t>
      </w:r>
      <w:r>
        <w:rPr>
          <w:rFonts w:hint="eastAsia" w:cstheme="minorBidi"/>
          <w:color w:val="auto"/>
          <w:kern w:val="2"/>
          <w:sz w:val="21"/>
          <w:szCs w:val="21"/>
          <w:lang w:val="en-US" w:eastAsia="zh-CN" w:bidi="ar-SA"/>
        </w:rPr>
        <w:t>人工</w:t>
      </w:r>
      <w:r>
        <w:rPr>
          <w:rFonts w:hint="eastAsia" w:ascii="宋体" w:hAnsi="宋体" w:eastAsiaTheme="minorEastAsia" w:cstheme="minorBidi"/>
          <w:color w:val="auto"/>
          <w:kern w:val="2"/>
          <w:sz w:val="21"/>
          <w:szCs w:val="21"/>
          <w:lang w:val="en-US" w:eastAsia="zh-CN" w:bidi="ar-SA"/>
        </w:rPr>
        <w:t>费、</w:t>
      </w:r>
      <w:r>
        <w:rPr>
          <w:rFonts w:hint="eastAsia" w:ascii="宋体" w:hAnsi="宋体" w:cstheme="minorBidi"/>
          <w:color w:val="auto"/>
          <w:kern w:val="2"/>
          <w:sz w:val="21"/>
          <w:szCs w:val="21"/>
          <w:lang w:val="en-US" w:eastAsia="zh-CN" w:bidi="ar-SA"/>
        </w:rPr>
        <w:t>交通住宿费、安装调试费及</w:t>
      </w:r>
      <w:r>
        <w:rPr>
          <w:rFonts w:hint="eastAsia" w:ascii="宋体" w:hAnsi="宋体" w:eastAsiaTheme="minorEastAsia" w:cstheme="minorBidi"/>
          <w:color w:val="auto"/>
          <w:kern w:val="2"/>
          <w:sz w:val="21"/>
          <w:szCs w:val="21"/>
          <w:lang w:val="en-US" w:eastAsia="zh-CN" w:bidi="ar-SA"/>
        </w:rPr>
        <w:t>税金等。</w:t>
      </w:r>
      <w:r>
        <w:rPr>
          <w:rFonts w:hint="eastAsia"/>
          <w:color w:val="auto"/>
        </w:rPr>
        <w:t xml:space="preserve"> </w:t>
      </w:r>
      <w:r>
        <w:rPr>
          <w:rFonts w:hint="eastAsia" w:ascii="宋体" w:hAnsi="宋体"/>
          <w:color w:val="auto"/>
          <w:szCs w:val="21"/>
        </w:rPr>
        <w:t xml:space="preserve">    </w:t>
      </w:r>
    </w:p>
    <w:p w14:paraId="3E17A8E8">
      <w:pPr>
        <w:kinsoku/>
        <w:overflowPunct/>
        <w:topLinePunct w:val="0"/>
        <w:bidi w:val="0"/>
        <w:ind w:left="0" w:leftChars="0" w:right="0" w:rightChars="0" w:firstLine="420" w:firstLineChars="200"/>
        <w:jc w:val="left"/>
        <w:rPr>
          <w:rFonts w:hint="eastAsia" w:ascii="宋体" w:hAnsi="宋体"/>
          <w:color w:val="auto"/>
          <w:szCs w:val="21"/>
        </w:rPr>
      </w:pPr>
    </w:p>
    <w:p w14:paraId="027F4288">
      <w:pPr>
        <w:kinsoku/>
        <w:overflowPunct/>
        <w:topLinePunct w:val="0"/>
        <w:bidi w:val="0"/>
        <w:ind w:left="0" w:leftChars="0" w:right="0" w:rightChars="0" w:firstLine="420" w:firstLineChars="200"/>
        <w:jc w:val="left"/>
        <w:rPr>
          <w:rFonts w:hint="eastAsia" w:ascii="宋体" w:hAnsi="宋体"/>
          <w:color w:val="auto"/>
          <w:szCs w:val="21"/>
          <w:lang w:val="en-US" w:eastAsia="zh-CN"/>
        </w:rPr>
      </w:pPr>
    </w:p>
    <w:p w14:paraId="63B45BD2">
      <w:pPr>
        <w:kinsoku/>
        <w:overflowPunct/>
        <w:topLinePunct w:val="0"/>
        <w:bidi w:val="0"/>
        <w:ind w:right="0" w:rightChars="0"/>
        <w:jc w:val="both"/>
        <w:rPr>
          <w:rFonts w:hint="eastAsia" w:ascii="宋体" w:hAnsi="宋体" w:cs="宋体"/>
          <w:b/>
          <w:bCs/>
          <w:color w:val="auto"/>
          <w:sz w:val="28"/>
          <w:szCs w:val="28"/>
          <w:lang w:val="en-US" w:eastAsia="zh-CN"/>
        </w:rPr>
      </w:pPr>
    </w:p>
    <w:p w14:paraId="5ABA189F">
      <w:pPr>
        <w:kinsoku/>
        <w:overflowPunct/>
        <w:topLinePunct w:val="0"/>
        <w:bidi w:val="0"/>
        <w:ind w:right="0" w:rightChars="0"/>
        <w:jc w:val="both"/>
        <w:rPr>
          <w:rFonts w:hint="eastAsia" w:ascii="宋体" w:hAnsi="宋体" w:cs="宋体"/>
          <w:b/>
          <w:bCs/>
          <w:color w:val="auto"/>
          <w:sz w:val="28"/>
          <w:szCs w:val="28"/>
          <w:lang w:val="en-US" w:eastAsia="zh-CN"/>
        </w:rPr>
      </w:pPr>
    </w:p>
    <w:p w14:paraId="1CE45BC5">
      <w:pPr>
        <w:kinsoku/>
        <w:overflowPunct/>
        <w:topLinePunct w:val="0"/>
        <w:bidi w:val="0"/>
        <w:ind w:right="0" w:rightChars="0"/>
        <w:jc w:val="both"/>
        <w:rPr>
          <w:rFonts w:hint="eastAsia" w:ascii="宋体" w:hAnsi="宋体" w:cs="宋体"/>
          <w:b/>
          <w:bCs/>
          <w:color w:val="auto"/>
          <w:sz w:val="28"/>
          <w:szCs w:val="28"/>
          <w:lang w:val="en-US" w:eastAsia="zh-CN"/>
        </w:rPr>
      </w:pPr>
    </w:p>
    <w:p w14:paraId="55126562">
      <w:pPr>
        <w:widowControl w:val="0"/>
        <w:numPr>
          <w:ilvl w:val="0"/>
          <w:numId w:val="0"/>
        </w:numPr>
        <w:tabs>
          <w:tab w:val="left" w:pos="6120"/>
          <w:tab w:val="left" w:pos="6510"/>
          <w:tab w:val="left" w:pos="12495"/>
        </w:tabs>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6A44F188">
      <w:pPr>
        <w:numPr>
          <w:ilvl w:val="0"/>
          <w:numId w:val="2"/>
        </w:numPr>
        <w:tabs>
          <w:tab w:val="left" w:pos="6120"/>
          <w:tab w:val="left" w:pos="6510"/>
          <w:tab w:val="left" w:pos="12495"/>
        </w:tabs>
        <w:kinsoku/>
        <w:overflowPunct/>
        <w:topLinePunct w:val="0"/>
        <w:bidi w:val="0"/>
        <w:spacing w:line="360" w:lineRule="auto"/>
        <w:ind w:left="0" w:leftChars="0" w:right="0" w:rightChars="0" w:firstLine="0" w:firstLineChars="0"/>
        <w:jc w:val="left"/>
        <w:rPr>
          <w:rFonts w:hint="eastAsia" w:ascii="宋体" w:hAnsi="宋体"/>
          <w:b/>
          <w:color w:val="auto"/>
          <w:sz w:val="28"/>
        </w:rPr>
      </w:pPr>
      <w:r>
        <w:rPr>
          <w:rFonts w:hint="eastAsia" w:ascii="宋体" w:hAnsi="宋体"/>
          <w:b/>
          <w:color w:val="auto"/>
          <w:sz w:val="28"/>
        </w:rPr>
        <w:t>承 诺</w:t>
      </w:r>
    </w:p>
    <w:p w14:paraId="2D7BA410">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CB5744E">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项目</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0E8ABE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w:t>
      </w:r>
      <w:r>
        <w:rPr>
          <w:rFonts w:hint="eastAsia" w:ascii="宋体" w:hAnsi="宋体"/>
          <w:color w:val="auto"/>
          <w:lang w:val="en-US" w:eastAsia="zh-CN"/>
        </w:rPr>
        <w:t>评估报告</w:t>
      </w:r>
      <w:r>
        <w:rPr>
          <w:rFonts w:hint="eastAsia" w:ascii="宋体" w:hAnsi="宋体"/>
          <w:color w:val="auto"/>
        </w:rPr>
        <w:t>符合国家要求；</w:t>
      </w:r>
    </w:p>
    <w:p w14:paraId="6ABF46E1">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6614D45">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282E62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2C59844">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w:t>
      </w:r>
      <w:r>
        <w:rPr>
          <w:rFonts w:hint="eastAsia" w:ascii="宋体" w:hAnsi="宋体" w:cstheme="minorBidi"/>
          <w:color w:val="auto"/>
          <w:kern w:val="2"/>
          <w:sz w:val="21"/>
          <w:szCs w:val="22"/>
          <w:lang w:val="en-US" w:eastAsia="zh-CN" w:bidi="ar-SA"/>
        </w:rPr>
        <w:t>评估报告</w:t>
      </w:r>
      <w:r>
        <w:rPr>
          <w:rFonts w:hint="eastAsia" w:ascii="宋体" w:hAnsi="宋体" w:eastAsiaTheme="minorEastAsia" w:cstheme="minorBidi"/>
          <w:color w:val="auto"/>
          <w:kern w:val="2"/>
          <w:sz w:val="21"/>
          <w:szCs w:val="22"/>
          <w:lang w:val="en-US" w:eastAsia="zh-CN" w:bidi="ar-SA"/>
        </w:rPr>
        <w:t>，确保项目顺利推进。</w:t>
      </w:r>
    </w:p>
    <w:p w14:paraId="5B2DB98E">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一旦我方中标，愿意按照招标文件和招标人的规定和要求签订合同，并信守合同、保证质量、如期交货。</w:t>
      </w:r>
    </w:p>
    <w:p w14:paraId="1BF320E5">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301FFC5D">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73BD8FA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078625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316C6D9">
      <w:pPr>
        <w:kinsoku/>
        <w:overflowPunct/>
        <w:topLinePunct w:val="0"/>
        <w:bidi w:val="0"/>
        <w:spacing w:line="360" w:lineRule="auto"/>
        <w:ind w:left="0" w:leftChars="0" w:right="0" w:rightChars="0" w:firstLine="4200" w:firstLineChars="2000"/>
        <w:rPr>
          <w:rFonts w:hint="eastAsia" w:ascii="宋体" w:hAnsi="宋体" w:cs="仿宋" w:eastAsiaTheme="minorEastAsia"/>
          <w:color w:val="auto"/>
          <w:sz w:val="24"/>
          <w:szCs w:val="24"/>
          <w:lang w:val="en-US" w:eastAsia="zh-CN"/>
        </w:rPr>
      </w:pPr>
      <w:r>
        <w:rPr>
          <w:rFonts w:hint="eastAsia" w:ascii="宋体" w:hAnsi="宋体"/>
          <w:color w:val="auto"/>
        </w:rPr>
        <w:t xml:space="preserve">   </w:t>
      </w:r>
      <w:r>
        <w:rPr>
          <w:rFonts w:hint="eastAsia" w:ascii="宋体" w:hAnsi="宋体"/>
          <w:color w:val="auto"/>
          <w:lang w:val="en-US" w:eastAsia="zh-CN"/>
        </w:rPr>
        <w:t>日期：</w:t>
      </w: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E2200A72"/>
    <w:multiLevelType w:val="singleLevel"/>
    <w:tmpl w:val="E2200A72"/>
    <w:lvl w:ilvl="0" w:tentative="0">
      <w:start w:val="1"/>
      <w:numFmt w:val="chineseCounting"/>
      <w:suff w:val="nothing"/>
      <w:lvlText w:val="（%1）"/>
      <w:lvlJc w:val="left"/>
      <w:rPr>
        <w:rFonts w:hint="eastAsia"/>
      </w:rPr>
    </w:lvl>
  </w:abstractNum>
  <w:abstractNum w:abstractNumId="2">
    <w:nsid w:val="E5E76BB4"/>
    <w:multiLevelType w:val="singleLevel"/>
    <w:tmpl w:val="E5E76BB4"/>
    <w:lvl w:ilvl="0" w:tentative="0">
      <w:start w:val="2"/>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1A0688"/>
    <w:rsid w:val="017D438D"/>
    <w:rsid w:val="038F62BE"/>
    <w:rsid w:val="03A80897"/>
    <w:rsid w:val="03BB5F01"/>
    <w:rsid w:val="03BC1030"/>
    <w:rsid w:val="041E3808"/>
    <w:rsid w:val="043B2184"/>
    <w:rsid w:val="0475718F"/>
    <w:rsid w:val="0485137E"/>
    <w:rsid w:val="04A36994"/>
    <w:rsid w:val="04C66C1A"/>
    <w:rsid w:val="04C771FD"/>
    <w:rsid w:val="04D1736D"/>
    <w:rsid w:val="05573D16"/>
    <w:rsid w:val="057443B4"/>
    <w:rsid w:val="05C017FD"/>
    <w:rsid w:val="0687687D"/>
    <w:rsid w:val="06F2489E"/>
    <w:rsid w:val="070268E6"/>
    <w:rsid w:val="07501427"/>
    <w:rsid w:val="076636BD"/>
    <w:rsid w:val="08266E99"/>
    <w:rsid w:val="08551FA9"/>
    <w:rsid w:val="08C61C4A"/>
    <w:rsid w:val="094A00EB"/>
    <w:rsid w:val="094D7C7A"/>
    <w:rsid w:val="097507C7"/>
    <w:rsid w:val="097D22E2"/>
    <w:rsid w:val="09AD2157"/>
    <w:rsid w:val="0A3C4D43"/>
    <w:rsid w:val="0B6C6FDB"/>
    <w:rsid w:val="0BB27EF8"/>
    <w:rsid w:val="0C2D337D"/>
    <w:rsid w:val="0C5F0F6E"/>
    <w:rsid w:val="0CFA3E56"/>
    <w:rsid w:val="0D004BE0"/>
    <w:rsid w:val="0D6635DC"/>
    <w:rsid w:val="0EC51CF1"/>
    <w:rsid w:val="0F783207"/>
    <w:rsid w:val="0F797A29"/>
    <w:rsid w:val="0FBB34F5"/>
    <w:rsid w:val="0FFD54BA"/>
    <w:rsid w:val="10525110"/>
    <w:rsid w:val="110E7C3C"/>
    <w:rsid w:val="117D68B3"/>
    <w:rsid w:val="120F5BA7"/>
    <w:rsid w:val="1235718D"/>
    <w:rsid w:val="128A3A09"/>
    <w:rsid w:val="12A6008B"/>
    <w:rsid w:val="12D009A7"/>
    <w:rsid w:val="12D57962"/>
    <w:rsid w:val="13C54541"/>
    <w:rsid w:val="14592936"/>
    <w:rsid w:val="14676D7E"/>
    <w:rsid w:val="1588015C"/>
    <w:rsid w:val="15916DD0"/>
    <w:rsid w:val="16413351"/>
    <w:rsid w:val="164E090F"/>
    <w:rsid w:val="16905549"/>
    <w:rsid w:val="16937390"/>
    <w:rsid w:val="172F5937"/>
    <w:rsid w:val="17660053"/>
    <w:rsid w:val="177C482D"/>
    <w:rsid w:val="190E59FE"/>
    <w:rsid w:val="19393A07"/>
    <w:rsid w:val="1A294B27"/>
    <w:rsid w:val="1A683441"/>
    <w:rsid w:val="1C4C57FF"/>
    <w:rsid w:val="1D176383"/>
    <w:rsid w:val="1D64697C"/>
    <w:rsid w:val="1D982524"/>
    <w:rsid w:val="1DD969AB"/>
    <w:rsid w:val="1E206F7B"/>
    <w:rsid w:val="1ED14404"/>
    <w:rsid w:val="1EF74148"/>
    <w:rsid w:val="1FA15E62"/>
    <w:rsid w:val="1FDB7383"/>
    <w:rsid w:val="20A629C0"/>
    <w:rsid w:val="21196F94"/>
    <w:rsid w:val="21263865"/>
    <w:rsid w:val="213571AA"/>
    <w:rsid w:val="217D645B"/>
    <w:rsid w:val="21843C8D"/>
    <w:rsid w:val="21F13065"/>
    <w:rsid w:val="21F47AF7"/>
    <w:rsid w:val="22A07CA6"/>
    <w:rsid w:val="237F15B6"/>
    <w:rsid w:val="23E02549"/>
    <w:rsid w:val="240E783E"/>
    <w:rsid w:val="246966F1"/>
    <w:rsid w:val="2470465E"/>
    <w:rsid w:val="24F6510A"/>
    <w:rsid w:val="24FA55ED"/>
    <w:rsid w:val="25106F93"/>
    <w:rsid w:val="25CC5B88"/>
    <w:rsid w:val="25EA69AA"/>
    <w:rsid w:val="26933E36"/>
    <w:rsid w:val="26AA7737"/>
    <w:rsid w:val="26BC19A6"/>
    <w:rsid w:val="279E3E6D"/>
    <w:rsid w:val="27A73E71"/>
    <w:rsid w:val="27B8643F"/>
    <w:rsid w:val="28564D7B"/>
    <w:rsid w:val="289607B9"/>
    <w:rsid w:val="28F11C08"/>
    <w:rsid w:val="290166AE"/>
    <w:rsid w:val="2A494963"/>
    <w:rsid w:val="2A5A72A6"/>
    <w:rsid w:val="2A7A0382"/>
    <w:rsid w:val="2AAB5DE7"/>
    <w:rsid w:val="2AC075D6"/>
    <w:rsid w:val="2C0635BA"/>
    <w:rsid w:val="2C0F4BDB"/>
    <w:rsid w:val="2C612895"/>
    <w:rsid w:val="2C672453"/>
    <w:rsid w:val="2EC03E0B"/>
    <w:rsid w:val="2EE64169"/>
    <w:rsid w:val="300E355A"/>
    <w:rsid w:val="30337F16"/>
    <w:rsid w:val="30464A25"/>
    <w:rsid w:val="3082583C"/>
    <w:rsid w:val="31A45B7D"/>
    <w:rsid w:val="31A5035D"/>
    <w:rsid w:val="33980AB1"/>
    <w:rsid w:val="344A7D4E"/>
    <w:rsid w:val="347D19AD"/>
    <w:rsid w:val="348563B9"/>
    <w:rsid w:val="34C32719"/>
    <w:rsid w:val="34DF4182"/>
    <w:rsid w:val="34E44129"/>
    <w:rsid w:val="34E65643"/>
    <w:rsid w:val="3539753D"/>
    <w:rsid w:val="35495604"/>
    <w:rsid w:val="35771A99"/>
    <w:rsid w:val="361436EF"/>
    <w:rsid w:val="363D49D0"/>
    <w:rsid w:val="36481456"/>
    <w:rsid w:val="371A057C"/>
    <w:rsid w:val="37296A11"/>
    <w:rsid w:val="388861A3"/>
    <w:rsid w:val="38DC340E"/>
    <w:rsid w:val="3A801D52"/>
    <w:rsid w:val="3A887EF3"/>
    <w:rsid w:val="3ABF1B60"/>
    <w:rsid w:val="3B10121D"/>
    <w:rsid w:val="3BA23F27"/>
    <w:rsid w:val="3BB75F0B"/>
    <w:rsid w:val="3BF62074"/>
    <w:rsid w:val="3D2C1A00"/>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7345D5"/>
    <w:rsid w:val="45877724"/>
    <w:rsid w:val="45B713D5"/>
    <w:rsid w:val="467A2DE5"/>
    <w:rsid w:val="47065CD5"/>
    <w:rsid w:val="470A03A4"/>
    <w:rsid w:val="47F46EAE"/>
    <w:rsid w:val="48724017"/>
    <w:rsid w:val="48750F6C"/>
    <w:rsid w:val="492B4B3C"/>
    <w:rsid w:val="4A185620"/>
    <w:rsid w:val="4A6F4C2B"/>
    <w:rsid w:val="4B2309AF"/>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803301"/>
    <w:rsid w:val="53EE72C6"/>
    <w:rsid w:val="54887ACF"/>
    <w:rsid w:val="548B2661"/>
    <w:rsid w:val="54AA722A"/>
    <w:rsid w:val="559A23C6"/>
    <w:rsid w:val="55BE4F5F"/>
    <w:rsid w:val="55E22755"/>
    <w:rsid w:val="56553E52"/>
    <w:rsid w:val="57193C9E"/>
    <w:rsid w:val="57541431"/>
    <w:rsid w:val="576C2775"/>
    <w:rsid w:val="586048F0"/>
    <w:rsid w:val="588549CE"/>
    <w:rsid w:val="58AE7DA1"/>
    <w:rsid w:val="58DD7D9A"/>
    <w:rsid w:val="59787038"/>
    <w:rsid w:val="59AD4E28"/>
    <w:rsid w:val="5B1D65E8"/>
    <w:rsid w:val="5C8C341B"/>
    <w:rsid w:val="5D152C97"/>
    <w:rsid w:val="5D2F2B1E"/>
    <w:rsid w:val="5DEF5A0F"/>
    <w:rsid w:val="5DF72B16"/>
    <w:rsid w:val="5E3D6E80"/>
    <w:rsid w:val="5EB75F23"/>
    <w:rsid w:val="5ECA3D86"/>
    <w:rsid w:val="5EFE72E2"/>
    <w:rsid w:val="5F4D50E3"/>
    <w:rsid w:val="5FC541C5"/>
    <w:rsid w:val="60303C60"/>
    <w:rsid w:val="60F71C0C"/>
    <w:rsid w:val="61E15FB7"/>
    <w:rsid w:val="61ED37A2"/>
    <w:rsid w:val="626B0ACC"/>
    <w:rsid w:val="626F728B"/>
    <w:rsid w:val="62A42563"/>
    <w:rsid w:val="63210307"/>
    <w:rsid w:val="633B16F7"/>
    <w:rsid w:val="63613BBD"/>
    <w:rsid w:val="64132ACB"/>
    <w:rsid w:val="644F1AB3"/>
    <w:rsid w:val="65CA7906"/>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0794F3B"/>
    <w:rsid w:val="71710FBA"/>
    <w:rsid w:val="72F9402A"/>
    <w:rsid w:val="733A4279"/>
    <w:rsid w:val="74125240"/>
    <w:rsid w:val="7467264A"/>
    <w:rsid w:val="74D06143"/>
    <w:rsid w:val="75284014"/>
    <w:rsid w:val="75942B42"/>
    <w:rsid w:val="75D4756D"/>
    <w:rsid w:val="75E36E5B"/>
    <w:rsid w:val="775744D2"/>
    <w:rsid w:val="777935F3"/>
    <w:rsid w:val="77E24ED1"/>
    <w:rsid w:val="78117E1A"/>
    <w:rsid w:val="789E730E"/>
    <w:rsid w:val="79042BD4"/>
    <w:rsid w:val="7A450456"/>
    <w:rsid w:val="7AC516D6"/>
    <w:rsid w:val="7AEF035B"/>
    <w:rsid w:val="7AF53541"/>
    <w:rsid w:val="7BBE5F26"/>
    <w:rsid w:val="7BEE310D"/>
    <w:rsid w:val="7C9D75AD"/>
    <w:rsid w:val="7D337377"/>
    <w:rsid w:val="7D902913"/>
    <w:rsid w:val="7DA00113"/>
    <w:rsid w:val="7E6846C6"/>
    <w:rsid w:val="7E6B5FAF"/>
    <w:rsid w:val="7EC34622"/>
    <w:rsid w:val="7ED33846"/>
    <w:rsid w:val="7F34107C"/>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2470</Words>
  <Characters>2645</Characters>
  <Lines>16</Lines>
  <Paragraphs>4</Paragraphs>
  <TotalTime>14</TotalTime>
  <ScaleCrop>false</ScaleCrop>
  <LinksUpToDate>false</LinksUpToDate>
  <CharactersWithSpaces>3448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2026-03-06T08:50:31Z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2052-12.1.0.25225</vt:lpwstr>
  </property>
  <property fmtid="{D5CDD505-2E9C-101B-9397-08002B2CF9AE}" pid="4" name="ICV">
    <vt:lpwstr>638278A91B6247A3A14F33886A0DB3EB_13</vt:lpwstr>
  </property>
</Properties>
</file>