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0D6D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四川宏达股份有限公司</w:t>
      </w:r>
      <w:r>
        <w:rPr>
          <w:rFonts w:hint="eastAsia" w:ascii="宋体" w:hAnsi="宋体" w:cs="宋体"/>
          <w:b/>
          <w:bCs/>
          <w:color w:val="FF0000"/>
          <w:sz w:val="48"/>
          <w:szCs w:val="48"/>
          <w:lang w:val="en-US" w:eastAsia="zh-CN"/>
        </w:rPr>
        <w:t>什邡</w:t>
      </w: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磷化工分公司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cs="黑体" w:asciiTheme="minorEastAsia" w:hAnsiTheme="minorEastAsia" w:eastAsiaTheme="minorEastAsia"/>
          <w:color w:val="FF0000"/>
          <w:sz w:val="84"/>
          <w:szCs w:val="8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复肥战略发展规划咨询服务</w:t>
      </w:r>
      <w:r>
        <w:rPr>
          <w:rFonts w:hint="eastAsia" w:ascii="宋体" w:hAnsi="宋体" w:cs="宋体"/>
          <w:b/>
          <w:bCs/>
          <w:color w:val="FF0000"/>
          <w:sz w:val="48"/>
          <w:szCs w:val="48"/>
          <w:lang w:val="en-US" w:eastAsia="zh-CN"/>
        </w:rPr>
        <w:t>项目</w:t>
      </w:r>
    </w:p>
    <w:p w14:paraId="1FAE45D5">
      <w:pPr>
        <w:widowControl/>
        <w:rPr>
          <w:rFonts w:hint="eastAsia"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hint="eastAsia"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hint="eastAsia"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hint="eastAsia"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C7901ED">
      <w:pPr>
        <w:pStyle w:val="5"/>
        <w:ind w:firstLine="2891" w:firstLineChars="900"/>
        <w:jc w:val="both"/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编号：LHG-FF-202601-021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hint="eastAsia"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hint="eastAsia" w:cs="黑体" w:asciiTheme="minorEastAsia" w:hAnsiTheme="minorEastAsia"/>
          <w:lang w:val="zh-CN"/>
        </w:rPr>
      </w:pPr>
    </w:p>
    <w:p w14:paraId="43784FA0">
      <w:pPr>
        <w:jc w:val="center"/>
        <w:rPr>
          <w:rFonts w:hint="eastAsia" w:cs="黑体" w:asciiTheme="minorEastAsia" w:hAnsiTheme="minorEastAsia"/>
          <w:lang w:val="zh-CN"/>
        </w:rPr>
      </w:pPr>
    </w:p>
    <w:p w14:paraId="205AB8C1">
      <w:pPr>
        <w:jc w:val="center"/>
        <w:rPr>
          <w:rFonts w:hint="eastAsia" w:cs="黑体" w:asciiTheme="minorEastAsia" w:hAnsiTheme="minorEastAsia"/>
          <w:lang w:val="zh-CN"/>
        </w:rPr>
      </w:pPr>
    </w:p>
    <w:p w14:paraId="6D5AE92C">
      <w:pPr>
        <w:jc w:val="center"/>
        <w:rPr>
          <w:rFonts w:hint="eastAsia" w:cs="黑体" w:asciiTheme="minorEastAsia" w:hAnsiTheme="minorEastAsia"/>
          <w:lang w:val="zh-CN"/>
        </w:rPr>
      </w:pPr>
    </w:p>
    <w:p w14:paraId="0AD65B3A">
      <w:pPr>
        <w:jc w:val="center"/>
        <w:rPr>
          <w:rFonts w:hint="eastAsia" w:cs="黑体" w:asciiTheme="minorEastAsia" w:hAnsiTheme="minorEastAsia"/>
          <w:lang w:val="zh-CN"/>
        </w:rPr>
      </w:pPr>
    </w:p>
    <w:p w14:paraId="40735AE9">
      <w:pPr>
        <w:jc w:val="center"/>
        <w:rPr>
          <w:rFonts w:hint="eastAsia" w:cs="黑体" w:asciiTheme="minorEastAsia" w:hAnsiTheme="minorEastAsia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hint="eastAsia" w:asciiTheme="minorEastAsia" w:hAnsiTheme="minorEastAsia"/>
          <w:b/>
          <w:bCs/>
          <w:color w:val="FF0000"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color w:val="FF0000"/>
          <w:sz w:val="30"/>
          <w:szCs w:val="30"/>
          <w:u w:val="single"/>
        </w:rPr>
        <w:t>四川宏达股份有限公司</w:t>
      </w:r>
      <w:r>
        <w:rPr>
          <w:rFonts w:hint="eastAsia" w:asciiTheme="minorEastAsia" w:hAnsiTheme="minorEastAsia"/>
          <w:b/>
          <w:bCs/>
          <w:color w:val="FF0000"/>
          <w:sz w:val="30"/>
          <w:szCs w:val="30"/>
          <w:u w:val="single"/>
          <w:lang w:val="en-US" w:eastAsia="zh-CN"/>
        </w:rPr>
        <w:t>什邡</w:t>
      </w:r>
      <w:r>
        <w:rPr>
          <w:rFonts w:hint="eastAsia" w:asciiTheme="minorEastAsia" w:hAnsiTheme="minorEastAsia"/>
          <w:b/>
          <w:bCs/>
          <w:color w:val="FF0000"/>
          <w:sz w:val="30"/>
          <w:szCs w:val="30"/>
          <w:u w:val="single"/>
        </w:rPr>
        <w:t>磷化工分公司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eastAsia"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 3 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 6 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什邡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磷化工分公司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复肥战略发展规划咨询服务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13513BA3">
      <w:pPr>
        <w:pStyle w:val="5"/>
        <w:ind w:firstLine="2891" w:firstLineChars="900"/>
        <w:jc w:val="both"/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编号：LHG-FF-202601-021</w:t>
      </w:r>
    </w:p>
    <w:p w14:paraId="114DC156">
      <w:pPr>
        <w:pStyle w:val="5"/>
        <w:ind w:firstLine="643"/>
        <w:jc w:val="center"/>
      </w:pPr>
    </w:p>
    <w:p w14:paraId="23CFBEF3">
      <w:pPr>
        <w:spacing w:line="3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由四川宏达股份有限公司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</w:t>
      </w:r>
      <w:r>
        <w:rPr>
          <w:rFonts w:hint="eastAsia" w:ascii="黑体" w:hAnsi="黑体" w:eastAsia="黑体" w:cs="宋体"/>
          <w:kern w:val="0"/>
          <w:sz w:val="28"/>
          <w:szCs w:val="28"/>
        </w:rPr>
        <w:t>磷化工分公司因复肥事业部需做未来5年发展规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划</w:t>
      </w:r>
      <w:r>
        <w:rPr>
          <w:rFonts w:hint="eastAsia" w:ascii="黑体" w:hAnsi="黑体" w:eastAsia="黑体" w:cs="宋体"/>
          <w:kern w:val="0"/>
          <w:sz w:val="28"/>
          <w:szCs w:val="28"/>
        </w:rPr>
        <w:t>咨询服务，需选定咨询服务单位。本着“公开、公平、公正”的原则，现对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复肥战略发展规划咨询服务项目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服务项目</w:t>
      </w:r>
      <w:r>
        <w:rPr>
          <w:rFonts w:hint="eastAsia" w:ascii="黑体" w:hAnsi="黑体" w:eastAsia="黑体" w:cs="宋体"/>
          <w:kern w:val="0"/>
          <w:sz w:val="28"/>
          <w:szCs w:val="28"/>
        </w:rPr>
        <w:t>：复肥战略发展规划咨询服务</w:t>
      </w:r>
    </w:p>
    <w:p w14:paraId="3189E225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2019184F">
      <w:pPr>
        <w:pStyle w:val="12"/>
        <w:spacing w:before="0" w:beforeAutospacing="0" w:after="0" w:afterAutospacing="0"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服务项目</w:t>
      </w:r>
      <w:r>
        <w:rPr>
          <w:rFonts w:hint="eastAsia" w:ascii="黑体" w:hAnsi="黑体" w:eastAsia="黑体" w:cs="黑体"/>
          <w:sz w:val="28"/>
          <w:szCs w:val="28"/>
        </w:rPr>
        <w:t>工作内容及成果要求：</w:t>
      </w:r>
    </w:p>
    <w:tbl>
      <w:tblPr>
        <w:tblStyle w:val="17"/>
        <w:tblW w:w="821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2693"/>
        <w:gridCol w:w="3969"/>
      </w:tblGrid>
      <w:tr w14:paraId="3E53C5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7DC64552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15"/>
                <w:szCs w:val="15"/>
              </w:rPr>
            </w:pPr>
            <w:bookmarkStart w:id="0" w:name="_Hlk182731783"/>
            <w:r>
              <w:rPr>
                <w:rFonts w:hint="eastAsia" w:ascii="黑体" w:hAnsi="黑体" w:eastAsia="黑体"/>
                <w:b/>
                <w:sz w:val="15"/>
                <w:szCs w:val="15"/>
              </w:rPr>
              <w:t>序号</w:t>
            </w:r>
          </w:p>
        </w:tc>
        <w:tc>
          <w:tcPr>
            <w:tcW w:w="851" w:type="dxa"/>
            <w:vAlign w:val="center"/>
          </w:tcPr>
          <w:p w14:paraId="3A5E4497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sz w:val="15"/>
                <w:szCs w:val="15"/>
              </w:rPr>
              <w:t>项目阶段</w:t>
            </w:r>
          </w:p>
        </w:tc>
        <w:tc>
          <w:tcPr>
            <w:tcW w:w="2693" w:type="dxa"/>
            <w:vAlign w:val="center"/>
          </w:tcPr>
          <w:p w14:paraId="4D7A1A9D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15"/>
                <w:szCs w:val="15"/>
              </w:rPr>
            </w:pPr>
            <w:r>
              <w:rPr>
                <w:rFonts w:hint="eastAsia" w:ascii="黑体" w:hAnsi="黑体" w:eastAsia="黑体"/>
                <w:b/>
                <w:sz w:val="15"/>
                <w:szCs w:val="15"/>
              </w:rPr>
              <w:t>项目内容</w:t>
            </w:r>
          </w:p>
        </w:tc>
        <w:tc>
          <w:tcPr>
            <w:tcW w:w="3969" w:type="dxa"/>
            <w:vAlign w:val="center"/>
          </w:tcPr>
          <w:p w14:paraId="605BD6FE"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项目成果</w:t>
            </w:r>
          </w:p>
        </w:tc>
      </w:tr>
      <w:tr w14:paraId="355C8B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EDD3EBD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78BC9520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项目调研阶段</w:t>
            </w:r>
          </w:p>
        </w:tc>
        <w:tc>
          <w:tcPr>
            <w:tcW w:w="2693" w:type="dxa"/>
            <w:vAlign w:val="center"/>
          </w:tcPr>
          <w:p w14:paraId="75B1DCDD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1.1内部中高管一对一访谈</w:t>
            </w:r>
          </w:p>
          <w:p w14:paraId="43730E62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1.2管理团队问卷调研</w:t>
            </w:r>
          </w:p>
          <w:p w14:paraId="2FFBA86F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1.3执行团队问卷调研</w:t>
            </w:r>
          </w:p>
          <w:p w14:paraId="64797434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1.4核心市场走访调研</w:t>
            </w:r>
          </w:p>
          <w:p w14:paraId="226BCC7A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1.5 经销商问卷调研</w:t>
            </w:r>
          </w:p>
          <w:p w14:paraId="1C903924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1.6 零售商问卷调研</w:t>
            </w:r>
          </w:p>
          <w:p w14:paraId="63ECE53B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1.7近三年销售数据调研</w:t>
            </w:r>
          </w:p>
        </w:tc>
        <w:tc>
          <w:tcPr>
            <w:tcW w:w="3969" w:type="dxa"/>
            <w:vAlign w:val="center"/>
          </w:tcPr>
          <w:p w14:paraId="1222E965">
            <w:pPr>
              <w:spacing w:before="156" w:beforeLines="50" w:after="156" w:afterLines="50" w:line="360" w:lineRule="auto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（1）《四川宏达管理团队调研报告》</w:t>
            </w:r>
          </w:p>
          <w:p w14:paraId="60607CD0">
            <w:pPr>
              <w:spacing w:before="156" w:beforeLines="50" w:after="156" w:afterLines="50" w:line="360" w:lineRule="auto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（2）《四川宏达执行团队调研报告》</w:t>
            </w:r>
          </w:p>
          <w:p w14:paraId="70A12F72">
            <w:pPr>
              <w:spacing w:before="156" w:beforeLines="50" w:after="156" w:afterLines="50" w:line="360" w:lineRule="auto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（3）《四川宏达经销商调研报告》</w:t>
            </w:r>
          </w:p>
          <w:p w14:paraId="72A61A3A">
            <w:pPr>
              <w:spacing w:before="156" w:beforeLines="50" w:after="156" w:afterLines="50" w:line="360" w:lineRule="auto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（4）《四川宏达零售终端调研报告》</w:t>
            </w:r>
          </w:p>
          <w:p w14:paraId="69491FF9">
            <w:pPr>
              <w:spacing w:line="360" w:lineRule="auto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（5）《四川宏达市场调研诊断报告》</w:t>
            </w:r>
          </w:p>
        </w:tc>
      </w:tr>
      <w:tr w14:paraId="024A9F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A6E9984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40043CF0">
            <w:pPr>
              <w:spacing w:line="36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战略规划阶段</w:t>
            </w:r>
          </w:p>
        </w:tc>
        <w:tc>
          <w:tcPr>
            <w:tcW w:w="2693" w:type="dxa"/>
            <w:vAlign w:val="center"/>
          </w:tcPr>
          <w:p w14:paraId="7DA290CF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一、召开项目发展战略研讨会</w:t>
            </w:r>
          </w:p>
          <w:p w14:paraId="609A5C4B">
            <w:pPr>
              <w:widowControl/>
              <w:autoSpaceDE w:val="0"/>
              <w:autoSpaceDN w:val="0"/>
              <w:spacing w:line="360" w:lineRule="auto"/>
              <w:textAlignment w:val="baseline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1.1 明确肥料板块战略发展瓶颈</w:t>
            </w:r>
          </w:p>
          <w:p w14:paraId="1CD39645">
            <w:pPr>
              <w:widowControl/>
              <w:autoSpaceDE w:val="0"/>
              <w:autoSpaceDN w:val="0"/>
              <w:spacing w:line="360" w:lineRule="auto"/>
              <w:textAlignment w:val="baseline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1.2 确定肥料板块发展蓝图</w:t>
            </w:r>
          </w:p>
          <w:p w14:paraId="7C38938E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二、宏达肥料板块战略规划</w:t>
            </w:r>
          </w:p>
          <w:p w14:paraId="21819B29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2.1资源布局战略</w:t>
            </w:r>
          </w:p>
          <w:p w14:paraId="042A2F04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2.2生产基地布局战略</w:t>
            </w:r>
          </w:p>
          <w:p w14:paraId="615A6BFE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2.3产能/产量布局战略</w:t>
            </w:r>
          </w:p>
          <w:p w14:paraId="64EDCA4F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2.4产品销量布局战略</w:t>
            </w:r>
          </w:p>
          <w:p w14:paraId="11772D24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2.5市场渠道布局战略</w:t>
            </w:r>
          </w:p>
          <w:p w14:paraId="240B7BE5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2.6分销模式布局战略</w:t>
            </w:r>
          </w:p>
          <w:p w14:paraId="679CD469">
            <w:pPr>
              <w:spacing w:line="360" w:lineRule="auto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2.7组织团队布局战略</w:t>
            </w:r>
          </w:p>
        </w:tc>
        <w:tc>
          <w:tcPr>
            <w:tcW w:w="3969" w:type="dxa"/>
            <w:vAlign w:val="center"/>
          </w:tcPr>
          <w:p w14:paraId="068DA048">
            <w:pPr>
              <w:spacing w:line="360" w:lineRule="auto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（6）《四川宏达肥料板块2026-2030发展战略规划》</w:t>
            </w:r>
          </w:p>
        </w:tc>
      </w:tr>
      <w:bookmarkEnd w:id="0"/>
    </w:tbl>
    <w:p w14:paraId="12752C97">
      <w:pPr>
        <w:spacing w:line="360" w:lineRule="exact"/>
        <w:rPr>
          <w:rFonts w:ascii="黑体" w:hAnsi="黑体" w:eastAsia="黑体" w:cs="黑体"/>
          <w:sz w:val="21"/>
          <w:szCs w:val="21"/>
        </w:rPr>
      </w:pPr>
    </w:p>
    <w:p w14:paraId="00932954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</w:rPr>
        <w:t>完成时间：合同签订后3个月</w:t>
      </w:r>
    </w:p>
    <w:p w14:paraId="318C942C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3.付款方式及发票：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付款方式：合同签订后5日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内</w:t>
      </w:r>
      <w:r>
        <w:rPr>
          <w:rFonts w:hint="eastAsia" w:ascii="黑体" w:hAnsi="黑体" w:eastAsia="黑体" w:cs="Segoe UI"/>
          <w:kern w:val="0"/>
          <w:sz w:val="28"/>
          <w:szCs w:val="28"/>
        </w:rPr>
        <w:t>，支付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项目全款的</w:t>
      </w:r>
      <w:r>
        <w:rPr>
          <w:rFonts w:hint="eastAsia" w:ascii="黑体" w:hAnsi="黑体" w:eastAsia="黑体" w:cs="Segoe UI"/>
          <w:kern w:val="0"/>
          <w:sz w:val="28"/>
          <w:szCs w:val="28"/>
        </w:rPr>
        <w:t>50%；完成项目全部工作内容，并通过甲方验收后，支付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剩余价款的</w:t>
      </w:r>
      <w:r>
        <w:rPr>
          <w:rFonts w:hint="eastAsia" w:ascii="黑体" w:hAnsi="黑体" w:eastAsia="黑体" w:cs="Segoe UI"/>
          <w:kern w:val="0"/>
          <w:sz w:val="28"/>
          <w:szCs w:val="28"/>
        </w:rPr>
        <w:t>50%。</w:t>
      </w:r>
    </w:p>
    <w:p w14:paraId="3914BA72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一票制，供应商开具全额增值税专用发票(税率6%)。</w:t>
      </w:r>
    </w:p>
    <w:p w14:paraId="24A08032">
      <w:pPr>
        <w:tabs>
          <w:tab w:val="left" w:pos="312"/>
        </w:tabs>
        <w:spacing w:line="420" w:lineRule="exact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4.合同期：180天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 w14:paraId="6F201807">
      <w:pPr>
        <w:numPr>
          <w:ilvl w:val="0"/>
          <w:numId w:val="2"/>
        </w:numPr>
        <w:spacing w:line="420" w:lineRule="exact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 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 日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</w:t>
      </w:r>
      <w:r>
        <w:rPr>
          <w:rFonts w:hint="eastAsia" w:ascii="黑体" w:hAnsi="黑体" w:eastAsia="黑体" w:cs="黑体"/>
          <w:sz w:val="28"/>
          <w:szCs w:val="28"/>
        </w:rPr>
        <w:t xml:space="preserve"> 时 00 分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截</w:t>
      </w:r>
      <w:r>
        <w:rPr>
          <w:rFonts w:hint="eastAsia" w:ascii="黑体" w:hAnsi="黑体" w:eastAsia="黑体" w:cs="黑体"/>
          <w:sz w:val="28"/>
          <w:szCs w:val="28"/>
        </w:rPr>
        <w:t>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 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黑体"/>
          <w:sz w:val="28"/>
          <w:szCs w:val="28"/>
        </w:rPr>
        <w:t xml:space="preserve"> 日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 xml:space="preserve"> 时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 xml:space="preserve">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2"/>
        </w:numPr>
        <w:spacing w:line="420" w:lineRule="exact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仿宋_GB2312"/>
          <w:sz w:val="28"/>
          <w:szCs w:val="28"/>
        </w:rPr>
        <w:t xml:space="preserve"> 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仿宋_GB2312"/>
          <w:sz w:val="28"/>
          <w:szCs w:val="28"/>
        </w:rPr>
        <w:t xml:space="preserve"> 日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仿宋_GB2312"/>
          <w:sz w:val="28"/>
          <w:szCs w:val="28"/>
        </w:rPr>
        <w:t xml:space="preserve"> 时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仿宋_GB2312"/>
          <w:sz w:val="28"/>
          <w:szCs w:val="28"/>
        </w:rPr>
        <w:t>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仿宋_GB2312"/>
          <w:sz w:val="28"/>
          <w:szCs w:val="28"/>
        </w:rPr>
        <w:t>.响应性文件的要求</w:t>
      </w:r>
    </w:p>
    <w:p w14:paraId="5C2DC8B1">
      <w:pPr>
        <w:spacing w:line="420" w:lineRule="exact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①比选申请人需提供</w:t>
      </w:r>
      <w:bookmarkStart w:id="1" w:name="OLE_LINK4"/>
      <w:bookmarkStart w:id="2" w:name="OLE_LINK3"/>
      <w:r>
        <w:rPr>
          <w:rFonts w:hint="eastAsia" w:ascii="黑体" w:hAnsi="黑体" w:eastAsia="黑体" w:cs="仿宋_GB2312"/>
          <w:sz w:val="28"/>
          <w:szCs w:val="28"/>
        </w:rPr>
        <w:t>营业执照（三证合一）</w:t>
      </w:r>
      <w:bookmarkEnd w:id="1"/>
      <w:bookmarkEnd w:id="2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5A9C2BFF">
      <w:pPr>
        <w:spacing w:line="4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②成果形成要求须由贵公司具有行业咨询经验的负责人或团队参与。</w:t>
      </w:r>
    </w:p>
    <w:p w14:paraId="137F1B2A">
      <w:pPr>
        <w:spacing w:line="420" w:lineRule="exact"/>
        <w:rPr>
          <w:rFonts w:hint="eastAsia" w:ascii="黑体" w:hAnsi="黑体" w:eastAsia="黑体" w:cs="Times New Roman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  <w:r>
        <w:rPr>
          <w:rFonts w:hint="eastAsia" w:ascii="黑体" w:hAnsi="黑体" w:eastAsia="黑体" w:cs="Times New Roman"/>
          <w:color w:val="FF0000"/>
          <w:sz w:val="28"/>
          <w:szCs w:val="28"/>
        </w:rPr>
        <w:t>或与具有价格优势的服务商进行二次议价</w:t>
      </w:r>
      <w:r>
        <w:rPr>
          <w:rFonts w:hint="eastAsia" w:ascii="黑体" w:hAnsi="黑体" w:eastAsia="黑体" w:cs="Times New Roman"/>
          <w:color w:val="FF0000"/>
          <w:sz w:val="28"/>
          <w:szCs w:val="28"/>
          <w:lang w:eastAsia="zh-CN"/>
        </w:rPr>
        <w:t>。</w:t>
      </w:r>
    </w:p>
    <w:p w14:paraId="2DA682CF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.验收方式：</w:t>
      </w:r>
    </w:p>
    <w:p w14:paraId="799BB05B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服务项目</w:t>
      </w:r>
      <w:r>
        <w:rPr>
          <w:rFonts w:hint="eastAsia" w:ascii="黑体" w:hAnsi="黑体" w:eastAsia="黑体" w:cs="宋体"/>
          <w:kern w:val="0"/>
          <w:sz w:val="28"/>
          <w:szCs w:val="28"/>
        </w:rPr>
        <w:t>质量、内容进行检查</w:t>
      </w:r>
      <w:r>
        <w:rPr>
          <w:rFonts w:hint="eastAsia" w:ascii="黑体" w:hAnsi="黑体" w:eastAsia="黑体" w:cs="Times New Roman"/>
          <w:sz w:val="28"/>
          <w:szCs w:val="28"/>
        </w:rPr>
        <w:t>。</w:t>
      </w:r>
    </w:p>
    <w:p w14:paraId="56674FAE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李佳旖19981068071</w:t>
      </w:r>
    </w:p>
    <w:p w14:paraId="446C7FA9">
      <w:pPr>
        <w:adjustRightInd w:val="0"/>
        <w:spacing w:line="420" w:lineRule="exact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firstLine="0" w:firstLineChars="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49"/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E13937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BF41B1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5AB75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BEA744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E722068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2F9553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BD8E15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03EBE0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B19088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7F127D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8574A4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37816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D79CA91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A720CBE">
      <w:pPr>
        <w:jc w:val="both"/>
        <w:rPr>
          <w:rFonts w:ascii="宋体" w:hAnsi="宋体"/>
          <w:b/>
          <w:bCs/>
          <w:sz w:val="36"/>
          <w:szCs w:val="36"/>
        </w:rPr>
      </w:pPr>
      <w:bookmarkStart w:id="3" w:name="_Hlk155791057"/>
      <w:bookmarkStart w:id="4" w:name="_Toc275019290"/>
      <w:bookmarkStart w:id="5" w:name="_Toc275014947"/>
      <w:bookmarkStart w:id="6" w:name="_Toc274596702"/>
      <w:bookmarkStart w:id="7" w:name="_Toc275019836"/>
      <w:bookmarkStart w:id="8" w:name="_Toc274236999"/>
      <w:bookmarkStart w:id="9" w:name="_Toc318986166"/>
      <w:bookmarkStart w:id="10" w:name="_Toc238797630"/>
      <w:bookmarkStart w:id="11" w:name="_Toc268793030"/>
      <w:bookmarkStart w:id="12" w:name="_Toc303149804"/>
      <w:bookmarkStart w:id="13" w:name="_Toc238552273"/>
      <w:bookmarkStart w:id="14" w:name="_Toc16684"/>
      <w:bookmarkStart w:id="15" w:name="_Toc269113527"/>
      <w:bookmarkStart w:id="16" w:name="_Toc275019684"/>
    </w:p>
    <w:p w14:paraId="0F97DFBA">
      <w:pPr>
        <w:jc w:val="both"/>
        <w:rPr>
          <w:rFonts w:ascii="宋体" w:hAnsi="宋体"/>
          <w:b/>
          <w:bCs/>
          <w:sz w:val="36"/>
          <w:szCs w:val="36"/>
        </w:rPr>
      </w:pPr>
    </w:p>
    <w:p w14:paraId="24F050CF">
      <w:pPr>
        <w:jc w:val="both"/>
        <w:rPr>
          <w:rFonts w:ascii="宋体" w:hAnsi="宋体"/>
          <w:b/>
          <w:bCs/>
          <w:sz w:val="36"/>
          <w:szCs w:val="36"/>
        </w:rPr>
      </w:pPr>
    </w:p>
    <w:p w14:paraId="6C9D6FD8">
      <w:pPr>
        <w:jc w:val="both"/>
        <w:rPr>
          <w:rFonts w:ascii="宋体" w:hAnsi="宋体"/>
          <w:b/>
          <w:bCs/>
          <w:sz w:val="36"/>
          <w:szCs w:val="36"/>
        </w:rPr>
      </w:pPr>
    </w:p>
    <w:p w14:paraId="4997FE26">
      <w:pPr>
        <w:jc w:val="both"/>
        <w:rPr>
          <w:rFonts w:ascii="宋体" w:hAnsi="宋体"/>
          <w:b/>
          <w:bCs/>
          <w:sz w:val="36"/>
          <w:szCs w:val="36"/>
        </w:rPr>
      </w:pPr>
    </w:p>
    <w:p w14:paraId="05B27CAE">
      <w:pPr>
        <w:jc w:val="both"/>
        <w:rPr>
          <w:rFonts w:ascii="宋体" w:hAnsi="宋体"/>
          <w:b/>
          <w:bCs/>
          <w:sz w:val="36"/>
          <w:szCs w:val="36"/>
        </w:rPr>
      </w:pPr>
    </w:p>
    <w:p w14:paraId="247521A1">
      <w:pPr>
        <w:jc w:val="both"/>
        <w:rPr>
          <w:rFonts w:ascii="宋体" w:hAnsi="宋体"/>
          <w:b/>
          <w:bCs/>
          <w:sz w:val="36"/>
          <w:szCs w:val="36"/>
        </w:rPr>
      </w:pPr>
    </w:p>
    <w:p w14:paraId="3CEF604C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1B0FBBCF"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p w14:paraId="151C3386">
      <w:pPr>
        <w:jc w:val="center"/>
        <w:rPr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bookmarkEnd w:id="3"/>
    <w:p w14:paraId="0E847505">
      <w:pPr>
        <w:widowControl/>
        <w:adjustRightInd w:val="0"/>
        <w:snapToGrid w:val="0"/>
        <w:spacing w:line="480" w:lineRule="auto"/>
        <w:ind w:right="-359" w:rightChars="-171"/>
        <w:jc w:val="center"/>
        <w:rPr>
          <w:rFonts w:hint="eastAsia" w:asciiTheme="minorEastAsia" w:hAnsiTheme="minorEastAsia"/>
          <w:b/>
          <w:kern w:val="0"/>
          <w:sz w:val="44"/>
          <w:szCs w:val="44"/>
        </w:rPr>
      </w:pPr>
      <w:r>
        <w:rPr>
          <w:rFonts w:hint="eastAsia" w:ascii="宋体" w:hAnsi="宋体"/>
          <w:color w:val="FF0000"/>
          <w:kern w:val="0"/>
          <w:szCs w:val="21"/>
        </w:rPr>
        <w:t xml:space="preserve"> </w:t>
      </w:r>
      <w:r>
        <w:rPr>
          <w:rFonts w:hint="eastAsia" w:asciiTheme="minorEastAsia" w:hAnsiTheme="minorEastAsia"/>
          <w:b/>
          <w:kern w:val="0"/>
          <w:sz w:val="44"/>
          <w:szCs w:val="44"/>
        </w:rPr>
        <w:t>宏达股份</w:t>
      </w:r>
      <w:r>
        <w:rPr>
          <w:rFonts w:asciiTheme="minorEastAsia" w:hAnsiTheme="minorEastAsia"/>
          <w:b/>
          <w:kern w:val="0"/>
          <w:sz w:val="44"/>
          <w:szCs w:val="44"/>
        </w:rPr>
        <w:t>—</w:t>
      </w:r>
      <w:r>
        <w:rPr>
          <w:rFonts w:hint="eastAsia" w:asciiTheme="minorEastAsia" w:hAnsiTheme="minorEastAsia"/>
          <w:b/>
          <w:kern w:val="0"/>
          <w:sz w:val="44"/>
          <w:szCs w:val="44"/>
        </w:rPr>
        <w:t>XX公司</w:t>
      </w:r>
    </w:p>
    <w:p w14:paraId="62AF666B">
      <w:pPr>
        <w:widowControl/>
        <w:adjustRightInd w:val="0"/>
        <w:snapToGrid w:val="0"/>
        <w:spacing w:line="480" w:lineRule="auto"/>
        <w:ind w:right="-359" w:rightChars="-171"/>
        <w:jc w:val="center"/>
        <w:rPr>
          <w:rFonts w:hint="eastAsia" w:asciiTheme="minorEastAsia" w:hAnsiTheme="minorEastAsia"/>
          <w:b/>
          <w:kern w:val="0"/>
          <w:sz w:val="48"/>
          <w:szCs w:val="48"/>
        </w:rPr>
      </w:pPr>
      <w:r>
        <w:rPr>
          <w:rFonts w:hint="eastAsia" w:asciiTheme="minorEastAsia" w:hAnsiTheme="minorEastAsia"/>
          <w:b/>
          <w:kern w:val="0"/>
          <w:sz w:val="48"/>
          <w:szCs w:val="48"/>
        </w:rPr>
        <w:t>肥料板块发展战略规划项目</w:t>
      </w:r>
    </w:p>
    <w:p w14:paraId="304B9CC0">
      <w:pPr>
        <w:widowControl/>
        <w:spacing w:line="360" w:lineRule="auto"/>
        <w:ind w:right="-359" w:rightChars="-171"/>
        <w:jc w:val="center"/>
        <w:rPr>
          <w:rFonts w:hint="eastAsia" w:asciiTheme="minorEastAsia" w:hAnsiTheme="minorEastAsia"/>
          <w:kern w:val="0"/>
          <w:sz w:val="24"/>
          <w:szCs w:val="21"/>
        </w:rPr>
      </w:pPr>
    </w:p>
    <w:p w14:paraId="3AA0F068">
      <w:pPr>
        <w:widowControl/>
        <w:ind w:right="-359" w:rightChars="-171"/>
        <w:jc w:val="center"/>
        <w:rPr>
          <w:rFonts w:hint="eastAsia" w:asciiTheme="minorEastAsia" w:hAnsiTheme="minorEastAsia"/>
          <w:b/>
          <w:kern w:val="0"/>
          <w:sz w:val="84"/>
          <w:szCs w:val="84"/>
        </w:rPr>
      </w:pPr>
      <w:r>
        <w:rPr>
          <w:rFonts w:asciiTheme="minorEastAsia" w:hAnsiTheme="minorEastAsia"/>
          <w:b/>
          <w:kern w:val="0"/>
          <w:sz w:val="84"/>
          <w:szCs w:val="84"/>
        </w:rPr>
        <w:t>合同书</w:t>
      </w:r>
    </w:p>
    <w:p w14:paraId="79802A94">
      <w:pPr>
        <w:adjustRightInd w:val="0"/>
        <w:snapToGrid w:val="0"/>
        <w:spacing w:before="156" w:beforeLines="50" w:line="360" w:lineRule="auto"/>
        <w:jc w:val="center"/>
        <w:rPr>
          <w:rFonts w:hint="eastAsia" w:asciiTheme="minorEastAsia" w:hAnsiTheme="minorEastAsia"/>
          <w:color w:val="000000"/>
          <w:sz w:val="36"/>
          <w:szCs w:val="36"/>
        </w:rPr>
      </w:pPr>
    </w:p>
    <w:p w14:paraId="2A473BDF">
      <w:pPr>
        <w:adjustRightInd w:val="0"/>
        <w:snapToGrid w:val="0"/>
        <w:spacing w:before="156" w:beforeLines="50" w:line="360" w:lineRule="auto"/>
        <w:jc w:val="center"/>
        <w:rPr>
          <w:rFonts w:hint="eastAsia" w:asciiTheme="minorEastAsia" w:hAnsiTheme="minorEastAsia"/>
          <w:b/>
          <w:bCs/>
          <w:snapToGrid w:val="0"/>
          <w:color w:val="000000"/>
          <w:kern w:val="0"/>
          <w:sz w:val="32"/>
          <w:szCs w:val="32"/>
        </w:rPr>
      </w:pPr>
    </w:p>
    <w:p w14:paraId="790DF46E">
      <w:pPr>
        <w:adjustRightInd w:val="0"/>
        <w:snapToGrid w:val="0"/>
        <w:spacing w:before="156" w:beforeLines="50" w:line="360" w:lineRule="auto"/>
        <w:rPr>
          <w:rFonts w:hint="eastAsia" w:asciiTheme="minorEastAsia" w:hAnsiTheme="minorEastAsia"/>
          <w:snapToGrid w:val="0"/>
          <w:color w:val="000000"/>
          <w:kern w:val="0"/>
          <w:sz w:val="24"/>
        </w:rPr>
      </w:pPr>
    </w:p>
    <w:p w14:paraId="2B76CE23">
      <w:pPr>
        <w:adjustRightInd w:val="0"/>
        <w:snapToGrid w:val="0"/>
        <w:spacing w:before="156" w:beforeLines="50" w:line="360" w:lineRule="auto"/>
        <w:rPr>
          <w:rFonts w:hint="eastAsia" w:asciiTheme="minorEastAsia" w:hAnsiTheme="minorEastAsia"/>
          <w:snapToGrid w:val="0"/>
          <w:color w:val="000000"/>
          <w:kern w:val="0"/>
          <w:sz w:val="24"/>
        </w:rPr>
      </w:pPr>
    </w:p>
    <w:p w14:paraId="10A5ABBA">
      <w:pPr>
        <w:spacing w:line="840" w:lineRule="auto"/>
        <w:ind w:right="-359" w:rightChars="-171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委托方: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四川宏达股份有限公司</w:t>
      </w:r>
      <w:r>
        <w:rPr>
          <w:rFonts w:asciiTheme="minorEastAsia" w:hAnsiTheme="minorEastAsia"/>
          <w:sz w:val="28"/>
          <w:szCs w:val="28"/>
        </w:rPr>
        <w:t>(下称:“甲方”）</w:t>
      </w:r>
    </w:p>
    <w:p w14:paraId="5F5141EF">
      <w:pPr>
        <w:spacing w:line="840" w:lineRule="auto"/>
        <w:ind w:right="-359" w:rightChars="-171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受托方: </w:t>
      </w:r>
      <w:r>
        <w:rPr>
          <w:rFonts w:hint="eastAsia" w:asciiTheme="minorEastAsia" w:hAnsiTheme="minorEastAsia"/>
          <w:sz w:val="28"/>
          <w:szCs w:val="28"/>
        </w:rPr>
        <w:t>XXXXXX</w:t>
      </w:r>
      <w:r>
        <w:rPr>
          <w:rFonts w:asciiTheme="minorEastAsia" w:hAnsiTheme="minorEastAsia"/>
          <w:sz w:val="28"/>
          <w:szCs w:val="28"/>
        </w:rPr>
        <w:t xml:space="preserve"> (下称:“乙方”）</w:t>
      </w:r>
    </w:p>
    <w:p w14:paraId="6593FAB2">
      <w:pPr>
        <w:widowControl/>
        <w:jc w:val="left"/>
        <w:rPr>
          <w:rFonts w:hint="eastAsia" w:asciiTheme="minorEastAsia" w:hAnsiTheme="minorEastAsia"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br w:type="page"/>
      </w:r>
    </w:p>
    <w:p w14:paraId="744979EB">
      <w:pPr>
        <w:pStyle w:val="6"/>
        <w:adjustRightInd w:val="0"/>
        <w:snapToGrid w:val="0"/>
        <w:spacing w:before="156" w:beforeLines="50" w:line="360" w:lineRule="auto"/>
        <w:ind w:firstLine="480"/>
        <w:rPr>
          <w:rFonts w:hint="eastAsia" w:asciiTheme="minorEastAsia" w:hAnsiTheme="minorEastAsia"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>甲方与乙方就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  <w:u w:val="single"/>
        </w:rPr>
        <w:t xml:space="preserve"> 甲方肥料板块未来5年发展战略规划编制服务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>相关事宜，依据《中华人民共和国民法典》等有关法律法规，经双方协商一致，签订本合同，共同执行。</w:t>
      </w:r>
    </w:p>
    <w:p w14:paraId="2ADF2F5C">
      <w:pPr>
        <w:pStyle w:val="6"/>
        <w:numPr>
          <w:ilvl w:val="0"/>
          <w:numId w:val="3"/>
        </w:numPr>
        <w:adjustRightInd w:val="0"/>
        <w:snapToGrid w:val="0"/>
        <w:spacing w:before="156" w:beforeLines="50" w:line="360" w:lineRule="auto"/>
        <w:ind w:leftChars="0"/>
        <w:rPr>
          <w:rFonts w:hint="eastAsia" w:asciiTheme="minorEastAsia" w:hAnsiTheme="minorEastAsia"/>
          <w:b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b/>
          <w:snapToGrid w:val="0"/>
          <w:color w:val="000000"/>
          <w:kern w:val="0"/>
          <w:sz w:val="24"/>
        </w:rPr>
        <w:t>乙方为甲方提供的咨询服务的内容与成果</w:t>
      </w:r>
    </w:p>
    <w:tbl>
      <w:tblPr>
        <w:tblStyle w:val="17"/>
        <w:tblW w:w="821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2693"/>
        <w:gridCol w:w="3969"/>
      </w:tblGrid>
      <w:tr w14:paraId="10B116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48F83B4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序号</w:t>
            </w:r>
          </w:p>
        </w:tc>
        <w:tc>
          <w:tcPr>
            <w:tcW w:w="851" w:type="dxa"/>
            <w:vAlign w:val="center"/>
          </w:tcPr>
          <w:p w14:paraId="0FB7FDDA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项目阶段</w:t>
            </w:r>
          </w:p>
        </w:tc>
        <w:tc>
          <w:tcPr>
            <w:tcW w:w="2693" w:type="dxa"/>
            <w:vAlign w:val="center"/>
          </w:tcPr>
          <w:p w14:paraId="7E8AA619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项目内容</w:t>
            </w:r>
          </w:p>
        </w:tc>
        <w:tc>
          <w:tcPr>
            <w:tcW w:w="3969" w:type="dxa"/>
            <w:vAlign w:val="center"/>
          </w:tcPr>
          <w:p w14:paraId="1303F820"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项目成果</w:t>
            </w:r>
          </w:p>
        </w:tc>
      </w:tr>
      <w:tr w14:paraId="2DA30A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72B0C13B">
            <w:pPr>
              <w:spacing w:line="360" w:lineRule="auto"/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F38BD2F">
            <w:pPr>
              <w:spacing w:line="360" w:lineRule="auto"/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项目调研阶段</w:t>
            </w:r>
          </w:p>
        </w:tc>
        <w:tc>
          <w:tcPr>
            <w:tcW w:w="2693" w:type="dxa"/>
            <w:vAlign w:val="center"/>
          </w:tcPr>
          <w:p w14:paraId="2460689F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1.1内部中高管一对一访谈</w:t>
            </w:r>
          </w:p>
          <w:p w14:paraId="2B8EE708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1.2管理团队问卷调研</w:t>
            </w:r>
          </w:p>
          <w:p w14:paraId="61964AA3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1.3执行团队问卷调研</w:t>
            </w:r>
          </w:p>
          <w:p w14:paraId="65E6A12F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1.4核心市场走访调研</w:t>
            </w:r>
          </w:p>
          <w:p w14:paraId="3E273ACD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1.5 经销商问卷调研</w:t>
            </w:r>
          </w:p>
          <w:p w14:paraId="18FE34A1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1.6 零售商问卷调研</w:t>
            </w:r>
          </w:p>
          <w:p w14:paraId="2BACE35A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1.7近三年销售数据调研</w:t>
            </w:r>
          </w:p>
        </w:tc>
        <w:tc>
          <w:tcPr>
            <w:tcW w:w="3969" w:type="dxa"/>
            <w:vAlign w:val="center"/>
          </w:tcPr>
          <w:p w14:paraId="2D8B7E75">
            <w:pPr>
              <w:spacing w:before="156" w:beforeLines="50" w:after="156" w:afterLines="50" w:line="360" w:lineRule="auto"/>
              <w:rPr>
                <w:rFonts w:hint="eastAsia" w:asciiTheme="minorEastAsia" w:hAnsi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4"/>
              </w:rPr>
              <w:t>（1）《四川宏达管理团队调研报告》</w:t>
            </w:r>
          </w:p>
          <w:p w14:paraId="449243CF">
            <w:pPr>
              <w:spacing w:before="156" w:beforeLines="50" w:after="156" w:afterLines="50" w:line="360" w:lineRule="auto"/>
              <w:rPr>
                <w:rFonts w:hint="eastAsia" w:asciiTheme="minorEastAsia" w:hAnsi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4"/>
              </w:rPr>
              <w:t>（</w:t>
            </w:r>
            <w:r>
              <w:rPr>
                <w:rFonts w:asciiTheme="minorEastAsia" w:hAnsiTheme="minorEastAsia"/>
                <w:bCs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/>
                <w:bCs/>
                <w:color w:val="000000"/>
                <w:sz w:val="24"/>
              </w:rPr>
              <w:t>）《四川宏达执行团队调研报告》</w:t>
            </w:r>
          </w:p>
          <w:p w14:paraId="14523A3D">
            <w:pPr>
              <w:spacing w:before="156" w:beforeLines="50" w:after="156" w:afterLines="50" w:line="360" w:lineRule="auto"/>
              <w:rPr>
                <w:rFonts w:hint="eastAsia" w:asciiTheme="minorEastAsia" w:hAnsi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4"/>
              </w:rPr>
              <w:t>（</w:t>
            </w:r>
            <w:r>
              <w:rPr>
                <w:rFonts w:asciiTheme="minorEastAsia" w:hAnsiTheme="minorEastAsia"/>
                <w:bCs/>
                <w:color w:val="000000"/>
                <w:sz w:val="24"/>
              </w:rPr>
              <w:t>3</w:t>
            </w:r>
            <w:r>
              <w:rPr>
                <w:rFonts w:hint="eastAsia" w:asciiTheme="minorEastAsia" w:hAnsiTheme="minorEastAsia"/>
                <w:bCs/>
                <w:color w:val="000000"/>
                <w:sz w:val="24"/>
              </w:rPr>
              <w:t>）《四川宏达经销商调研报告》</w:t>
            </w:r>
          </w:p>
          <w:p w14:paraId="251428A8">
            <w:pPr>
              <w:spacing w:before="156" w:beforeLines="50" w:after="156" w:afterLines="50" w:line="360" w:lineRule="auto"/>
              <w:rPr>
                <w:rFonts w:hint="eastAsia" w:asciiTheme="minorEastAsia" w:hAnsi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4"/>
              </w:rPr>
              <w:t>（</w:t>
            </w:r>
            <w:r>
              <w:rPr>
                <w:rFonts w:asciiTheme="minorEastAsia" w:hAnsiTheme="minorEastAsia"/>
                <w:bCs/>
                <w:color w:val="000000"/>
                <w:sz w:val="24"/>
              </w:rPr>
              <w:t>4</w:t>
            </w:r>
            <w:r>
              <w:rPr>
                <w:rFonts w:hint="eastAsia" w:asciiTheme="minorEastAsia" w:hAnsiTheme="minorEastAsia"/>
                <w:bCs/>
                <w:color w:val="000000"/>
                <w:sz w:val="24"/>
              </w:rPr>
              <w:t>）《四川宏达零售终端调研报告》</w:t>
            </w:r>
          </w:p>
          <w:p w14:paraId="4231C8A9">
            <w:pPr>
              <w:spacing w:line="360" w:lineRule="auto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 w:val="24"/>
              </w:rPr>
              <w:t>（</w:t>
            </w:r>
            <w:r>
              <w:rPr>
                <w:rFonts w:asciiTheme="minorEastAsia" w:hAnsiTheme="minorEastAsia"/>
                <w:bCs/>
                <w:color w:val="000000"/>
                <w:sz w:val="24"/>
              </w:rPr>
              <w:t>5</w:t>
            </w:r>
            <w:r>
              <w:rPr>
                <w:rFonts w:hint="eastAsia" w:asciiTheme="minorEastAsia" w:hAnsiTheme="minorEastAsia"/>
                <w:bCs/>
                <w:color w:val="000000"/>
                <w:sz w:val="24"/>
              </w:rPr>
              <w:t>）《四川宏达市场调研诊断报告》</w:t>
            </w:r>
          </w:p>
        </w:tc>
      </w:tr>
      <w:tr w14:paraId="2A0D84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3A86E4F">
            <w:pPr>
              <w:spacing w:line="360" w:lineRule="auto"/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673DAA5">
            <w:pPr>
              <w:spacing w:line="360" w:lineRule="auto"/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战略规划阶段</w:t>
            </w:r>
          </w:p>
        </w:tc>
        <w:tc>
          <w:tcPr>
            <w:tcW w:w="2693" w:type="dxa"/>
            <w:vAlign w:val="center"/>
          </w:tcPr>
          <w:p w14:paraId="2473CFB3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一、召开项目发展战略研讨会</w:t>
            </w:r>
          </w:p>
          <w:p w14:paraId="7E24668B">
            <w:pPr>
              <w:pStyle w:val="48"/>
              <w:spacing w:line="360" w:lineRule="auto"/>
              <w:ind w:firstLine="48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1.1 明确肥料板块战略发展瓶颈</w:t>
            </w:r>
          </w:p>
          <w:p w14:paraId="4CF06DE4">
            <w:pPr>
              <w:pStyle w:val="48"/>
              <w:spacing w:line="360" w:lineRule="auto"/>
              <w:ind w:firstLine="48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1.2 确定肥料板块发展蓝图</w:t>
            </w:r>
          </w:p>
          <w:p w14:paraId="4260A39B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二、宏达肥料板块战略规划</w:t>
            </w:r>
          </w:p>
          <w:p w14:paraId="748656B4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2.1资源布局战略</w:t>
            </w:r>
          </w:p>
          <w:p w14:paraId="05E57EDE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2.2生产基地布局战略</w:t>
            </w:r>
          </w:p>
          <w:p w14:paraId="7B6E4B32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2.3产能/产量布局战略</w:t>
            </w:r>
          </w:p>
          <w:p w14:paraId="7AA2C565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2.4产品销量布局战略</w:t>
            </w:r>
          </w:p>
          <w:p w14:paraId="0270061E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2.5市场渠道布局战略</w:t>
            </w:r>
          </w:p>
          <w:p w14:paraId="7AAEE055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2.6分销模式布局战略</w:t>
            </w:r>
          </w:p>
          <w:p w14:paraId="1EA65C9F">
            <w:pPr>
              <w:spacing w:line="360" w:lineRule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2.7组织团队布局战略</w:t>
            </w:r>
          </w:p>
        </w:tc>
        <w:tc>
          <w:tcPr>
            <w:tcW w:w="3969" w:type="dxa"/>
            <w:vAlign w:val="center"/>
          </w:tcPr>
          <w:p w14:paraId="17BD703B">
            <w:pPr>
              <w:spacing w:line="360" w:lineRule="auto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（6）《四川宏达肥料板块2026-2030发展战略规划》</w:t>
            </w:r>
          </w:p>
        </w:tc>
      </w:tr>
    </w:tbl>
    <w:p w14:paraId="7D60A702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b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b/>
          <w:snapToGrid w:val="0"/>
          <w:color w:val="000000"/>
          <w:kern w:val="0"/>
          <w:sz w:val="24"/>
        </w:rPr>
        <w:t>第二条 项目组织</w:t>
      </w:r>
    </w:p>
    <w:p w14:paraId="2A81C0BA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  <w:t>2.1 项目组成员由甲、乙双方共同组成。xxxx公司xxxxx人任项目组组长，项目组核心成员由甲乙双方协商确定。</w:t>
      </w:r>
    </w:p>
    <w:p w14:paraId="287BB429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  <w:t>2.2 项目组中甲方人员的主要职责是参与重要内容的研讨，负责组织甲方内部的相关会议和调研座谈，收集项目所需要的内部资料，安排及时付款等。</w:t>
      </w:r>
    </w:p>
    <w:p w14:paraId="22C96E17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  <w:t>2.3 项目组乙方人员的主要职责是计划、协调与甲方的配合事项，按照合同规定的咨询服务内容、时间进度等条款的要求，完成咨询服务。</w:t>
      </w:r>
    </w:p>
    <w:p w14:paraId="57BA11B9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  <w:t>2.4项目组组长对项目进度及项目质量直接把关。</w:t>
      </w:r>
    </w:p>
    <w:p w14:paraId="7C3BE7DE">
      <w:pPr>
        <w:adjustRightInd w:val="0"/>
        <w:snapToGrid w:val="0"/>
        <w:spacing w:before="156" w:beforeLines="50" w:line="360" w:lineRule="auto"/>
        <w:ind w:firstLine="482" w:firstLineChars="200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 xml:space="preserve">第三条 </w:t>
      </w:r>
      <w:r>
        <w:rPr>
          <w:rFonts w:asciiTheme="minorEastAsia" w:hAnsiTheme="minorEastAsia"/>
          <w:b/>
          <w:bCs/>
          <w:sz w:val="24"/>
        </w:rPr>
        <w:t>资料的保证和保密</w:t>
      </w:r>
    </w:p>
    <w:p w14:paraId="0AE82120">
      <w:pPr>
        <w:adjustRightInd w:val="0"/>
        <w:snapToGrid w:val="0"/>
        <w:spacing w:before="156" w:beforeLines="50" w:line="360" w:lineRule="auto"/>
        <w:ind w:right="-359" w:rightChars="-171"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</w:t>
      </w:r>
      <w:r>
        <w:rPr>
          <w:rFonts w:asciiTheme="minorEastAsia" w:hAnsiTheme="minorEastAsia"/>
          <w:sz w:val="24"/>
        </w:rPr>
        <w:t>.1乙方应保证调研资料的可靠性、最新性、代表性并保存原始资料，如甲方要求查阅时，乙方应无保留的提供。</w:t>
      </w:r>
    </w:p>
    <w:p w14:paraId="035C8A2E">
      <w:pPr>
        <w:adjustRightInd w:val="0"/>
        <w:snapToGrid w:val="0"/>
        <w:spacing w:before="156" w:beforeLines="50" w:line="360" w:lineRule="auto"/>
        <w:ind w:right="-359" w:rightChars="-171"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</w:t>
      </w:r>
      <w:r>
        <w:rPr>
          <w:rFonts w:asciiTheme="minorEastAsia" w:hAnsiTheme="minorEastAsia"/>
          <w:sz w:val="24"/>
        </w:rPr>
        <w:t>.2 甲乙双方均对对方提供的情况资料及咨询方法与工具承担保密义务。无论本合同是否变更、解除、终止，本条款长期有效。</w:t>
      </w:r>
    </w:p>
    <w:p w14:paraId="70CCD776">
      <w:pPr>
        <w:adjustRightInd w:val="0"/>
        <w:snapToGrid w:val="0"/>
        <w:spacing w:before="156" w:beforeLines="50" w:line="360" w:lineRule="auto"/>
        <w:ind w:right="-359" w:rightChars="-171"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</w:t>
      </w:r>
      <w:r>
        <w:rPr>
          <w:rFonts w:asciiTheme="minorEastAsia" w:hAnsiTheme="minorEastAsia"/>
          <w:sz w:val="24"/>
        </w:rPr>
        <w:t>.3 未经甲方</w:t>
      </w:r>
      <w:r>
        <w:rPr>
          <w:rFonts w:hint="eastAsia" w:asciiTheme="minorEastAsia" w:hAnsiTheme="minorEastAsia"/>
          <w:sz w:val="24"/>
        </w:rPr>
        <w:t>书面</w:t>
      </w:r>
      <w:r>
        <w:rPr>
          <w:rFonts w:asciiTheme="minorEastAsia" w:hAnsiTheme="minorEastAsia"/>
          <w:sz w:val="24"/>
        </w:rPr>
        <w:t>同意，乙方不得公开、引用甲方业务运行中的有关资料（财务、投资、人事</w:t>
      </w:r>
      <w:r>
        <w:rPr>
          <w:rFonts w:hint="eastAsia" w:asciiTheme="minorEastAsia" w:hAnsiTheme="minorEastAsia"/>
          <w:sz w:val="24"/>
        </w:rPr>
        <w:t>、运营</w:t>
      </w:r>
      <w:r>
        <w:rPr>
          <w:rFonts w:asciiTheme="minorEastAsia" w:hAnsiTheme="minorEastAsia"/>
          <w:sz w:val="24"/>
        </w:rPr>
        <w:t>等）</w:t>
      </w:r>
      <w:r>
        <w:rPr>
          <w:rFonts w:hint="eastAsia" w:asciiTheme="minorEastAsia" w:hAnsiTheme="minorEastAsia"/>
          <w:sz w:val="24"/>
        </w:rPr>
        <w:t>。否则，构成违约并承担违约责任</w:t>
      </w:r>
      <w:r>
        <w:rPr>
          <w:rFonts w:hint="eastAsia" w:asciiTheme="minorEastAsia" w:hAnsiTheme="minorEastAsia"/>
          <w:sz w:val="24"/>
          <w:lang w:eastAsia="zh-CN"/>
        </w:rPr>
        <w:t>，</w:t>
      </w:r>
      <w:r>
        <w:rPr>
          <w:rFonts w:hint="eastAsia" w:asciiTheme="minorEastAsia" w:hAnsiTheme="minorEastAsia"/>
          <w:sz w:val="24"/>
          <w:lang w:val="en-US" w:eastAsia="zh-CN"/>
        </w:rPr>
        <w:t>给甲方造成损失的</w:t>
      </w:r>
      <w:r>
        <w:rPr>
          <w:rFonts w:hint="eastAsia" w:asciiTheme="minorEastAsia" w:hAnsiTheme="minorEastAsia"/>
          <w:sz w:val="24"/>
        </w:rPr>
        <w:t>（包括但不限于对外承担的责任、因此支付的律师费、保全保险费、保全费、诉讼费等维权费用），由乙方全额赔偿。</w:t>
      </w:r>
    </w:p>
    <w:p w14:paraId="08619C2F">
      <w:pPr>
        <w:adjustRightInd w:val="0"/>
        <w:snapToGrid w:val="0"/>
        <w:spacing w:before="156" w:beforeLines="50" w:line="360" w:lineRule="auto"/>
        <w:ind w:firstLine="482" w:firstLineChars="200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第四条 咨询成果的归属和分享</w:t>
      </w:r>
    </w:p>
    <w:p w14:paraId="6AC74E38">
      <w:pPr>
        <w:spacing w:before="156" w:beforeLines="50"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/>
          <w:color w:val="auto"/>
          <w:sz w:val="24"/>
          <w:szCs w:val="32"/>
          <w:lang w:val="en-US" w:eastAsia="zh-CN"/>
        </w:rPr>
        <w:t>本项目咨询成果的知识产权归甲方单独所有，</w:t>
      </w:r>
      <w:r>
        <w:rPr>
          <w:rFonts w:hint="eastAsia" w:asciiTheme="minorEastAsia" w:hAnsiTheme="minorEastAsia"/>
          <w:color w:val="auto"/>
          <w:sz w:val="24"/>
          <w:szCs w:val="32"/>
        </w:rPr>
        <w:t>乙方</w:t>
      </w:r>
      <w:r>
        <w:rPr>
          <w:rFonts w:hint="eastAsia" w:asciiTheme="minorEastAsia" w:hAnsiTheme="minorEastAsia"/>
          <w:color w:val="auto"/>
          <w:sz w:val="24"/>
          <w:szCs w:val="32"/>
          <w:lang w:val="en-US" w:eastAsia="zh-CN"/>
        </w:rPr>
        <w:t>可在报告中</w:t>
      </w:r>
      <w:r>
        <w:rPr>
          <w:rFonts w:hint="eastAsia" w:asciiTheme="minorEastAsia" w:hAnsiTheme="minorEastAsia"/>
          <w:color w:val="auto"/>
          <w:sz w:val="24"/>
          <w:szCs w:val="32"/>
        </w:rPr>
        <w:t>署名。</w:t>
      </w:r>
      <w:r>
        <w:rPr>
          <w:rFonts w:hint="eastAsia" w:asciiTheme="minorEastAsia" w:hAnsiTheme="minorEastAsia"/>
          <w:color w:val="auto"/>
          <w:sz w:val="24"/>
          <w:szCs w:val="32"/>
          <w:lang w:val="en-US" w:eastAsia="zh-CN"/>
        </w:rPr>
        <w:t>乙方应当向甲方提供最终版本的咨询成果壹式【】份，并提供相应的电子版。</w:t>
      </w:r>
    </w:p>
    <w:p w14:paraId="14DD436D">
      <w:pPr>
        <w:spacing w:before="156" w:beforeLines="50" w:line="360" w:lineRule="auto"/>
        <w:ind w:firstLine="482" w:firstLineChars="200"/>
        <w:rPr>
          <w:rFonts w:hint="eastAsia" w:asciiTheme="minorEastAsia" w:hAnsiTheme="minorEastAsia"/>
          <w:b/>
          <w:bCs/>
          <w:sz w:val="24"/>
          <w:szCs w:val="32"/>
        </w:rPr>
      </w:pPr>
      <w:r>
        <w:rPr>
          <w:rFonts w:hint="eastAsia" w:asciiTheme="minorEastAsia" w:hAnsiTheme="minorEastAsia"/>
          <w:b/>
          <w:bCs/>
          <w:sz w:val="24"/>
          <w:szCs w:val="32"/>
        </w:rPr>
        <w:t xml:space="preserve">第五条 </w:t>
      </w:r>
      <w:r>
        <w:rPr>
          <w:rFonts w:asciiTheme="minorEastAsia" w:hAnsiTheme="minorEastAsia"/>
          <w:b/>
          <w:bCs/>
          <w:sz w:val="24"/>
          <w:szCs w:val="32"/>
        </w:rPr>
        <w:t>合同金额及支付方式</w:t>
      </w:r>
    </w:p>
    <w:p w14:paraId="70427F17">
      <w:pPr>
        <w:spacing w:line="48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</w:t>
      </w:r>
      <w:r>
        <w:rPr>
          <w:rFonts w:asciiTheme="minorEastAsia" w:hAnsiTheme="minorEastAsia"/>
          <w:sz w:val="24"/>
        </w:rPr>
        <w:t>.1 本项目服务费用</w:t>
      </w:r>
      <w:r>
        <w:rPr>
          <w:rFonts w:hint="eastAsia" w:asciiTheme="minorEastAsia" w:hAnsiTheme="minorEastAsia"/>
          <w:sz w:val="24"/>
        </w:rPr>
        <w:t>总价</w:t>
      </w:r>
      <w:r>
        <w:rPr>
          <w:rFonts w:asciiTheme="minorEastAsia" w:hAnsiTheme="minorEastAsia"/>
          <w:sz w:val="24"/>
        </w:rPr>
        <w:t>为</w:t>
      </w:r>
      <w:r>
        <w:rPr>
          <w:rFonts w:hint="eastAsia" w:asciiTheme="minorEastAsia" w:hAnsiTheme="minorEastAsia"/>
          <w:sz w:val="24"/>
        </w:rPr>
        <w:t>含税</w:t>
      </w:r>
      <w:r>
        <w:rPr>
          <w:rFonts w:asciiTheme="minorEastAsia" w:hAnsiTheme="minorEastAsia"/>
          <w:sz w:val="24"/>
        </w:rPr>
        <w:t>人民币</w:t>
      </w:r>
      <w:r>
        <w:rPr>
          <w:rFonts w:hint="eastAsia" w:asciiTheme="minorEastAsia" w:hAnsiTheme="minorEastAsia"/>
          <w:sz w:val="24"/>
          <w:u w:val="single"/>
        </w:rPr>
        <w:t>xxxxx（</w:t>
      </w:r>
      <w:r>
        <w:rPr>
          <w:rFonts w:asciiTheme="minorEastAsia" w:hAnsiTheme="minorEastAsia"/>
          <w:sz w:val="24"/>
        </w:rPr>
        <w:t xml:space="preserve">小写¥ </w:t>
      </w:r>
      <w:r>
        <w:rPr>
          <w:rFonts w:hint="eastAsia" w:asciiTheme="minorEastAsia" w:hAnsiTheme="minorEastAsia"/>
          <w:sz w:val="24"/>
          <w:u w:val="single"/>
        </w:rPr>
        <w:t>xxxxxx</w:t>
      </w:r>
      <w:r>
        <w:rPr>
          <w:rFonts w:asciiTheme="minorEastAsia" w:hAnsiTheme="minorEastAsia"/>
          <w:sz w:val="24"/>
        </w:rPr>
        <w:t>元</w:t>
      </w:r>
      <w:r>
        <w:rPr>
          <w:rFonts w:hint="eastAsia" w:asciiTheme="minorEastAsia" w:hAnsiTheme="minorEastAsia"/>
          <w:sz w:val="24"/>
        </w:rPr>
        <w:t>），税率6%</w:t>
      </w:r>
      <w:r>
        <w:rPr>
          <w:rFonts w:hint="eastAsia" w:asciiTheme="minorEastAsia" w:hAnsiTheme="minorEastAsia"/>
          <w:sz w:val="24"/>
          <w:lang w:eastAsia="zh-CN"/>
        </w:rPr>
        <w:t>（如遇国家税率政策变更，则不含税价款部分不变，含税价款按照新税率重新计算）</w:t>
      </w:r>
      <w:r>
        <w:rPr>
          <w:rFonts w:hint="eastAsia" w:asciiTheme="minorEastAsia" w:hAnsiTheme="minorEastAsia"/>
          <w:sz w:val="24"/>
        </w:rPr>
        <w:t>。</w:t>
      </w:r>
      <w:r>
        <w:rPr>
          <w:rFonts w:hint="eastAsia" w:asciiTheme="minorEastAsia" w:hAnsiTheme="minorEastAsia"/>
          <w:sz w:val="24"/>
          <w:lang w:val="en-US" w:eastAsia="zh-CN"/>
        </w:rPr>
        <w:t>甲方付款前，</w:t>
      </w:r>
      <w:r>
        <w:rPr>
          <w:rFonts w:hint="eastAsia" w:asciiTheme="minorEastAsia" w:hAnsiTheme="minorEastAsia"/>
          <w:sz w:val="24"/>
        </w:rPr>
        <w:t>乙方按照付款阶段分批次为甲方开具6%增值税专用发票，乙方未按照甲方要求开具合法有效的等额发票的，甲方有权不向乙方支付任何款项，且甲方不承担任何违约责任。具体付款方式如下：</w:t>
      </w:r>
    </w:p>
    <w:p w14:paraId="13287B8B">
      <w:pPr>
        <w:pStyle w:val="48"/>
        <w:widowControl/>
        <w:numPr>
          <w:ilvl w:val="0"/>
          <w:numId w:val="4"/>
        </w:numPr>
        <w:autoSpaceDE w:val="0"/>
        <w:autoSpaceDN w:val="0"/>
        <w:adjustRightInd w:val="0"/>
        <w:snapToGrid w:val="0"/>
        <w:spacing w:before="156" w:beforeLines="50" w:line="360" w:lineRule="auto"/>
        <w:ind w:right="-359" w:rightChars="-171" w:firstLineChars="0"/>
        <w:textAlignment w:val="baseline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本合同签订</w:t>
      </w:r>
      <w:r>
        <w:rPr>
          <w:rFonts w:hint="eastAsia" w:asciiTheme="minorEastAsia" w:hAnsiTheme="minorEastAsia"/>
          <w:sz w:val="24"/>
          <w:szCs w:val="24"/>
          <w:u w:val="single"/>
        </w:rPr>
        <w:t>5</w:t>
      </w:r>
      <w:r>
        <w:rPr>
          <w:rFonts w:hint="eastAsia" w:asciiTheme="minorEastAsia" w:hAnsiTheme="minorEastAsia"/>
          <w:sz w:val="24"/>
          <w:szCs w:val="24"/>
        </w:rPr>
        <w:t>个工作日内，甲方向乙方支付服务费用的50%，即人民币</w:t>
      </w:r>
      <w:r>
        <w:rPr>
          <w:rFonts w:hint="eastAsia" w:asciiTheme="minorEastAsia" w:hAnsiTheme="minorEastAsia"/>
          <w:b/>
          <w:bCs/>
          <w:sz w:val="24"/>
          <w:szCs w:val="24"/>
          <w:u w:val="single"/>
        </w:rPr>
        <w:t>xxxxxx整</w:t>
      </w:r>
      <w:r>
        <w:rPr>
          <w:rFonts w:hint="eastAsia" w:asciiTheme="minorEastAsia" w:hAnsiTheme="minorEastAsia"/>
          <w:sz w:val="24"/>
          <w:szCs w:val="24"/>
        </w:rPr>
        <w:t>（大写RMB），小写 （RMB）</w:t>
      </w:r>
      <w:r>
        <w:rPr>
          <w:rFonts w:hint="eastAsia" w:asciiTheme="minorEastAsia" w:hAnsiTheme="minorEastAsia"/>
          <w:b/>
          <w:bCs/>
          <w:sz w:val="24"/>
          <w:szCs w:val="24"/>
          <w:u w:val="single"/>
        </w:rPr>
        <w:t>¥xxxxx</w:t>
      </w:r>
      <w:r>
        <w:rPr>
          <w:rFonts w:hint="eastAsia" w:asciiTheme="minorEastAsia" w:hAnsiTheme="minorEastAsia"/>
          <w:sz w:val="24"/>
          <w:szCs w:val="24"/>
        </w:rPr>
        <w:t>元。</w:t>
      </w:r>
    </w:p>
    <w:p w14:paraId="602FE0BB">
      <w:pPr>
        <w:pStyle w:val="48"/>
        <w:widowControl/>
        <w:numPr>
          <w:ilvl w:val="0"/>
          <w:numId w:val="4"/>
        </w:numPr>
        <w:autoSpaceDE w:val="0"/>
        <w:autoSpaceDN w:val="0"/>
        <w:adjustRightInd w:val="0"/>
        <w:snapToGrid w:val="0"/>
        <w:spacing w:before="156" w:beforeLines="50" w:line="360" w:lineRule="auto"/>
        <w:ind w:right="-359" w:rightChars="-171" w:firstLineChars="0"/>
        <w:textAlignment w:val="baseline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2026年x月x日前，乙方完成项目全部工作内容，并通过甲方验收后</w:t>
      </w:r>
      <w:r>
        <w:rPr>
          <w:rFonts w:hint="eastAsia" w:asciiTheme="minorEastAsia" w:hAnsiTheme="minorEastAsia"/>
          <w:sz w:val="24"/>
          <w:szCs w:val="24"/>
          <w:lang w:eastAsia="zh-CN"/>
        </w:rPr>
        <w:t>【】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日内</w:t>
      </w:r>
      <w:r>
        <w:rPr>
          <w:rFonts w:hint="eastAsia" w:asciiTheme="minorEastAsia" w:hAnsiTheme="minorEastAsia"/>
          <w:sz w:val="24"/>
          <w:szCs w:val="24"/>
        </w:rPr>
        <w:t>，甲方向乙方支付服务费用50%,即人民币</w:t>
      </w:r>
      <w:r>
        <w:rPr>
          <w:rFonts w:hint="eastAsia" w:asciiTheme="minorEastAsia" w:hAnsiTheme="minorEastAsia"/>
          <w:b/>
          <w:bCs/>
          <w:sz w:val="24"/>
          <w:szCs w:val="24"/>
          <w:u w:val="single"/>
        </w:rPr>
        <w:t>XXXX万元整</w:t>
      </w:r>
      <w:r>
        <w:rPr>
          <w:rFonts w:hint="eastAsia" w:asciiTheme="minorEastAsia" w:hAnsiTheme="minorEastAsia"/>
          <w:sz w:val="24"/>
          <w:szCs w:val="24"/>
        </w:rPr>
        <w:t>（大写RMB），小写 （RMB）</w:t>
      </w:r>
      <w:r>
        <w:rPr>
          <w:rFonts w:hint="eastAsia" w:asciiTheme="minorEastAsia" w:hAnsiTheme="minorEastAsia"/>
          <w:b/>
          <w:bCs/>
          <w:sz w:val="24"/>
          <w:szCs w:val="24"/>
          <w:u w:val="single"/>
        </w:rPr>
        <w:t>¥XXXX万</w:t>
      </w:r>
      <w:r>
        <w:rPr>
          <w:rFonts w:hint="eastAsia" w:asciiTheme="minorEastAsia" w:hAnsiTheme="minorEastAsia"/>
          <w:sz w:val="24"/>
          <w:szCs w:val="24"/>
        </w:rPr>
        <w:t>元。</w:t>
      </w:r>
    </w:p>
    <w:p w14:paraId="7250954F">
      <w:pPr>
        <w:adjustRightInd w:val="0"/>
        <w:snapToGrid w:val="0"/>
        <w:spacing w:before="156" w:beforeLines="50" w:line="360" w:lineRule="auto"/>
        <w:ind w:left="420" w:right="-359" w:rightChars="-171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5.2 乙方指定公司账户</w:t>
      </w:r>
    </w:p>
    <w:p w14:paraId="033D0B08">
      <w:pPr>
        <w:adjustRightInd w:val="0"/>
        <w:snapToGrid w:val="0"/>
        <w:spacing w:before="156" w:beforeLines="50" w:line="360" w:lineRule="auto"/>
        <w:ind w:left="420" w:right="-359" w:rightChars="-171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户名：XXXXXXXXX</w:t>
      </w:r>
    </w:p>
    <w:p w14:paraId="27F9F3ED">
      <w:pPr>
        <w:adjustRightInd w:val="0"/>
        <w:snapToGrid w:val="0"/>
        <w:spacing w:before="156" w:beforeLines="50" w:line="360" w:lineRule="auto"/>
        <w:ind w:left="420" w:right="-359" w:rightChars="-171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账号：XXXXXXXXXX</w:t>
      </w:r>
    </w:p>
    <w:p w14:paraId="3BA42745">
      <w:pPr>
        <w:adjustRightInd w:val="0"/>
        <w:snapToGrid w:val="0"/>
        <w:spacing w:before="156" w:beforeLines="50" w:line="360" w:lineRule="auto"/>
        <w:ind w:left="420" w:right="-359" w:rightChars="-171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开户行：XXXXXXXXXXXX</w:t>
      </w:r>
    </w:p>
    <w:p w14:paraId="3121BC6D">
      <w:pPr>
        <w:adjustRightInd w:val="0"/>
        <w:snapToGrid w:val="0"/>
        <w:spacing w:before="156" w:beforeLines="50" w:line="360" w:lineRule="auto"/>
        <w:ind w:left="420" w:right="-359" w:rightChars="-171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5.3 其他费用</w:t>
      </w:r>
    </w:p>
    <w:p w14:paraId="4F75B2A6">
      <w:pPr>
        <w:adjustRightInd w:val="0"/>
        <w:snapToGrid w:val="0"/>
        <w:spacing w:before="156" w:beforeLines="50" w:line="360" w:lineRule="auto"/>
        <w:ind w:right="-359" w:rightChars="-171"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乙方为甲方展开的市场调研督察、培训、会议等差旅食宿费、往返甲方的差旅食宿等费用</w:t>
      </w:r>
      <w:r>
        <w:rPr>
          <w:rFonts w:hint="eastAsia" w:asciiTheme="minorEastAsia" w:hAnsiTheme="minorEastAsia"/>
          <w:sz w:val="24"/>
          <w:lang w:eastAsia="zh-CN"/>
        </w:rPr>
        <w:t>，</w:t>
      </w:r>
      <w:r>
        <w:rPr>
          <w:rFonts w:hint="eastAsia" w:asciiTheme="minorEastAsia" w:hAnsiTheme="minorEastAsia"/>
          <w:sz w:val="24"/>
        </w:rPr>
        <w:t>乙方应当将费用支付的凭证、发票等材料提供给甲方，经甲方对金额进行确认后，由甲方另行支付。</w:t>
      </w:r>
    </w:p>
    <w:p w14:paraId="2C46B591">
      <w:pPr>
        <w:adjustRightInd w:val="0"/>
        <w:snapToGrid w:val="0"/>
        <w:spacing w:before="156" w:beforeLines="50" w:line="360" w:lineRule="auto"/>
        <w:ind w:right="-359" w:rightChars="-171" w:firstLine="480" w:firstLineChars="200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5.4甲方认为乙方提供的服务不满足甲方要求的，甲方有权提出整改意见，乙方应根据甲方意见完成整改（如更换项目人员、加深调研深度及发展战略编制广度、深度等），若乙方经整改后仍无法达到甲方要求，甲方有权解除本合同。合同提前终止的，甲乙双方根据乙方实际工作情况协商结算服务费。</w:t>
      </w:r>
    </w:p>
    <w:p w14:paraId="266729F0">
      <w:pPr>
        <w:spacing w:before="156" w:beforeLines="50" w:line="360" w:lineRule="auto"/>
        <w:ind w:firstLine="482" w:firstLineChars="200"/>
        <w:rPr>
          <w:rFonts w:hint="eastAsia" w:asciiTheme="minorEastAsia" w:hAnsiTheme="minorEastAsia"/>
          <w:b/>
          <w:bCs/>
          <w:sz w:val="24"/>
          <w:szCs w:val="32"/>
        </w:rPr>
      </w:pPr>
      <w:r>
        <w:rPr>
          <w:rFonts w:hint="eastAsia" w:asciiTheme="minorEastAsia" w:hAnsiTheme="minorEastAsia"/>
          <w:b/>
          <w:bCs/>
          <w:sz w:val="24"/>
          <w:szCs w:val="32"/>
        </w:rPr>
        <w:t>第六条 协作事项</w:t>
      </w:r>
    </w:p>
    <w:p w14:paraId="5FD18698">
      <w:pPr>
        <w:spacing w:line="360" w:lineRule="auto"/>
        <w:ind w:right="-359" w:rightChars="-171" w:firstLine="480" w:firstLineChars="200"/>
        <w:rPr>
          <w:rFonts w:hint="eastAsia" w:asciiTheme="minorEastAsia" w:hAnsiTheme="minorEastAsia"/>
          <w:sz w:val="24"/>
          <w:szCs w:val="32"/>
        </w:rPr>
      </w:pPr>
      <w:r>
        <w:rPr>
          <w:rFonts w:asciiTheme="minorEastAsia" w:hAnsiTheme="minorEastAsia"/>
          <w:sz w:val="24"/>
          <w:szCs w:val="32"/>
        </w:rPr>
        <w:t>6.1在本咨询项目进行过程中，甲方应指定专人（必须为项目组成员）配合乙方的有关联络工作。</w:t>
      </w:r>
    </w:p>
    <w:p w14:paraId="109B1C7F">
      <w:pPr>
        <w:spacing w:before="156" w:beforeLines="50" w:line="360" w:lineRule="auto"/>
        <w:ind w:firstLine="480" w:firstLineChars="200"/>
        <w:rPr>
          <w:rFonts w:hint="eastAsia" w:asciiTheme="minorEastAsia" w:hAnsiTheme="minorEastAsia"/>
          <w:b/>
          <w:bCs/>
          <w:sz w:val="32"/>
          <w:szCs w:val="40"/>
        </w:rPr>
      </w:pPr>
      <w:r>
        <w:rPr>
          <w:rFonts w:asciiTheme="minorEastAsia" w:hAnsiTheme="minorEastAsia"/>
          <w:sz w:val="24"/>
          <w:szCs w:val="32"/>
        </w:rPr>
        <w:t>6.2 甲方负责组织所有相关的讨论及各种形式的研讨、汇报会。乙方负责会议的计划工作，对会议的与会人员、议题、时间以及期望达到的目的等，在会议前交由甲方确认。</w:t>
      </w:r>
    </w:p>
    <w:p w14:paraId="4580C813">
      <w:pPr>
        <w:spacing w:before="156" w:beforeLines="50" w:line="360" w:lineRule="auto"/>
        <w:ind w:firstLine="482" w:firstLineChars="200"/>
        <w:rPr>
          <w:rFonts w:hint="eastAsia" w:asciiTheme="minorEastAsia" w:hAnsiTheme="minorEastAsia"/>
          <w:b/>
          <w:bCs/>
          <w:sz w:val="24"/>
          <w:szCs w:val="32"/>
        </w:rPr>
      </w:pPr>
      <w:r>
        <w:rPr>
          <w:rFonts w:hint="eastAsia" w:asciiTheme="minorEastAsia" w:hAnsiTheme="minorEastAsia"/>
          <w:b/>
          <w:bCs/>
          <w:sz w:val="24"/>
          <w:szCs w:val="32"/>
        </w:rPr>
        <w:t>第七条 服务期限</w:t>
      </w:r>
    </w:p>
    <w:p w14:paraId="0E420F94">
      <w:pPr>
        <w:adjustRightInd w:val="0"/>
        <w:snapToGrid w:val="0"/>
        <w:spacing w:before="156" w:beforeLines="50" w:line="360" w:lineRule="auto"/>
        <w:ind w:right="-359" w:rightChars="-171"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本项目的服务期，自合同签订之日起，至2026年XX月XX日止。</w:t>
      </w:r>
    </w:p>
    <w:p w14:paraId="057A27B6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b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b/>
          <w:snapToGrid w:val="0"/>
          <w:color w:val="000000"/>
          <w:kern w:val="0"/>
          <w:sz w:val="24"/>
        </w:rPr>
        <w:t>第八条 争议解决</w:t>
      </w:r>
    </w:p>
    <w:p w14:paraId="01AEE00B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  <w:t>因本合同发生争议，甲方与乙方应及时协商解决。协商不成时，双方可向</w:t>
      </w: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  <w:u w:val="single"/>
        </w:rPr>
        <w:t xml:space="preserve">  甲方所在地  </w:t>
      </w: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  <w:t>人民法院提起诉讼。</w:t>
      </w:r>
    </w:p>
    <w:p w14:paraId="45AF945C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b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b/>
          <w:snapToGrid w:val="0"/>
          <w:color w:val="000000"/>
          <w:kern w:val="0"/>
          <w:sz w:val="24"/>
        </w:rPr>
        <w:t>第九条 合同生效及其他</w:t>
      </w:r>
    </w:p>
    <w:p w14:paraId="373DAAD6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  <w:t>9.1本合同双方盖章即生效，一式</w:t>
      </w: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  <w:u w:val="single"/>
        </w:rPr>
        <w:t xml:space="preserve"> 肆 </w:t>
      </w: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  <w:t>份，甲方</w:t>
      </w: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  <w:u w:val="single"/>
        </w:rPr>
        <w:t xml:space="preserve"> 贰 </w:t>
      </w: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  <w:t>份，乙方</w:t>
      </w: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  <w:u w:val="single"/>
        </w:rPr>
        <w:t xml:space="preserve"> 贰 </w:t>
      </w: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  <w:t>份，具有相同的法律效力。</w:t>
      </w:r>
    </w:p>
    <w:p w14:paraId="5773A563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  <w:t>9.2 由于不可抗力因素致使合同无法履行时，双方应及时协商解决。</w:t>
      </w:r>
    </w:p>
    <w:p w14:paraId="3A0B84F7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  <w:t>9.3未尽事宜，经双方协商一致，签订补充协议，补充协议与本合同具有同等法律效力。</w:t>
      </w:r>
    </w:p>
    <w:p w14:paraId="4F671414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  <w:t>（以下无正文）</w:t>
      </w:r>
    </w:p>
    <w:p w14:paraId="725517AD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</w:pPr>
    </w:p>
    <w:p w14:paraId="3A6A7962">
      <w:pPr>
        <w:adjustRightInd w:val="0"/>
        <w:snapToGrid w:val="0"/>
        <w:spacing w:before="156" w:beforeLines="50" w:line="360" w:lineRule="auto"/>
        <w:ind w:firstLine="525"/>
        <w:jc w:val="left"/>
        <w:rPr>
          <w:rFonts w:hint="eastAsia" w:asciiTheme="minorEastAsia" w:hAnsiTheme="minorEastAsia"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>甲方：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  <w:u w:val="single"/>
        </w:rPr>
        <w:t xml:space="preserve"> 四川宏达股份有限公司   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 xml:space="preserve">(盖章）                                           </w:t>
      </w:r>
    </w:p>
    <w:p w14:paraId="7ABADAC5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snapToGrid w:val="0"/>
          <w:color w:val="000000"/>
          <w:kern w:val="0"/>
          <w:sz w:val="24"/>
          <w:u w:val="single"/>
        </w:rPr>
      </w:pPr>
      <w:r>
        <w:rPr>
          <w:rFonts w:hint="eastAsia" w:asciiTheme="minorEastAsia" w:hAnsiTheme="minorEastAsia"/>
          <w:snapToGrid w:val="0"/>
          <w:color w:val="000000"/>
          <w:kern w:val="0"/>
          <w:sz w:val="24"/>
          <w:lang w:val="en-US" w:eastAsia="zh-CN"/>
        </w:rPr>
        <w:t>联系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>人：（签章）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  <w:u w:val="single"/>
        </w:rPr>
        <w:t xml:space="preserve">            </w:t>
      </w:r>
    </w:p>
    <w:p w14:paraId="6754305D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>日期：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  <w:u w:val="single"/>
        </w:rPr>
        <w:t xml:space="preserve"> </w:t>
      </w:r>
      <w:r>
        <w:rPr>
          <w:rFonts w:asciiTheme="minorEastAsia" w:hAnsiTheme="minorEastAsia"/>
          <w:snapToGrid w:val="0"/>
          <w:color w:val="000000"/>
          <w:kern w:val="0"/>
          <w:sz w:val="24"/>
          <w:u w:val="single"/>
        </w:rPr>
        <w:t xml:space="preserve">     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>年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  <w:u w:val="single"/>
        </w:rPr>
        <w:t xml:space="preserve">   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>月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  <w:u w:val="single"/>
        </w:rPr>
        <w:t xml:space="preserve">   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 xml:space="preserve">日 </w:t>
      </w:r>
    </w:p>
    <w:p w14:paraId="31783630">
      <w:pPr>
        <w:adjustRightInd w:val="0"/>
        <w:snapToGrid w:val="0"/>
        <w:spacing w:before="156" w:beforeLines="50" w:line="360" w:lineRule="auto"/>
        <w:rPr>
          <w:rFonts w:hint="eastAsia" w:asciiTheme="minorEastAsia" w:hAnsiTheme="minorEastAsia"/>
          <w:snapToGrid w:val="0"/>
          <w:color w:val="000000"/>
          <w:kern w:val="0"/>
          <w:sz w:val="24"/>
        </w:rPr>
      </w:pPr>
    </w:p>
    <w:p w14:paraId="42F33340">
      <w:pPr>
        <w:adjustRightInd w:val="0"/>
        <w:snapToGrid w:val="0"/>
        <w:spacing w:before="156" w:beforeLines="50" w:line="360" w:lineRule="auto"/>
        <w:ind w:firstLine="465"/>
        <w:jc w:val="left"/>
        <w:rPr>
          <w:rFonts w:hint="eastAsia" w:asciiTheme="minorEastAsia" w:hAnsiTheme="minorEastAsia"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>乙方：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  <w:u w:val="single"/>
        </w:rPr>
        <w:t xml:space="preserve"> XXXXXXXX公司  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>（盖章）</w:t>
      </w:r>
    </w:p>
    <w:p w14:paraId="1413745C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snapToGrid w:val="0"/>
          <w:color w:val="000000"/>
          <w:kern w:val="0"/>
          <w:sz w:val="24"/>
          <w:u w:val="single"/>
        </w:rPr>
      </w:pP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>法定代表人/委托代理人：（签名）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  <w:u w:val="single"/>
        </w:rPr>
        <w:t xml:space="preserve">            </w:t>
      </w:r>
    </w:p>
    <w:p w14:paraId="28A50272">
      <w:pPr>
        <w:adjustRightInd w:val="0"/>
        <w:snapToGrid w:val="0"/>
        <w:spacing w:before="156" w:beforeLines="50" w:line="360" w:lineRule="auto"/>
        <w:ind w:firstLine="465"/>
        <w:rPr>
          <w:rFonts w:hint="eastAsia" w:asciiTheme="minorEastAsia" w:hAnsiTheme="minorEastAsia"/>
          <w:bCs/>
          <w:snapToGrid w:val="0"/>
          <w:color w:val="000000"/>
          <w:kern w:val="0"/>
          <w:sz w:val="24"/>
        </w:rPr>
      </w:pP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>日期：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  <w:u w:val="single"/>
        </w:rPr>
        <w:t xml:space="preserve">     </w:t>
      </w:r>
      <w:r>
        <w:rPr>
          <w:rFonts w:asciiTheme="minorEastAsia" w:hAnsiTheme="minorEastAsia"/>
          <w:snapToGrid w:val="0"/>
          <w:color w:val="000000"/>
          <w:kern w:val="0"/>
          <w:sz w:val="24"/>
          <w:u w:val="single"/>
        </w:rPr>
        <w:t xml:space="preserve"> 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>年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  <w:u w:val="single"/>
        </w:rPr>
        <w:t xml:space="preserve">   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>月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  <w:u w:val="single"/>
        </w:rPr>
        <w:t xml:space="preserve">   </w:t>
      </w:r>
      <w:r>
        <w:rPr>
          <w:rFonts w:hint="eastAsia" w:asciiTheme="minorEastAsia" w:hAnsiTheme="minorEastAsia"/>
          <w:snapToGrid w:val="0"/>
          <w:color w:val="000000"/>
          <w:kern w:val="0"/>
          <w:sz w:val="24"/>
        </w:rPr>
        <w:t xml:space="preserve">日     </w:t>
      </w:r>
    </w:p>
    <w:p w14:paraId="1CC46E47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2B6BD6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E64899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5F7D16C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3A3282D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BEC7982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1EAE2EE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F838B20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CC0EE5D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84B06AB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FA237B2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5488BC2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F41345B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11FE615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044B90D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6608165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0E6BA07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DBAD8BA">
      <w:pPr>
        <w:widowControl/>
        <w:jc w:val="lef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DC0D0A9">
      <w:pPr>
        <w:widowControl/>
        <w:jc w:val="left"/>
        <w:rPr>
          <w:rFonts w:hint="eastAsia" w:ascii="宋体" w:hAnsi="宋体"/>
          <w:kern w:val="0"/>
          <w:szCs w:val="21"/>
        </w:rPr>
      </w:pPr>
    </w:p>
    <w:p w14:paraId="16DFE2E5">
      <w:pPr>
        <w:ind w:firstLine="640" w:firstLineChars="200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第三章</w:t>
      </w:r>
    </w:p>
    <w:p w14:paraId="711C438E">
      <w:pPr>
        <w:ind w:firstLine="640" w:firstLineChars="200"/>
        <w:jc w:val="center"/>
        <w:rPr>
          <w:rFonts w:hint="eastAsia"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hint="eastAsia" w:ascii="黑体" w:hAnsi="黑体" w:eastAsia="黑体" w:cs="宋体"/>
          <w:sz w:val="44"/>
          <w:szCs w:val="44"/>
          <w:u w:val="single"/>
        </w:rPr>
      </w:pPr>
    </w:p>
    <w:p w14:paraId="5E50F26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hint="eastAsia"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四川</w:t>
      </w:r>
      <w:r>
        <w:rPr>
          <w:rFonts w:hint="eastAsia" w:ascii="黑体" w:hAnsi="黑体" w:eastAsia="黑体" w:cs="宋体"/>
          <w:sz w:val="40"/>
          <w:szCs w:val="40"/>
        </w:rPr>
        <w:t>宏达股份</w:t>
      </w: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有限公司什邡</w:t>
      </w:r>
      <w:r>
        <w:rPr>
          <w:rFonts w:hint="eastAsia" w:ascii="黑体" w:hAnsi="黑体" w:eastAsia="黑体" w:cs="宋体"/>
          <w:sz w:val="40"/>
          <w:szCs w:val="40"/>
        </w:rPr>
        <w:t>磷化工分公司</w:t>
      </w: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hint="eastAsia" w:ascii="黑体" w:hAnsi="黑体" w:eastAsia="黑体" w:cs="宋体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sz w:val="40"/>
          <w:szCs w:val="40"/>
        </w:rPr>
        <w:t>复肥战略发展规划咨询服务</w:t>
      </w: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项目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hint="eastAsia"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hint="eastAsia"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hint="eastAsia"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hint="eastAsia"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hint="eastAsia"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hint="eastAsia"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hint="eastAsia"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hint="eastAsia"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hint="eastAsia" w:ascii="楷体_GB2312" w:hAnsi="宋体" w:eastAsia="楷体_GB2312"/>
          <w:sz w:val="36"/>
          <w:szCs w:val="36"/>
        </w:rPr>
      </w:pPr>
    </w:p>
    <w:p w14:paraId="0091A756">
      <w:pPr>
        <w:ind w:firstLine="1285" w:firstLineChars="400"/>
        <w:rPr>
          <w:rFonts w:hint="eastAsia" w:ascii="新宋体" w:hAnsi="新宋体" w:eastAsia="楷体_GB2312" w:cs="新宋体"/>
          <w:b/>
          <w:sz w:val="32"/>
          <w:u w:val="single"/>
        </w:rPr>
      </w:pPr>
    </w:p>
    <w:p w14:paraId="25B4D473">
      <w:pPr>
        <w:ind w:firstLine="720" w:firstLineChars="200"/>
        <w:rPr>
          <w:rFonts w:hint="eastAsia" w:ascii="楷体_GB2312" w:hAnsi="宋体" w:eastAsia="楷体_GB2312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bookmarkStart w:id="17" w:name="_Toc9978"/>
      <w:bookmarkStart w:id="18" w:name="_Toc4384"/>
      <w:bookmarkStart w:id="19" w:name="_Toc30198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一、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报价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函</w:t>
      </w:r>
      <w:bookmarkEnd w:id="17"/>
      <w:bookmarkEnd w:id="18"/>
      <w:bookmarkEnd w:id="19"/>
    </w:p>
    <w:p w14:paraId="690A7465">
      <w:pPr>
        <w:spacing w:line="560" w:lineRule="exact"/>
        <w:ind w:firstLine="480" w:firstLineChars="200"/>
        <w:rPr>
          <w:rFonts w:hint="eastAsia"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</w:t>
      </w:r>
      <w:r>
        <w:rPr>
          <w:rFonts w:hint="eastAsia" w:cs="宋体" w:asciiTheme="minorEastAsia" w:hAnsiTheme="minorEastAsia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(比选申请人名称)</w:t>
      </w:r>
      <w:r>
        <w:rPr>
          <w:rFonts w:hint="eastAsia" w:asciiTheme="minorEastAsia" w:hAnsiTheme="minorEastAsia"/>
          <w:szCs w:val="21"/>
        </w:rPr>
        <w:t>：</w:t>
      </w:r>
    </w:p>
    <w:p w14:paraId="7354C7EB">
      <w:pPr>
        <w:pStyle w:val="51"/>
        <w:numPr>
          <w:ilvl w:val="0"/>
          <w:numId w:val="5"/>
        </w:numPr>
        <w:adjustRightInd w:val="0"/>
        <w:snapToGrid w:val="0"/>
        <w:spacing w:line="560" w:lineRule="exact"/>
        <w:ind w:firstLine="480"/>
        <w:jc w:val="both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我方已仔细研究了</w:t>
      </w:r>
      <w:r>
        <w:rPr>
          <w:rFonts w:hint="eastAsia" w:asciiTheme="minorEastAsia" w:hAnsiTheme="minorEastAsia"/>
          <w:bCs/>
        </w:rPr>
        <w:t>(</w:t>
      </w:r>
      <w:r>
        <w:rPr>
          <w:rFonts w:hint="eastAsia" w:asciiTheme="minorEastAsia" w:hAnsiTheme="minorEastAsia"/>
          <w:u w:val="single"/>
        </w:rPr>
        <w:t xml:space="preserve">           </w:t>
      </w:r>
      <w:r>
        <w:rPr>
          <w:rFonts w:hint="eastAsia" w:asciiTheme="minorEastAsia" w:hAnsiTheme="minorEastAsia"/>
        </w:rPr>
        <w:t xml:space="preserve"> ) 比选文件(包括补充通知的全部内容，愿意</w:t>
      </w:r>
      <w:r>
        <w:rPr>
          <w:rFonts w:hint="eastAsia" w:cs="Arial" w:asciiTheme="minorEastAsia" w:hAnsiTheme="minorEastAsia"/>
          <w:bCs/>
          <w:szCs w:val="21"/>
        </w:rPr>
        <w:t>以含税人民币大写：</w:t>
      </w:r>
      <w:r>
        <w:rPr>
          <w:rFonts w:hint="eastAsia" w:cs="Arial" w:asciiTheme="minorEastAsia" w:hAnsiTheme="minorEastAsia"/>
          <w:bCs/>
          <w:szCs w:val="21"/>
          <w:u w:val="single"/>
        </w:rPr>
        <w:t xml:space="preserve">          </w:t>
      </w:r>
      <w:r>
        <w:rPr>
          <w:rFonts w:hint="eastAsia" w:cs="Arial" w:asciiTheme="minorEastAsia" w:hAnsiTheme="minorEastAsia"/>
          <w:bCs/>
          <w:szCs w:val="21"/>
        </w:rPr>
        <w:t>元</w:t>
      </w:r>
      <w:r>
        <w:rPr>
          <w:rFonts w:eastAsia="宋体"/>
          <w:spacing w:val="-3"/>
        </w:rPr>
        <w:t>（¥</w:t>
      </w:r>
      <w:r>
        <w:rPr>
          <w:rFonts w:hint="eastAsia" w:eastAsia="宋体"/>
          <w:spacing w:val="-3"/>
        </w:rPr>
        <w:t>：</w:t>
      </w:r>
      <w:r>
        <w:rPr>
          <w:rFonts w:eastAsia="宋体"/>
          <w:spacing w:val="-3"/>
          <w:u w:val="single"/>
        </w:rPr>
        <w:tab/>
      </w:r>
      <w:r>
        <w:rPr>
          <w:rFonts w:eastAsia="宋体"/>
          <w:spacing w:val="-3"/>
          <w:u w:val="single"/>
        </w:rPr>
        <w:t xml:space="preserve">            </w:t>
      </w:r>
      <w:r>
        <w:rPr>
          <w:rFonts w:eastAsia="宋体"/>
          <w:spacing w:val="-3"/>
        </w:rPr>
        <w:t>元</w:t>
      </w:r>
      <w:r>
        <w:rPr>
          <w:rFonts w:eastAsia="宋体"/>
          <w:spacing w:val="-13"/>
        </w:rPr>
        <w:t>）</w:t>
      </w:r>
      <w:r>
        <w:rPr>
          <w:rFonts w:hint="eastAsia" w:asciiTheme="minorEastAsia" w:hAnsiTheme="minorEastAsia"/>
          <w:bCs/>
        </w:rPr>
        <w:t>（其中增值</w:t>
      </w:r>
      <w:r>
        <w:rPr>
          <w:rFonts w:hint="eastAsia" w:asciiTheme="minorEastAsia" w:hAnsiTheme="minorEastAsia"/>
        </w:rPr>
        <w:t>税税率为</w:t>
      </w:r>
      <w:r>
        <w:rPr>
          <w:rFonts w:hint="eastAsia" w:asciiTheme="minorEastAsia" w:hAnsiTheme="minorEastAsia"/>
          <w:u w:val="single"/>
        </w:rPr>
        <w:t xml:space="preserve">     </w:t>
      </w:r>
      <w:r>
        <w:rPr>
          <w:rFonts w:hint="eastAsia" w:asciiTheme="minorEastAsia" w:hAnsiTheme="minorEastAsia"/>
        </w:rPr>
        <w:t>%）的比选总报价，交货期限：</w:t>
      </w:r>
      <w:r>
        <w:rPr>
          <w:rFonts w:hint="eastAsia" w:asciiTheme="minorEastAsia" w:hAnsiTheme="minorEastAsia"/>
          <w:u w:val="single"/>
        </w:rPr>
        <w:t xml:space="preserve">          </w:t>
      </w:r>
      <w:r>
        <w:rPr>
          <w:rFonts w:hint="eastAsia" w:asciiTheme="minorEastAsia" w:hAnsiTheme="minorEastAsia"/>
        </w:rPr>
        <w:t>，按比选文件规定的条件和要求承担合同规定的全部工作，并承担相关的责任，质量验收标准：</w:t>
      </w:r>
      <w:r>
        <w:rPr>
          <w:rFonts w:hint="eastAsia" w:asciiTheme="minorEastAsia" w:hAnsiTheme="minorEastAsia"/>
          <w:u w:val="single"/>
        </w:rPr>
        <w:t xml:space="preserve">                    </w:t>
      </w:r>
      <w:r>
        <w:rPr>
          <w:rFonts w:hint="eastAsia" w:asciiTheme="minorEastAsia" w:hAnsiTheme="minorEastAsia"/>
        </w:rPr>
        <w:t>。</w:t>
      </w:r>
    </w:p>
    <w:p w14:paraId="0B8FD28D">
      <w:pPr>
        <w:widowControl/>
        <w:numPr>
          <w:ilvl w:val="0"/>
          <w:numId w:val="5"/>
        </w:num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我公司承诺在投标有效期</w:t>
      </w:r>
      <w:r>
        <w:rPr>
          <w:rFonts w:hint="eastAsia" w:asciiTheme="minorEastAsia" w:hAnsiTheme="minorEastAsia"/>
          <w:sz w:val="24"/>
          <w:szCs w:val="24"/>
          <w:u w:val="single"/>
        </w:rPr>
        <w:t>30</w:t>
      </w:r>
      <w:r>
        <w:rPr>
          <w:rFonts w:hint="eastAsia" w:asciiTheme="minorEastAsia" w:hAnsiTheme="minorEastAsia"/>
          <w:sz w:val="24"/>
          <w:szCs w:val="24"/>
        </w:rPr>
        <w:t>日历天内不修改、撤销比选文件。</w:t>
      </w:r>
    </w:p>
    <w:p w14:paraId="7B2E6878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3、如我方中标，我方承诺：</w:t>
      </w:r>
    </w:p>
    <w:p w14:paraId="6A573A08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4E2AD6D6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7AD4F29B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</w:rPr>
        <w:t>。（其他补充说明）。</w:t>
      </w:r>
    </w:p>
    <w:p w14:paraId="3671B1F5">
      <w:pPr>
        <w:spacing w:line="560" w:lineRule="exact"/>
        <w:ind w:firstLine="420" w:firstLineChars="200"/>
        <w:rPr>
          <w:rFonts w:hint="eastAsia" w:asciiTheme="minorEastAsia" w:hAnsiTheme="minorEastAsia"/>
          <w:szCs w:val="21"/>
        </w:rPr>
      </w:pPr>
    </w:p>
    <w:p w14:paraId="2E8D299E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</w:p>
    <w:p w14:paraId="550B9DCF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（盖单位章）</w:t>
      </w:r>
    </w:p>
    <w:p w14:paraId="2CA36C70">
      <w:pPr>
        <w:spacing w:line="56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</w:t>
      </w:r>
    </w:p>
    <w:p w14:paraId="7FF0CDEC">
      <w:pPr>
        <w:spacing w:line="560" w:lineRule="exact"/>
        <w:ind w:firstLine="48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p w14:paraId="01C3211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1C2AABFA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 w14:paraId="209F5516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 w14:paraId="54E30676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 w14:paraId="29DB1B23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 w14:paraId="770A0F83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 w14:paraId="51F8F97C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 w14:paraId="12E803F1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 w14:paraId="5BD693C7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 w14:paraId="72D0BC52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 w14:paraId="7A19F0A8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 w14:paraId="0F7017DE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 w14:paraId="078365C6">
      <w:pPr>
        <w:ind w:firstLine="562" w:firstLineChars="200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二、拟派人员清单</w:t>
      </w:r>
    </w:p>
    <w:p w14:paraId="58E715DE">
      <w:pPr>
        <w:pStyle w:val="35"/>
        <w:spacing w:before="120" w:line="480" w:lineRule="exact"/>
        <w:rPr>
          <w:rFonts w:hint="eastAsia" w:asciiTheme="minorEastAsia" w:hAnsiTheme="minorEastAsia"/>
          <w:sz w:val="32"/>
          <w:szCs w:val="32"/>
        </w:rPr>
        <w:sectPr>
          <w:footerReference r:id="rId6" w:type="default"/>
          <w:pgSz w:w="11906" w:h="16838"/>
          <w:pgMar w:top="1361" w:right="1134" w:bottom="1361" w:left="1134" w:header="851" w:footer="992" w:gutter="0"/>
          <w:cols w:space="0" w:num="1"/>
          <w:docGrid w:linePitch="312" w:charSpace="0"/>
        </w:sectPr>
      </w:pPr>
      <w:r>
        <w:rPr>
          <w:rFonts w:hint="eastAsia"/>
        </w:rPr>
        <w:t xml:space="preserve">      </w:t>
      </w:r>
      <w:bookmarkStart w:id="20" w:name="_GoBack"/>
      <w:bookmarkEnd w:id="20"/>
    </w:p>
    <w:p w14:paraId="69780875">
      <w:pPr>
        <w:widowControl/>
        <w:spacing w:line="360" w:lineRule="auto"/>
        <w:rPr>
          <w:rFonts w:hint="eastAsia"/>
        </w:rPr>
      </w:pPr>
    </w:p>
    <w:p w14:paraId="55F3F5AD">
      <w:pPr>
        <w:spacing w:line="360" w:lineRule="auto"/>
        <w:ind w:firstLine="562" w:firstLineChars="200"/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4FF69AE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致：</w:t>
      </w:r>
    </w:p>
    <w:p w14:paraId="19BD65C6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（项目名称）的投标，现郑重作出以下承诺：</w:t>
      </w:r>
    </w:p>
    <w:p w14:paraId="78979909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08E6C21A">
      <w:pPr>
        <w:spacing w:line="360" w:lineRule="auto"/>
        <w:ind w:left="420" w:leftChars="200"/>
        <w:rPr>
          <w:rFonts w:hint="eastAsia"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1D9D61FC">
      <w:pPr>
        <w:spacing w:line="360" w:lineRule="auto"/>
        <w:ind w:left="420" w:leftChars="200"/>
        <w:rPr>
          <w:rFonts w:hint="eastAsia"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F2BCF8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3CDF342D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14E4E47A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一旦我方中标，愿意按照招标文件和招标人的规定和要求签订服务合同，并信守合同、保证质量、如期交货。</w:t>
      </w:r>
    </w:p>
    <w:p w14:paraId="673ECDF3">
      <w:pPr>
        <w:spacing w:line="360" w:lineRule="auto"/>
        <w:ind w:firstLine="420" w:firstLineChars="200"/>
        <w:rPr>
          <w:rFonts w:hint="eastAsia" w:ascii="宋体" w:hAnsi="宋体"/>
        </w:rPr>
      </w:pPr>
    </w:p>
    <w:p w14:paraId="693B3106">
      <w:pPr>
        <w:spacing w:line="360" w:lineRule="auto"/>
        <w:ind w:left="420" w:leftChars="200"/>
        <w:rPr>
          <w:rFonts w:hint="eastAsia" w:ascii="宋体" w:hAnsi="宋体"/>
        </w:rPr>
      </w:pPr>
    </w:p>
    <w:p w14:paraId="1B7420F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1D6B210D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0DB0404">
      <w:pPr>
        <w:spacing w:line="360" w:lineRule="auto"/>
        <w:ind w:firstLine="4200" w:firstLineChars="2000"/>
        <w:rPr>
          <w:rFonts w:hint="eastAsia"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D019534">
      <w:pPr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int="eastAsia" w:hAnsi="宋体" w:cs="宋体"/>
          <w:b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075313E"/>
    <w:multiLevelType w:val="multilevel"/>
    <w:tmpl w:val="3075313E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B1E2247"/>
    <w:multiLevelType w:val="multilevel"/>
    <w:tmpl w:val="3B1E2247"/>
    <w:lvl w:ilvl="0" w:tentative="0">
      <w:start w:val="1"/>
      <w:numFmt w:val="japaneseCounting"/>
      <w:lvlText w:val="第%1条"/>
      <w:lvlJc w:val="left"/>
      <w:pPr>
        <w:ind w:left="1442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abstractNum w:abstractNumId="3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84A4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3F75A7"/>
    <w:rsid w:val="00400BA6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3ADB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44E8F"/>
    <w:rsid w:val="00952C4B"/>
    <w:rsid w:val="00953BFF"/>
    <w:rsid w:val="00961BCB"/>
    <w:rsid w:val="00966557"/>
    <w:rsid w:val="00973E4D"/>
    <w:rsid w:val="00976E16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84EA0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B00E2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55609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2A2915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C6B0E0F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6D451C7"/>
    <w:rsid w:val="172F5937"/>
    <w:rsid w:val="17660053"/>
    <w:rsid w:val="177C482D"/>
    <w:rsid w:val="18B057C0"/>
    <w:rsid w:val="190E59FE"/>
    <w:rsid w:val="19393A07"/>
    <w:rsid w:val="1A294B27"/>
    <w:rsid w:val="1A683441"/>
    <w:rsid w:val="1C4C57FF"/>
    <w:rsid w:val="1D64697C"/>
    <w:rsid w:val="1D7B132A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182EAE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35DCA"/>
    <w:rsid w:val="2C0635BA"/>
    <w:rsid w:val="2C612895"/>
    <w:rsid w:val="2C640943"/>
    <w:rsid w:val="2C672453"/>
    <w:rsid w:val="2EC03E0B"/>
    <w:rsid w:val="2EE64169"/>
    <w:rsid w:val="300E355A"/>
    <w:rsid w:val="30337F16"/>
    <w:rsid w:val="30464A25"/>
    <w:rsid w:val="3082583C"/>
    <w:rsid w:val="30EC3990"/>
    <w:rsid w:val="319B6BB5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6A108F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567E34"/>
    <w:rsid w:val="3D826E7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7D214A"/>
    <w:rsid w:val="44A00219"/>
    <w:rsid w:val="45367494"/>
    <w:rsid w:val="45877724"/>
    <w:rsid w:val="45EA380F"/>
    <w:rsid w:val="467A2DE5"/>
    <w:rsid w:val="470A03A4"/>
    <w:rsid w:val="47F46EAE"/>
    <w:rsid w:val="48724017"/>
    <w:rsid w:val="48750F6C"/>
    <w:rsid w:val="492B4B3C"/>
    <w:rsid w:val="4A185620"/>
    <w:rsid w:val="4A6F4C2B"/>
    <w:rsid w:val="4AEA6060"/>
    <w:rsid w:val="4B964C95"/>
    <w:rsid w:val="4BDF7931"/>
    <w:rsid w:val="4BEA4569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05E6E7C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5516FAF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1455EC"/>
    <w:rsid w:val="72F9402A"/>
    <w:rsid w:val="733A4279"/>
    <w:rsid w:val="74125240"/>
    <w:rsid w:val="74D06143"/>
    <w:rsid w:val="74E53270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CDE5175"/>
    <w:rsid w:val="7D902913"/>
    <w:rsid w:val="7DA00113"/>
    <w:rsid w:val="7DC46119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字符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字符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26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3328</Words>
  <Characters>3651</Characters>
  <Lines>31</Lines>
  <Paragraphs>8</Paragraphs>
  <TotalTime>1</TotalTime>
  <ScaleCrop>false</ScaleCrop>
  <LinksUpToDate>false</LinksUpToDate>
  <CharactersWithSpaces>4290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Zoe、柒柒ღ</cp:lastModifiedBy>
  <dcterms:modified xsi:type="dcterms:W3CDTF">2026-03-06T06:24:45Z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eyJoZGlkIjoiYjQwM2VlNzQ5NjExNTBhODlhNjBjOGIwNDY3NTY1MWIiLCJ1c2VySWQiOiI5MDQzMTcxOTcifQ==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