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E571F5D">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四川宏达股份有限公司</w:t>
      </w:r>
    </w:p>
    <w:p w14:paraId="3E5A19FE">
      <w:pPr>
        <w:autoSpaceDE w:val="0"/>
        <w:autoSpaceDN w:val="0"/>
        <w:adjustRightInd w:val="0"/>
        <w:spacing w:before="100" w:after="100"/>
        <w:jc w:val="center"/>
        <w:rPr>
          <w:rFonts w:hint="eastAsia" w:ascii="黑体" w:hAnsi="黑体" w:eastAsia="黑体" w:cs="黑体"/>
          <w:color w:val="auto"/>
          <w:sz w:val="36"/>
          <w:szCs w:val="36"/>
          <w:highlight w:val="none"/>
          <w:lang w:val="zh-CN"/>
        </w:rPr>
      </w:pPr>
      <w:r>
        <w:rPr>
          <w:rFonts w:hint="eastAsia" w:ascii="黑体" w:hAnsi="黑体" w:eastAsia="黑体" w:cs="黑体"/>
          <w:b/>
          <w:bCs/>
          <w:color w:val="auto"/>
          <w:sz w:val="36"/>
          <w:szCs w:val="36"/>
          <w:highlight w:val="none"/>
          <w:lang w:val="en-US" w:eastAsia="zh-CN"/>
        </w:rPr>
        <w:t>电缆采购</w:t>
      </w:r>
    </w:p>
    <w:p w14:paraId="1BA3312B">
      <w:pPr>
        <w:pStyle w:val="5"/>
        <w:tabs>
          <w:tab w:val="left" w:pos="2499"/>
          <w:tab w:val="center" w:pos="5198"/>
        </w:tabs>
        <w:jc w:val="right"/>
        <w:rPr>
          <w:rFonts w:hint="eastAsia" w:ascii="黑体" w:hAnsi="黑体" w:eastAsia="黑体" w:cs="宋体"/>
          <w:b/>
          <w:color w:val="auto"/>
          <w:kern w:val="0"/>
          <w:sz w:val="32"/>
          <w:szCs w:val="32"/>
          <w:lang w:val="en-US" w:eastAsia="zh-CN"/>
        </w:rPr>
      </w:pPr>
    </w:p>
    <w:p w14:paraId="618F2EF8">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6B616BDD">
      <w:pPr>
        <w:pStyle w:val="5"/>
        <w:tabs>
          <w:tab w:val="left" w:pos="2499"/>
          <w:tab w:val="center" w:pos="5198"/>
        </w:tabs>
        <w:jc w:val="center"/>
        <w:rPr>
          <w:rFonts w:hint="default"/>
          <w:color w:val="FF0000"/>
          <w:lang w:val="en-US" w:eastAsia="zh-CN"/>
        </w:rPr>
      </w:pPr>
      <w:r>
        <w:rPr>
          <w:rFonts w:hint="eastAsia" w:ascii="黑体" w:hAnsi="黑体" w:eastAsia="黑体" w:cs="宋体"/>
          <w:b/>
          <w:color w:val="auto"/>
          <w:kern w:val="0"/>
          <w:sz w:val="32"/>
          <w:szCs w:val="32"/>
          <w:lang w:val="en-US" w:eastAsia="zh-CN"/>
        </w:rPr>
        <w:t>编号：SFLHG-GKBX-2026-HW11</w:t>
      </w:r>
    </w:p>
    <w:p w14:paraId="7AE55A23">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sz w:val="30"/>
          <w:szCs w:val="30"/>
          <w:highlight w:val="non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2</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27</w:t>
      </w:r>
      <w:r>
        <w:rPr>
          <w:rFonts w:hint="eastAsia" w:cs="黑体" w:asciiTheme="minorEastAsia" w:hAnsiTheme="minorEastAsia" w:eastAsiaTheme="minorEastAsia"/>
          <w:b/>
          <w:bCs/>
          <w:sz w:val="30"/>
          <w:szCs w:val="30"/>
          <w:highlight w:val="none"/>
          <w:lang w:val="en-US" w:eastAsia="zh-CN"/>
        </w:rPr>
        <w:t>日</w:t>
      </w:r>
    </w:p>
    <w:p w14:paraId="08529DF2">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第一章 四川宏达股份有限公司</w:t>
      </w:r>
    </w:p>
    <w:p w14:paraId="3C2905FA">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电缆采购比选文件</w:t>
      </w:r>
    </w:p>
    <w:p w14:paraId="3F352E2A">
      <w:pPr>
        <w:pStyle w:val="5"/>
        <w:tabs>
          <w:tab w:val="left" w:pos="2499"/>
          <w:tab w:val="center" w:pos="5198"/>
        </w:tabs>
        <w:ind w:firstLine="3654" w:firstLineChars="1300"/>
        <w:jc w:val="right"/>
        <w:rPr>
          <w:rFonts w:hint="eastAsia" w:ascii="黑体" w:hAnsi="黑体" w:eastAsia="黑体" w:cs="宋体"/>
          <w:b/>
          <w:color w:val="auto"/>
          <w:kern w:val="0"/>
          <w:sz w:val="28"/>
          <w:szCs w:val="28"/>
          <w:lang w:val="en-US" w:eastAsia="zh-CN"/>
        </w:rPr>
      </w:pPr>
    </w:p>
    <w:p w14:paraId="408B2CCA">
      <w:pPr>
        <w:pStyle w:val="5"/>
        <w:tabs>
          <w:tab w:val="left" w:pos="2499"/>
          <w:tab w:val="center" w:pos="5198"/>
        </w:tabs>
        <w:ind w:firstLine="3654" w:firstLineChars="1300"/>
        <w:jc w:val="right"/>
        <w:rPr>
          <w:rFonts w:hint="default"/>
          <w:color w:val="FF0000"/>
          <w:sz w:val="28"/>
          <w:szCs w:val="28"/>
          <w:lang w:val="en-US" w:eastAsia="zh-CN"/>
        </w:rPr>
      </w:pPr>
      <w:r>
        <w:rPr>
          <w:rFonts w:hint="eastAsia" w:ascii="黑体" w:hAnsi="黑体" w:eastAsia="黑体" w:cs="宋体"/>
          <w:b/>
          <w:color w:val="auto"/>
          <w:kern w:val="0"/>
          <w:sz w:val="28"/>
          <w:szCs w:val="28"/>
          <w:lang w:val="en-US" w:eastAsia="zh-CN"/>
        </w:rPr>
        <w:t>编号：SFLHG-GKBX-2025-HW11</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四川宏达股份有限公司什邡磷化工分公司因技改生产需要，需采购电力电缆、控制电缆1批，本着“公开、公平、公正”的原则，现对该标的物进行公开比选</w:t>
      </w:r>
      <w:r>
        <w:rPr>
          <w:rFonts w:hint="eastAsia" w:ascii="黑体" w:hAnsi="黑体" w:eastAsia="黑体" w:cs="宋体"/>
          <w:kern w:val="0"/>
          <w:sz w:val="28"/>
          <w:szCs w:val="28"/>
        </w:rPr>
        <w:t>。欢迎贵公司前来报价，现将相关事项公告如下：</w:t>
      </w:r>
    </w:p>
    <w:p w14:paraId="1DF726DA">
      <w:pPr>
        <w:keepNext w:val="0"/>
        <w:keepLines w:val="0"/>
        <w:pageBreakBefore w:val="0"/>
        <w:numPr>
          <w:ilvl w:val="0"/>
          <w:numId w:val="1"/>
        </w:numPr>
        <w:kinsoku/>
        <w:wordWrap/>
        <w:overflowPunct/>
        <w:topLinePunct w:val="0"/>
        <w:autoSpaceDE/>
        <w:autoSpaceDN/>
        <w:bidi w:val="0"/>
        <w:spacing w:line="480" w:lineRule="exact"/>
        <w:textAlignment w:val="auto"/>
        <w:rPr>
          <w:rFonts w:hint="default" w:ascii="黑体" w:hAnsi="黑体" w:eastAsia="黑体" w:cs="宋体"/>
          <w:kern w:val="0"/>
          <w:sz w:val="28"/>
          <w:szCs w:val="28"/>
          <w:lang w:val="en-US"/>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电力电缆、控制电缆</w:t>
      </w:r>
    </w:p>
    <w:p w14:paraId="3189E225">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二、比选人：</w:t>
      </w:r>
      <w:r>
        <w:rPr>
          <w:rFonts w:hint="eastAsia" w:ascii="黑体" w:hAnsi="黑体" w:eastAsia="黑体" w:cs="宋体"/>
          <w:kern w:val="0"/>
          <w:sz w:val="28"/>
          <w:szCs w:val="28"/>
          <w:lang w:val="en-US" w:eastAsia="zh-CN"/>
        </w:rPr>
        <w:t>四川宏达股份有限公司</w:t>
      </w:r>
      <w:r>
        <w:rPr>
          <w:rFonts w:hint="eastAsia" w:ascii="黑体" w:hAnsi="黑体" w:eastAsia="黑体" w:cs="宋体"/>
          <w:kern w:val="0"/>
          <w:sz w:val="28"/>
          <w:szCs w:val="28"/>
        </w:rPr>
        <w:t xml:space="preserve">  </w:t>
      </w:r>
    </w:p>
    <w:p w14:paraId="67EB3B3D">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名称及规格型号</w:t>
      </w:r>
      <w:r>
        <w:rPr>
          <w:rFonts w:hint="eastAsia" w:ascii="黑体" w:hAnsi="黑体" w:eastAsia="黑体" w:cs="宋体"/>
          <w:kern w:val="0"/>
          <w:sz w:val="28"/>
          <w:szCs w:val="28"/>
        </w:rPr>
        <w:t>：</w:t>
      </w:r>
    </w:p>
    <w:tbl>
      <w:tblPr>
        <w:tblStyle w:val="16"/>
        <w:tblW w:w="94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5"/>
        <w:gridCol w:w="1300"/>
        <w:gridCol w:w="3400"/>
        <w:gridCol w:w="830"/>
        <w:gridCol w:w="770"/>
        <w:gridCol w:w="2480"/>
      </w:tblGrid>
      <w:tr w14:paraId="17F37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5" w:type="dxa"/>
            <w:tcBorders>
              <w:right w:val="single" w:color="auto" w:sz="4" w:space="0"/>
            </w:tcBorders>
            <w:noWrap w:val="0"/>
            <w:vAlign w:val="top"/>
          </w:tcPr>
          <w:p w14:paraId="5446795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序号</w:t>
            </w:r>
          </w:p>
        </w:tc>
        <w:tc>
          <w:tcPr>
            <w:tcW w:w="1300" w:type="dxa"/>
            <w:tcBorders>
              <w:left w:val="single" w:color="auto" w:sz="4" w:space="0"/>
            </w:tcBorders>
            <w:noWrap w:val="0"/>
            <w:vAlign w:val="top"/>
          </w:tcPr>
          <w:p w14:paraId="431ADC7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品名</w:t>
            </w:r>
          </w:p>
        </w:tc>
        <w:tc>
          <w:tcPr>
            <w:tcW w:w="3400" w:type="dxa"/>
            <w:tcBorders>
              <w:right w:val="single" w:color="auto" w:sz="4" w:space="0"/>
            </w:tcBorders>
            <w:noWrap w:val="0"/>
            <w:vAlign w:val="top"/>
          </w:tcPr>
          <w:p w14:paraId="42A9A61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规格型号</w:t>
            </w:r>
          </w:p>
        </w:tc>
        <w:tc>
          <w:tcPr>
            <w:tcW w:w="830" w:type="dxa"/>
            <w:tcBorders>
              <w:left w:val="single" w:color="auto" w:sz="4" w:space="0"/>
              <w:right w:val="single" w:color="auto" w:sz="4" w:space="0"/>
            </w:tcBorders>
            <w:noWrap w:val="0"/>
            <w:vAlign w:val="top"/>
          </w:tcPr>
          <w:p w14:paraId="5A0BC13B">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数量</w:t>
            </w:r>
          </w:p>
        </w:tc>
        <w:tc>
          <w:tcPr>
            <w:tcW w:w="770" w:type="dxa"/>
            <w:tcBorders>
              <w:right w:val="single" w:color="auto" w:sz="4" w:space="0"/>
            </w:tcBorders>
            <w:noWrap w:val="0"/>
            <w:vAlign w:val="top"/>
          </w:tcPr>
          <w:p w14:paraId="3637A27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单位</w:t>
            </w:r>
          </w:p>
        </w:tc>
        <w:tc>
          <w:tcPr>
            <w:tcW w:w="2480" w:type="dxa"/>
            <w:tcBorders>
              <w:right w:val="single" w:color="auto" w:sz="4" w:space="0"/>
            </w:tcBorders>
            <w:noWrap w:val="0"/>
            <w:vAlign w:val="top"/>
          </w:tcPr>
          <w:p w14:paraId="181EF1C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用途</w:t>
            </w:r>
          </w:p>
        </w:tc>
      </w:tr>
      <w:tr w14:paraId="125D4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5" w:type="dxa"/>
            <w:tcBorders>
              <w:right w:val="single" w:color="auto" w:sz="4" w:space="0"/>
            </w:tcBorders>
            <w:noWrap w:val="0"/>
            <w:vAlign w:val="center"/>
          </w:tcPr>
          <w:p w14:paraId="3090F2AC">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1</w:t>
            </w:r>
          </w:p>
        </w:tc>
        <w:tc>
          <w:tcPr>
            <w:tcW w:w="1300" w:type="dxa"/>
            <w:tcBorders>
              <w:left w:val="single" w:color="auto" w:sz="4" w:space="0"/>
            </w:tcBorders>
            <w:noWrap w:val="0"/>
            <w:vAlign w:val="center"/>
          </w:tcPr>
          <w:p w14:paraId="4F858C31">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电力电缆</w:t>
            </w:r>
          </w:p>
        </w:tc>
        <w:tc>
          <w:tcPr>
            <w:tcW w:w="3400" w:type="dxa"/>
            <w:tcBorders>
              <w:right w:val="single" w:color="auto" w:sz="4" w:space="0"/>
            </w:tcBorders>
            <w:noWrap w:val="0"/>
            <w:vAlign w:val="center"/>
          </w:tcPr>
          <w:p w14:paraId="3A3BF3C7">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ZC-YJV-0.6/1KV 3*95+2*50</w:t>
            </w:r>
          </w:p>
        </w:tc>
        <w:tc>
          <w:tcPr>
            <w:tcW w:w="830" w:type="dxa"/>
            <w:tcBorders>
              <w:left w:val="single" w:color="auto" w:sz="4" w:space="0"/>
              <w:right w:val="single" w:color="auto" w:sz="4" w:space="0"/>
            </w:tcBorders>
            <w:noWrap w:val="0"/>
            <w:vAlign w:val="center"/>
          </w:tcPr>
          <w:p w14:paraId="427DB103">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 xml:space="preserve">150 </w:t>
            </w:r>
          </w:p>
        </w:tc>
        <w:tc>
          <w:tcPr>
            <w:tcW w:w="770" w:type="dxa"/>
            <w:tcBorders>
              <w:top w:val="single" w:color="auto" w:sz="4" w:space="0"/>
              <w:bottom w:val="single" w:color="auto" w:sz="4" w:space="0"/>
              <w:right w:val="single" w:color="auto" w:sz="4" w:space="0"/>
            </w:tcBorders>
            <w:noWrap w:val="0"/>
            <w:vAlign w:val="center"/>
          </w:tcPr>
          <w:p w14:paraId="6D67953F">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480" w:type="dxa"/>
            <w:vMerge w:val="restart"/>
            <w:tcBorders>
              <w:top w:val="single" w:color="auto" w:sz="4" w:space="0"/>
              <w:right w:val="single" w:color="auto" w:sz="4" w:space="0"/>
            </w:tcBorders>
            <w:noWrap w:val="0"/>
            <w:vAlign w:val="center"/>
          </w:tcPr>
          <w:p w14:paraId="1EFBD489">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磷化工污水站收集池容积扩建项目</w:t>
            </w:r>
          </w:p>
        </w:tc>
      </w:tr>
      <w:tr w14:paraId="66FAC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3FECFC2F">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2</w:t>
            </w:r>
          </w:p>
        </w:tc>
        <w:tc>
          <w:tcPr>
            <w:tcW w:w="1300" w:type="dxa"/>
            <w:tcBorders>
              <w:left w:val="single" w:color="auto" w:sz="4" w:space="0"/>
            </w:tcBorders>
            <w:noWrap w:val="0"/>
            <w:vAlign w:val="center"/>
          </w:tcPr>
          <w:p w14:paraId="517EC638">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电力电缆</w:t>
            </w:r>
          </w:p>
        </w:tc>
        <w:tc>
          <w:tcPr>
            <w:tcW w:w="3400" w:type="dxa"/>
            <w:tcBorders>
              <w:right w:val="single" w:color="auto" w:sz="4" w:space="0"/>
            </w:tcBorders>
            <w:noWrap w:val="0"/>
            <w:vAlign w:val="center"/>
          </w:tcPr>
          <w:p w14:paraId="15802316">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ZC-YJV-0.6/1KV 3*50+2*25</w:t>
            </w:r>
          </w:p>
        </w:tc>
        <w:tc>
          <w:tcPr>
            <w:tcW w:w="830" w:type="dxa"/>
            <w:tcBorders>
              <w:left w:val="single" w:color="auto" w:sz="4" w:space="0"/>
              <w:right w:val="single" w:color="auto" w:sz="4" w:space="0"/>
            </w:tcBorders>
            <w:noWrap w:val="0"/>
            <w:vAlign w:val="center"/>
          </w:tcPr>
          <w:p w14:paraId="0FACFEF9">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 xml:space="preserve">130 </w:t>
            </w:r>
          </w:p>
        </w:tc>
        <w:tc>
          <w:tcPr>
            <w:tcW w:w="770" w:type="dxa"/>
            <w:tcBorders>
              <w:top w:val="single" w:color="auto" w:sz="4" w:space="0"/>
              <w:bottom w:val="single" w:color="auto" w:sz="4" w:space="0"/>
              <w:right w:val="single" w:color="auto" w:sz="4" w:space="0"/>
            </w:tcBorders>
            <w:noWrap w:val="0"/>
            <w:vAlign w:val="center"/>
          </w:tcPr>
          <w:p w14:paraId="0AA10D54">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480" w:type="dxa"/>
            <w:vMerge w:val="continue"/>
            <w:tcBorders>
              <w:right w:val="single" w:color="auto" w:sz="4" w:space="0"/>
            </w:tcBorders>
            <w:noWrap w:val="0"/>
            <w:vAlign w:val="center"/>
          </w:tcPr>
          <w:p w14:paraId="1FE258F8">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p>
        </w:tc>
      </w:tr>
      <w:tr w14:paraId="57DAB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1B3C735F">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3</w:t>
            </w:r>
          </w:p>
        </w:tc>
        <w:tc>
          <w:tcPr>
            <w:tcW w:w="1300" w:type="dxa"/>
            <w:tcBorders>
              <w:left w:val="single" w:color="auto" w:sz="4" w:space="0"/>
            </w:tcBorders>
            <w:noWrap w:val="0"/>
            <w:vAlign w:val="center"/>
          </w:tcPr>
          <w:p w14:paraId="1DDFAD6E">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电力电缆</w:t>
            </w:r>
          </w:p>
        </w:tc>
        <w:tc>
          <w:tcPr>
            <w:tcW w:w="3400" w:type="dxa"/>
            <w:tcBorders>
              <w:right w:val="single" w:color="auto" w:sz="4" w:space="0"/>
            </w:tcBorders>
            <w:noWrap w:val="0"/>
            <w:vAlign w:val="center"/>
          </w:tcPr>
          <w:p w14:paraId="207A3E1C">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ZC-YJV-0.6/1KV 3*25+2*16</w:t>
            </w:r>
          </w:p>
        </w:tc>
        <w:tc>
          <w:tcPr>
            <w:tcW w:w="830" w:type="dxa"/>
            <w:tcBorders>
              <w:left w:val="single" w:color="auto" w:sz="4" w:space="0"/>
              <w:right w:val="single" w:color="auto" w:sz="4" w:space="0"/>
            </w:tcBorders>
            <w:noWrap w:val="0"/>
            <w:vAlign w:val="center"/>
          </w:tcPr>
          <w:p w14:paraId="61BB69E9">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 xml:space="preserve">100 </w:t>
            </w:r>
          </w:p>
        </w:tc>
        <w:tc>
          <w:tcPr>
            <w:tcW w:w="770" w:type="dxa"/>
            <w:tcBorders>
              <w:top w:val="single" w:color="auto" w:sz="4" w:space="0"/>
              <w:bottom w:val="single" w:color="auto" w:sz="4" w:space="0"/>
              <w:right w:val="single" w:color="auto" w:sz="4" w:space="0"/>
            </w:tcBorders>
            <w:noWrap w:val="0"/>
            <w:vAlign w:val="center"/>
          </w:tcPr>
          <w:p w14:paraId="65362613">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480" w:type="dxa"/>
            <w:vMerge w:val="continue"/>
            <w:tcBorders>
              <w:right w:val="single" w:color="auto" w:sz="4" w:space="0"/>
            </w:tcBorders>
            <w:noWrap w:val="0"/>
            <w:vAlign w:val="center"/>
          </w:tcPr>
          <w:p w14:paraId="5EAE19E7">
            <w:pPr>
              <w:keepNext w:val="0"/>
              <w:keepLines w:val="0"/>
              <w:widowControl/>
              <w:suppressLineNumbers w:val="0"/>
              <w:jc w:val="both"/>
              <w:textAlignment w:val="center"/>
              <w:rPr>
                <w:rFonts w:hint="eastAsia" w:ascii="黑体" w:hAnsi="黑体" w:eastAsia="黑体" w:cs="黑体"/>
                <w:i w:val="0"/>
                <w:iCs w:val="0"/>
                <w:color w:val="000000"/>
                <w:kern w:val="0"/>
                <w:sz w:val="21"/>
                <w:szCs w:val="21"/>
                <w:u w:val="none"/>
                <w:lang w:val="en-US" w:eastAsia="zh-CN" w:bidi="ar"/>
              </w:rPr>
            </w:pPr>
          </w:p>
        </w:tc>
      </w:tr>
      <w:tr w14:paraId="11168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28FA6C80">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4</w:t>
            </w:r>
          </w:p>
        </w:tc>
        <w:tc>
          <w:tcPr>
            <w:tcW w:w="1300" w:type="dxa"/>
            <w:tcBorders>
              <w:left w:val="single" w:color="auto" w:sz="4" w:space="0"/>
            </w:tcBorders>
            <w:noWrap w:val="0"/>
            <w:vAlign w:val="center"/>
          </w:tcPr>
          <w:p w14:paraId="68C19C97">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电力电缆</w:t>
            </w:r>
          </w:p>
        </w:tc>
        <w:tc>
          <w:tcPr>
            <w:tcW w:w="3400" w:type="dxa"/>
            <w:tcBorders>
              <w:right w:val="single" w:color="auto" w:sz="4" w:space="0"/>
            </w:tcBorders>
            <w:noWrap w:val="0"/>
            <w:vAlign w:val="center"/>
          </w:tcPr>
          <w:p w14:paraId="2C2BA50D">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ZC-YJV-0.6/1KV 4*10</w:t>
            </w:r>
          </w:p>
        </w:tc>
        <w:tc>
          <w:tcPr>
            <w:tcW w:w="830" w:type="dxa"/>
            <w:tcBorders>
              <w:left w:val="single" w:color="auto" w:sz="4" w:space="0"/>
              <w:right w:val="single" w:color="auto" w:sz="4" w:space="0"/>
            </w:tcBorders>
            <w:noWrap w:val="0"/>
            <w:vAlign w:val="center"/>
          </w:tcPr>
          <w:p w14:paraId="4EDAA4C3">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 xml:space="preserve">100 </w:t>
            </w:r>
          </w:p>
        </w:tc>
        <w:tc>
          <w:tcPr>
            <w:tcW w:w="770" w:type="dxa"/>
            <w:tcBorders>
              <w:top w:val="single" w:color="auto" w:sz="4" w:space="0"/>
              <w:bottom w:val="single" w:color="auto" w:sz="4" w:space="0"/>
              <w:right w:val="single" w:color="auto" w:sz="4" w:space="0"/>
            </w:tcBorders>
            <w:noWrap w:val="0"/>
            <w:vAlign w:val="center"/>
          </w:tcPr>
          <w:p w14:paraId="5C516056">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480" w:type="dxa"/>
            <w:vMerge w:val="continue"/>
            <w:tcBorders>
              <w:right w:val="single" w:color="auto" w:sz="4" w:space="0"/>
            </w:tcBorders>
            <w:noWrap w:val="0"/>
            <w:vAlign w:val="center"/>
          </w:tcPr>
          <w:p w14:paraId="47065CB0">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p>
        </w:tc>
      </w:tr>
      <w:tr w14:paraId="70A72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6FDFEEA5">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5</w:t>
            </w:r>
          </w:p>
        </w:tc>
        <w:tc>
          <w:tcPr>
            <w:tcW w:w="1300" w:type="dxa"/>
            <w:tcBorders>
              <w:left w:val="single" w:color="auto" w:sz="4" w:space="0"/>
            </w:tcBorders>
            <w:noWrap w:val="0"/>
            <w:vAlign w:val="center"/>
          </w:tcPr>
          <w:p w14:paraId="0186E78F">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控制电缆</w:t>
            </w:r>
          </w:p>
        </w:tc>
        <w:tc>
          <w:tcPr>
            <w:tcW w:w="3400" w:type="dxa"/>
            <w:tcBorders>
              <w:right w:val="single" w:color="auto" w:sz="4" w:space="0"/>
            </w:tcBorders>
            <w:noWrap w:val="0"/>
            <w:vAlign w:val="center"/>
          </w:tcPr>
          <w:p w14:paraId="4F5FD8C1">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ZC-YJV-0.6/1KV 4*4</w:t>
            </w:r>
          </w:p>
        </w:tc>
        <w:tc>
          <w:tcPr>
            <w:tcW w:w="830" w:type="dxa"/>
            <w:tcBorders>
              <w:left w:val="single" w:color="auto" w:sz="4" w:space="0"/>
              <w:right w:val="single" w:color="auto" w:sz="4" w:space="0"/>
            </w:tcBorders>
            <w:noWrap w:val="0"/>
            <w:vAlign w:val="center"/>
          </w:tcPr>
          <w:p w14:paraId="41BCBF5B">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 xml:space="preserve">80 </w:t>
            </w:r>
          </w:p>
        </w:tc>
        <w:tc>
          <w:tcPr>
            <w:tcW w:w="770" w:type="dxa"/>
            <w:tcBorders>
              <w:top w:val="single" w:color="auto" w:sz="4" w:space="0"/>
              <w:bottom w:val="single" w:color="auto" w:sz="4" w:space="0"/>
              <w:right w:val="single" w:color="auto" w:sz="4" w:space="0"/>
            </w:tcBorders>
            <w:noWrap w:val="0"/>
            <w:vAlign w:val="center"/>
          </w:tcPr>
          <w:p w14:paraId="6A24ACBD">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480" w:type="dxa"/>
            <w:vMerge w:val="continue"/>
            <w:tcBorders>
              <w:right w:val="single" w:color="auto" w:sz="4" w:space="0"/>
            </w:tcBorders>
            <w:noWrap w:val="0"/>
            <w:vAlign w:val="center"/>
          </w:tcPr>
          <w:p w14:paraId="23A321A4">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p>
        </w:tc>
      </w:tr>
      <w:tr w14:paraId="3B43A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016643C2">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6</w:t>
            </w:r>
          </w:p>
        </w:tc>
        <w:tc>
          <w:tcPr>
            <w:tcW w:w="1300" w:type="dxa"/>
            <w:tcBorders>
              <w:left w:val="single" w:color="auto" w:sz="4" w:space="0"/>
            </w:tcBorders>
            <w:noWrap w:val="0"/>
            <w:vAlign w:val="center"/>
          </w:tcPr>
          <w:p w14:paraId="6CDAB9ED">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控制电缆</w:t>
            </w:r>
          </w:p>
        </w:tc>
        <w:tc>
          <w:tcPr>
            <w:tcW w:w="3400" w:type="dxa"/>
            <w:tcBorders>
              <w:right w:val="single" w:color="auto" w:sz="4" w:space="0"/>
            </w:tcBorders>
            <w:noWrap w:val="0"/>
            <w:vAlign w:val="center"/>
          </w:tcPr>
          <w:p w14:paraId="4ED0B4A6">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ZC-KVV-0.45/0.75  12*1.5</w:t>
            </w:r>
          </w:p>
        </w:tc>
        <w:tc>
          <w:tcPr>
            <w:tcW w:w="830" w:type="dxa"/>
            <w:tcBorders>
              <w:left w:val="single" w:color="auto" w:sz="4" w:space="0"/>
              <w:right w:val="single" w:color="auto" w:sz="4" w:space="0"/>
            </w:tcBorders>
            <w:noWrap w:val="0"/>
            <w:vAlign w:val="center"/>
          </w:tcPr>
          <w:p w14:paraId="0A500C11">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 xml:space="preserve">80 </w:t>
            </w:r>
          </w:p>
        </w:tc>
        <w:tc>
          <w:tcPr>
            <w:tcW w:w="770" w:type="dxa"/>
            <w:tcBorders>
              <w:top w:val="single" w:color="auto" w:sz="4" w:space="0"/>
              <w:bottom w:val="single" w:color="auto" w:sz="4" w:space="0"/>
              <w:right w:val="single" w:color="auto" w:sz="4" w:space="0"/>
            </w:tcBorders>
            <w:noWrap w:val="0"/>
            <w:vAlign w:val="center"/>
          </w:tcPr>
          <w:p w14:paraId="60A6EB5E">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480" w:type="dxa"/>
            <w:vMerge w:val="continue"/>
            <w:tcBorders>
              <w:right w:val="single" w:color="auto" w:sz="4" w:space="0"/>
            </w:tcBorders>
            <w:noWrap w:val="0"/>
            <w:vAlign w:val="center"/>
          </w:tcPr>
          <w:p w14:paraId="603AEEDD">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p>
        </w:tc>
      </w:tr>
      <w:tr w14:paraId="03D15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7F0E4308">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7</w:t>
            </w:r>
          </w:p>
        </w:tc>
        <w:tc>
          <w:tcPr>
            <w:tcW w:w="1300" w:type="dxa"/>
            <w:tcBorders>
              <w:left w:val="single" w:color="auto" w:sz="4" w:space="0"/>
            </w:tcBorders>
            <w:noWrap w:val="0"/>
            <w:vAlign w:val="center"/>
          </w:tcPr>
          <w:p w14:paraId="05CB82C7">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控制电缆</w:t>
            </w:r>
          </w:p>
        </w:tc>
        <w:tc>
          <w:tcPr>
            <w:tcW w:w="3400" w:type="dxa"/>
            <w:tcBorders>
              <w:right w:val="single" w:color="auto" w:sz="4" w:space="0"/>
            </w:tcBorders>
            <w:noWrap w:val="0"/>
            <w:vAlign w:val="center"/>
          </w:tcPr>
          <w:p w14:paraId="388DD919">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ZC-KVV-0.45/0.75  7*1.5</w:t>
            </w:r>
          </w:p>
        </w:tc>
        <w:tc>
          <w:tcPr>
            <w:tcW w:w="830" w:type="dxa"/>
            <w:tcBorders>
              <w:left w:val="single" w:color="auto" w:sz="4" w:space="0"/>
              <w:right w:val="single" w:color="auto" w:sz="4" w:space="0"/>
            </w:tcBorders>
            <w:noWrap w:val="0"/>
            <w:vAlign w:val="center"/>
          </w:tcPr>
          <w:p w14:paraId="0E6D8F38">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 xml:space="preserve">100 </w:t>
            </w:r>
          </w:p>
        </w:tc>
        <w:tc>
          <w:tcPr>
            <w:tcW w:w="770" w:type="dxa"/>
            <w:tcBorders>
              <w:top w:val="single" w:color="auto" w:sz="4" w:space="0"/>
              <w:bottom w:val="single" w:color="auto" w:sz="4" w:space="0"/>
              <w:right w:val="single" w:color="auto" w:sz="4" w:space="0"/>
            </w:tcBorders>
            <w:noWrap w:val="0"/>
            <w:vAlign w:val="center"/>
          </w:tcPr>
          <w:p w14:paraId="190E89F9">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480" w:type="dxa"/>
            <w:vMerge w:val="continue"/>
            <w:tcBorders>
              <w:bottom w:val="single" w:color="auto" w:sz="4" w:space="0"/>
              <w:right w:val="single" w:color="auto" w:sz="4" w:space="0"/>
            </w:tcBorders>
            <w:noWrap w:val="0"/>
            <w:vAlign w:val="center"/>
          </w:tcPr>
          <w:p w14:paraId="59ACDE7A">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p>
        </w:tc>
      </w:tr>
      <w:tr w14:paraId="6FB29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1A812A67">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8</w:t>
            </w:r>
          </w:p>
        </w:tc>
        <w:tc>
          <w:tcPr>
            <w:tcW w:w="1300" w:type="dxa"/>
            <w:tcBorders>
              <w:left w:val="single" w:color="auto" w:sz="4" w:space="0"/>
            </w:tcBorders>
            <w:noWrap w:val="0"/>
            <w:vAlign w:val="center"/>
          </w:tcPr>
          <w:p w14:paraId="51FE063A">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电力电缆</w:t>
            </w:r>
          </w:p>
        </w:tc>
        <w:tc>
          <w:tcPr>
            <w:tcW w:w="3400" w:type="dxa"/>
            <w:tcBorders>
              <w:right w:val="single" w:color="auto" w:sz="4" w:space="0"/>
            </w:tcBorders>
            <w:noWrap w:val="0"/>
            <w:vAlign w:val="center"/>
          </w:tcPr>
          <w:p w14:paraId="727972D6">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YJV-0.6/1KV 3*16+1*10</w:t>
            </w:r>
          </w:p>
        </w:tc>
        <w:tc>
          <w:tcPr>
            <w:tcW w:w="830" w:type="dxa"/>
            <w:tcBorders>
              <w:left w:val="single" w:color="auto" w:sz="4" w:space="0"/>
              <w:right w:val="single" w:color="auto" w:sz="4" w:space="0"/>
            </w:tcBorders>
            <w:noWrap w:val="0"/>
            <w:vAlign w:val="center"/>
          </w:tcPr>
          <w:p w14:paraId="0DA48A03">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300</w:t>
            </w:r>
          </w:p>
        </w:tc>
        <w:tc>
          <w:tcPr>
            <w:tcW w:w="770" w:type="dxa"/>
            <w:tcBorders>
              <w:top w:val="single" w:color="auto" w:sz="4" w:space="0"/>
              <w:bottom w:val="single" w:color="auto" w:sz="4" w:space="0"/>
              <w:right w:val="single" w:color="auto" w:sz="4" w:space="0"/>
            </w:tcBorders>
            <w:noWrap w:val="0"/>
            <w:vAlign w:val="center"/>
          </w:tcPr>
          <w:p w14:paraId="07D7DA5E">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480" w:type="dxa"/>
            <w:vMerge w:val="restart"/>
            <w:tcBorders>
              <w:top w:val="single" w:color="auto" w:sz="4" w:space="0"/>
              <w:right w:val="single" w:color="auto" w:sz="4" w:space="0"/>
            </w:tcBorders>
            <w:noWrap w:val="0"/>
            <w:vAlign w:val="center"/>
          </w:tcPr>
          <w:p w14:paraId="1A9C852E">
            <w:pPr>
              <w:keepNext w:val="0"/>
              <w:keepLines w:val="0"/>
              <w:widowControl/>
              <w:suppressLineNumbers w:val="0"/>
              <w:jc w:val="left"/>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磷化工复肥厂生产物资</w:t>
            </w:r>
          </w:p>
        </w:tc>
      </w:tr>
      <w:tr w14:paraId="17E62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7138ED55">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9</w:t>
            </w:r>
          </w:p>
        </w:tc>
        <w:tc>
          <w:tcPr>
            <w:tcW w:w="1300" w:type="dxa"/>
            <w:tcBorders>
              <w:left w:val="single" w:color="auto" w:sz="4" w:space="0"/>
            </w:tcBorders>
            <w:noWrap w:val="0"/>
            <w:vAlign w:val="center"/>
          </w:tcPr>
          <w:p w14:paraId="0B94C9EE">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电力电缆</w:t>
            </w:r>
          </w:p>
        </w:tc>
        <w:tc>
          <w:tcPr>
            <w:tcW w:w="3400" w:type="dxa"/>
            <w:tcBorders>
              <w:right w:val="single" w:color="auto" w:sz="4" w:space="0"/>
            </w:tcBorders>
            <w:noWrap w:val="0"/>
            <w:vAlign w:val="center"/>
          </w:tcPr>
          <w:p w14:paraId="4D7E0622">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YJV-0.6/1KV 3*35+1*16</w:t>
            </w:r>
          </w:p>
        </w:tc>
        <w:tc>
          <w:tcPr>
            <w:tcW w:w="830" w:type="dxa"/>
            <w:tcBorders>
              <w:left w:val="single" w:color="auto" w:sz="4" w:space="0"/>
              <w:right w:val="single" w:color="auto" w:sz="4" w:space="0"/>
            </w:tcBorders>
            <w:noWrap w:val="0"/>
            <w:vAlign w:val="center"/>
          </w:tcPr>
          <w:p w14:paraId="4A62E164">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300</w:t>
            </w:r>
          </w:p>
        </w:tc>
        <w:tc>
          <w:tcPr>
            <w:tcW w:w="770" w:type="dxa"/>
            <w:tcBorders>
              <w:top w:val="single" w:color="auto" w:sz="4" w:space="0"/>
              <w:bottom w:val="single" w:color="auto" w:sz="4" w:space="0"/>
              <w:right w:val="single" w:color="auto" w:sz="4" w:space="0"/>
            </w:tcBorders>
            <w:noWrap w:val="0"/>
            <w:vAlign w:val="center"/>
          </w:tcPr>
          <w:p w14:paraId="195B61E7">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480" w:type="dxa"/>
            <w:vMerge w:val="continue"/>
            <w:tcBorders>
              <w:right w:val="single" w:color="auto" w:sz="4" w:space="0"/>
            </w:tcBorders>
            <w:noWrap w:val="0"/>
            <w:vAlign w:val="center"/>
          </w:tcPr>
          <w:p w14:paraId="0AF45D7D">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p>
        </w:tc>
      </w:tr>
      <w:tr w14:paraId="307E3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2D98D212">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10</w:t>
            </w:r>
          </w:p>
        </w:tc>
        <w:tc>
          <w:tcPr>
            <w:tcW w:w="1300" w:type="dxa"/>
            <w:tcBorders>
              <w:left w:val="single" w:color="auto" w:sz="4" w:space="0"/>
            </w:tcBorders>
            <w:noWrap w:val="0"/>
            <w:vAlign w:val="center"/>
          </w:tcPr>
          <w:p w14:paraId="5ADD91A0">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电力电缆</w:t>
            </w:r>
          </w:p>
        </w:tc>
        <w:tc>
          <w:tcPr>
            <w:tcW w:w="3400" w:type="dxa"/>
            <w:tcBorders>
              <w:right w:val="single" w:color="auto" w:sz="4" w:space="0"/>
            </w:tcBorders>
            <w:noWrap w:val="0"/>
            <w:vAlign w:val="center"/>
          </w:tcPr>
          <w:p w14:paraId="2DCA4637">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YJV22-8.7/15KV 3*</w:t>
            </w:r>
            <w:bookmarkStart w:id="6" w:name="_GoBack"/>
            <w:bookmarkEnd w:id="6"/>
            <w:r>
              <w:rPr>
                <w:rFonts w:hint="eastAsia" w:ascii="黑体" w:hAnsi="黑体" w:eastAsia="黑体" w:cs="黑体"/>
                <w:i w:val="0"/>
                <w:iCs w:val="0"/>
                <w:color w:val="000000"/>
                <w:kern w:val="0"/>
                <w:sz w:val="21"/>
                <w:szCs w:val="21"/>
                <w:u w:val="none"/>
                <w:lang w:val="en-US" w:eastAsia="zh-CN" w:bidi="ar"/>
              </w:rPr>
              <w:t>150</w:t>
            </w:r>
          </w:p>
        </w:tc>
        <w:tc>
          <w:tcPr>
            <w:tcW w:w="830" w:type="dxa"/>
            <w:tcBorders>
              <w:left w:val="single" w:color="auto" w:sz="4" w:space="0"/>
              <w:right w:val="single" w:color="auto" w:sz="4" w:space="0"/>
            </w:tcBorders>
            <w:noWrap w:val="0"/>
            <w:vAlign w:val="center"/>
          </w:tcPr>
          <w:p w14:paraId="79C246D3">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132</w:t>
            </w:r>
          </w:p>
        </w:tc>
        <w:tc>
          <w:tcPr>
            <w:tcW w:w="770" w:type="dxa"/>
            <w:tcBorders>
              <w:top w:val="single" w:color="auto" w:sz="4" w:space="0"/>
              <w:bottom w:val="single" w:color="auto" w:sz="4" w:space="0"/>
              <w:right w:val="single" w:color="auto" w:sz="4" w:space="0"/>
            </w:tcBorders>
            <w:noWrap w:val="0"/>
            <w:vAlign w:val="center"/>
          </w:tcPr>
          <w:p w14:paraId="48288A9A">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480" w:type="dxa"/>
            <w:tcBorders>
              <w:bottom w:val="single" w:color="auto" w:sz="4" w:space="0"/>
              <w:right w:val="single" w:color="auto" w:sz="4" w:space="0"/>
            </w:tcBorders>
            <w:noWrap w:val="0"/>
            <w:vAlign w:val="center"/>
          </w:tcPr>
          <w:p w14:paraId="3E2C91F8">
            <w:pPr>
              <w:keepNext w:val="0"/>
              <w:keepLines w:val="0"/>
              <w:widowControl/>
              <w:suppressLineNumbers w:val="0"/>
              <w:jc w:val="left"/>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有色公司电解锌冶炼系统设备更新项目</w:t>
            </w:r>
          </w:p>
        </w:tc>
      </w:tr>
    </w:tbl>
    <w:p w14:paraId="522E69EA">
      <w:pPr>
        <w:keepNext w:val="0"/>
        <w:keepLines w:val="0"/>
        <w:pageBreakBefore w:val="0"/>
        <w:numPr>
          <w:ilvl w:val="0"/>
          <w:numId w:val="2"/>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执行标准：</w:t>
      </w:r>
    </w:p>
    <w:p w14:paraId="5F0D3D9A">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按GB/T12706.1-2020、</w:t>
      </w:r>
      <w:r>
        <w:rPr>
          <w:rFonts w:ascii="黑体" w:hAnsi="黑体" w:eastAsia="黑体" w:cs="宋体"/>
          <w:kern w:val="0"/>
          <w:sz w:val="28"/>
          <w:szCs w:val="28"/>
        </w:rPr>
        <w:t xml:space="preserve"> GB/T9330-2020</w:t>
      </w:r>
      <w:r>
        <w:rPr>
          <w:rFonts w:hint="eastAsia" w:ascii="黑体" w:hAnsi="黑体" w:eastAsia="黑体" w:cs="宋体"/>
          <w:kern w:val="0"/>
          <w:sz w:val="28"/>
          <w:szCs w:val="28"/>
          <w:lang w:eastAsia="zh-CN"/>
        </w:rPr>
        <w:t>、</w:t>
      </w:r>
      <w:r>
        <w:rPr>
          <w:rFonts w:hint="eastAsia" w:ascii="黑体" w:hAnsi="黑体" w:eastAsia="黑体" w:cs="黑体"/>
          <w:sz w:val="28"/>
          <w:szCs w:val="28"/>
          <w:lang w:val="en-US" w:eastAsia="zh-CN"/>
        </w:rPr>
        <w:t>TICW/06-2009</w:t>
      </w:r>
      <w:r>
        <w:rPr>
          <w:rFonts w:hint="eastAsia" w:ascii="黑体" w:hAnsi="黑体" w:eastAsia="黑体" w:cs="宋体"/>
          <w:kern w:val="0"/>
          <w:sz w:val="28"/>
          <w:szCs w:val="28"/>
        </w:rPr>
        <w:t>等国标执行。电缆铜芯采用99.9%无氧铜杆；绝缘材料采用国内一线知名生产商产品</w:t>
      </w:r>
      <w:r>
        <w:rPr>
          <w:rFonts w:hint="eastAsia" w:ascii="黑体" w:hAnsi="黑体" w:eastAsia="黑体" w:cs="宋体"/>
          <w:kern w:val="0"/>
          <w:sz w:val="28"/>
          <w:szCs w:val="28"/>
          <w:lang w:eastAsia="zh-CN"/>
        </w:rPr>
        <w:t>。</w:t>
      </w:r>
    </w:p>
    <w:p w14:paraId="69F811C3">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3.交货</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洛水</w:t>
      </w:r>
      <w:r>
        <w:rPr>
          <w:rFonts w:hint="eastAsia" w:ascii="黑体" w:hAnsi="黑体" w:eastAsia="黑体" w:cs="宋体"/>
          <w:kern w:val="0"/>
          <w:sz w:val="28"/>
          <w:szCs w:val="28"/>
        </w:rPr>
        <w:t>镇</w:t>
      </w:r>
    </w:p>
    <w:p w14:paraId="1248BFDC">
      <w:pPr>
        <w:spacing w:line="420" w:lineRule="exac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4.交货期：合同生效之日起15个自然日内，由中选人将标的物运（发）至交货地点。</w:t>
      </w:r>
    </w:p>
    <w:p w14:paraId="568AF9C7">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F8B730B">
      <w:pPr>
        <w:spacing w:line="420" w:lineRule="exact"/>
        <w:rPr>
          <w:rFonts w:hint="eastAsia"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标的物验收合格、且收到中选人合同全额增值税发票之日起2</w:t>
      </w:r>
      <w:r>
        <w:rPr>
          <w:rFonts w:hint="eastAsia" w:ascii="黑体" w:hAnsi="黑体" w:eastAsia="黑体" w:cs="黑体"/>
          <w:kern w:val="0"/>
          <w:sz w:val="28"/>
          <w:szCs w:val="28"/>
        </w:rPr>
        <w:t>0个工作日内向</w:t>
      </w:r>
      <w:r>
        <w:rPr>
          <w:rFonts w:hint="eastAsia" w:ascii="黑体" w:hAnsi="黑体" w:eastAsia="黑体" w:cs="黑体"/>
          <w:kern w:val="0"/>
          <w:sz w:val="28"/>
          <w:szCs w:val="28"/>
          <w:lang w:val="en-US" w:eastAsia="zh-CN"/>
        </w:rPr>
        <w:t>中选人支付</w:t>
      </w:r>
      <w:r>
        <w:rPr>
          <w:rFonts w:hint="eastAsia" w:ascii="黑体" w:hAnsi="黑体" w:eastAsia="黑体" w:cs="黑体"/>
          <w:kern w:val="0"/>
          <w:sz w:val="28"/>
          <w:szCs w:val="28"/>
        </w:rPr>
        <w:t>合同</w:t>
      </w:r>
      <w:r>
        <w:rPr>
          <w:rFonts w:hint="eastAsia" w:ascii="黑体" w:hAnsi="黑体" w:eastAsia="黑体" w:cs="黑体"/>
          <w:kern w:val="0"/>
          <w:sz w:val="28"/>
          <w:szCs w:val="28"/>
          <w:lang w:val="en-US" w:eastAsia="zh-CN"/>
        </w:rPr>
        <w:t>总额95%，余</w:t>
      </w:r>
      <w:r>
        <w:rPr>
          <w:rFonts w:hint="eastAsia" w:ascii="黑体" w:hAnsi="黑体" w:eastAsia="黑体" w:cs="宋体"/>
          <w:kern w:val="0"/>
          <w:sz w:val="28"/>
          <w:szCs w:val="28"/>
        </w:rPr>
        <w:t>合同总额的5</w:t>
      </w:r>
      <w:r>
        <w:rPr>
          <w:rFonts w:ascii="黑体" w:hAnsi="黑体" w:eastAsia="黑体" w:cs="宋体"/>
          <w:kern w:val="0"/>
          <w:sz w:val="28"/>
          <w:szCs w:val="28"/>
        </w:rPr>
        <w:t>%</w:t>
      </w:r>
      <w:r>
        <w:rPr>
          <w:rFonts w:hint="eastAsia" w:ascii="黑体" w:hAnsi="黑体" w:eastAsia="黑体" w:cs="宋体"/>
          <w:kern w:val="0"/>
          <w:sz w:val="28"/>
          <w:szCs w:val="28"/>
        </w:rPr>
        <w:t>作为质保金，待质保期结束且无质量异议后</w:t>
      </w:r>
      <w:r>
        <w:rPr>
          <w:rFonts w:hint="eastAsia" w:ascii="黑体" w:hAnsi="黑体" w:eastAsia="黑体" w:cs="宋体"/>
          <w:kern w:val="0"/>
          <w:sz w:val="28"/>
          <w:szCs w:val="28"/>
          <w:lang w:val="en-US" w:eastAsia="zh-CN"/>
        </w:rPr>
        <w:t>付清</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5A1F1030">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5CFFF1E6">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w:t>
      </w:r>
      <w:r>
        <w:rPr>
          <w:rFonts w:hint="eastAsia" w:ascii="黑体" w:hAnsi="黑体" w:eastAsia="黑体" w:cs="宋体"/>
          <w:kern w:val="0"/>
          <w:sz w:val="28"/>
          <w:szCs w:val="28"/>
          <w:lang w:val="en-US" w:eastAsia="zh-CN"/>
        </w:rPr>
        <w:t>型号</w:t>
      </w:r>
      <w:r>
        <w:rPr>
          <w:rFonts w:hint="eastAsia" w:ascii="黑体" w:hAnsi="黑体" w:eastAsia="黑体" w:cs="宋体"/>
          <w:kern w:val="0"/>
          <w:sz w:val="28"/>
          <w:szCs w:val="28"/>
        </w:rPr>
        <w:t>、数量等</w:t>
      </w:r>
      <w:r>
        <w:rPr>
          <w:rFonts w:hint="eastAsia" w:ascii="黑体" w:hAnsi="黑体" w:eastAsia="黑体" w:cs="Times New Roman"/>
          <w:sz w:val="28"/>
          <w:szCs w:val="28"/>
        </w:rPr>
        <w:t>进行入库验收。</w:t>
      </w:r>
      <w:r>
        <w:rPr>
          <w:rFonts w:hint="eastAsia" w:ascii="黑体" w:hAnsi="黑体" w:eastAsia="黑体" w:cs="Times New Roman"/>
          <w:sz w:val="28"/>
          <w:szCs w:val="28"/>
          <w:lang w:val="en-US" w:eastAsia="zh-CN"/>
        </w:rPr>
        <w:t>供货商随货提供电缆检测报告。</w:t>
      </w:r>
    </w:p>
    <w:p w14:paraId="24A08032">
      <w:pPr>
        <w:numPr>
          <w:ilvl w:val="0"/>
          <w:numId w:val="0"/>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lang w:val="en-US" w:eastAsia="zh-CN"/>
        </w:rPr>
        <w:t>7.</w:t>
      </w: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w:t>
      </w:r>
      <w:r>
        <w:rPr>
          <w:rFonts w:hint="eastAsia" w:ascii="黑体" w:hAnsi="黑体" w:eastAsia="黑体" w:cs="黑体"/>
          <w:sz w:val="28"/>
          <w:szCs w:val="28"/>
          <w:lang w:val="en-US" w:eastAsia="zh-CN"/>
        </w:rPr>
        <w:t>标的物</w:t>
      </w:r>
      <w:r>
        <w:rPr>
          <w:rFonts w:hint="eastAsia" w:ascii="黑体" w:hAnsi="黑体" w:eastAsia="黑体" w:cs="黑体"/>
          <w:sz w:val="28"/>
          <w:szCs w:val="28"/>
        </w:rPr>
        <w:t>验收合格之日起开始计算。</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8.比选文件的获取</w:t>
      </w:r>
    </w:p>
    <w:p w14:paraId="63491664">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2026年2月28日10时 00 分至 2026年3月5日 10时 00 分通过四川宏达股份有限公司集采中心招投标平台(以下简称“ 宏达股份集采平台”）（http://jc.sichuanhongda.com/）进行注册，登录后下载比选文件参与投标。 </w:t>
      </w:r>
    </w:p>
    <w:p w14:paraId="504767B0">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9.</w:t>
      </w: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递交截止时间：2026年3月 5日10 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w:t>
      </w:r>
      <w:r>
        <w:rPr>
          <w:rFonts w:hint="eastAsia" w:ascii="黑体" w:hAnsi="黑体" w:eastAsia="黑体" w:cs="黑体"/>
          <w:color w:val="auto"/>
          <w:sz w:val="28"/>
          <w:szCs w:val="28"/>
          <w:lang w:val="en-US" w:eastAsia="zh-CN"/>
        </w:rPr>
        <w:t>参数</w:t>
      </w:r>
      <w:r>
        <w:rPr>
          <w:rFonts w:hint="eastAsia" w:ascii="黑体" w:hAnsi="黑体" w:eastAsia="黑体" w:cs="黑体"/>
          <w:sz w:val="28"/>
          <w:szCs w:val="28"/>
          <w:lang w:val="en-US" w:eastAsia="zh-CN"/>
        </w:rPr>
        <w:t>、</w:t>
      </w:r>
      <w:r>
        <w:rPr>
          <w:rFonts w:hint="eastAsia" w:ascii="黑体" w:hAnsi="黑体" w:eastAsia="黑体" w:cs="黑体"/>
          <w:sz w:val="28"/>
          <w:szCs w:val="28"/>
        </w:rPr>
        <w:t>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10.响应性文件的组成要求</w:t>
      </w:r>
    </w:p>
    <w:p w14:paraId="191A5673">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w:t>
      </w:r>
      <w:bookmarkStart w:id="0" w:name="OLE_LINK3"/>
      <w:bookmarkStart w:id="1" w:name="OLE_LINK4"/>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5BDFFE76">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②报价函件。</w:t>
      </w:r>
    </w:p>
    <w:p w14:paraId="034D5EB6">
      <w:pPr>
        <w:numPr>
          <w:ilvl w:val="0"/>
          <w:numId w:val="0"/>
        </w:numPr>
        <w:spacing w:line="420" w:lineRule="exact"/>
        <w:ind w:leftChars="0"/>
        <w:rPr>
          <w:rFonts w:hint="eastAsia" w:ascii="黑体" w:hAnsi="黑体" w:eastAsia="黑体" w:cs="Segoe UI"/>
          <w:kern w:val="0"/>
          <w:sz w:val="28"/>
          <w:szCs w:val="28"/>
          <w:lang w:val="en-US" w:eastAsia="zh-CN"/>
        </w:rPr>
      </w:pPr>
      <w:r>
        <w:rPr>
          <w:rFonts w:hint="eastAsia" w:ascii="黑体" w:hAnsi="黑体" w:eastAsia="黑体" w:cs="黑体"/>
          <w:color w:val="auto"/>
          <w:kern w:val="0"/>
          <w:sz w:val="28"/>
          <w:szCs w:val="28"/>
        </w:rPr>
        <w:t>③</w:t>
      </w:r>
      <w:r>
        <w:rPr>
          <w:rFonts w:hint="eastAsia" w:ascii="黑体" w:hAnsi="黑体" w:eastAsia="黑体" w:cs="Segoe UI"/>
          <w:kern w:val="0"/>
          <w:sz w:val="28"/>
          <w:szCs w:val="28"/>
          <w:lang w:val="en-US" w:eastAsia="zh-CN"/>
        </w:rPr>
        <w:t>承诺函。</w:t>
      </w:r>
    </w:p>
    <w:p w14:paraId="7F8BC4B5">
      <w:pPr>
        <w:numPr>
          <w:ilvl w:val="0"/>
          <w:numId w:val="0"/>
        </w:numPr>
        <w:spacing w:line="420" w:lineRule="exact"/>
        <w:ind w:leftChars="0"/>
        <w:rPr>
          <w:rFonts w:hint="eastAsia" w:ascii="黑体" w:hAnsi="黑体" w:eastAsia="黑体" w:cs="Times New Roman"/>
          <w:sz w:val="28"/>
          <w:szCs w:val="28"/>
          <w:lang w:val="en-US" w:eastAsia="zh-CN"/>
        </w:rPr>
      </w:pPr>
      <w:r>
        <w:rPr>
          <w:rFonts w:hint="eastAsia" w:ascii="黑体" w:hAnsi="黑体" w:eastAsia="黑体" w:cs="Segoe UI"/>
          <w:kern w:val="0"/>
          <w:sz w:val="28"/>
          <w:szCs w:val="28"/>
          <w:lang w:val="en-US" w:eastAsia="zh-CN"/>
        </w:rPr>
        <w:t>11.</w:t>
      </w:r>
      <w:r>
        <w:rPr>
          <w:rFonts w:hint="eastAsia" w:ascii="黑体" w:hAnsi="黑体" w:eastAsia="黑体" w:cs="Times New Roman"/>
          <w:sz w:val="28"/>
          <w:szCs w:val="28"/>
          <w:lang w:val="en-US" w:eastAsia="zh-CN"/>
        </w:rPr>
        <w:t>定价</w:t>
      </w:r>
    </w:p>
    <w:p w14:paraId="3B2D9B7B">
      <w:pPr>
        <w:numPr>
          <w:ilvl w:val="0"/>
          <w:numId w:val="0"/>
        </w:numPr>
        <w:spacing w:line="420" w:lineRule="exact"/>
        <w:rPr>
          <w:rFonts w:hint="eastAsia" w:ascii="黑体" w:hAnsi="黑体" w:eastAsia="黑体" w:cs="Times New Roman"/>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Times New Roman"/>
          <w:sz w:val="28"/>
          <w:szCs w:val="28"/>
          <w:lang w:val="en-US" w:eastAsia="zh-CN"/>
        </w:rPr>
        <w:t>本项目采用合理最低价法进行比选。由比选人根据投标人报价函、付款方式等进行综合评审后确定中选人。</w:t>
      </w:r>
    </w:p>
    <w:p w14:paraId="61A92E0B">
      <w:pPr>
        <w:numPr>
          <w:ilvl w:val="0"/>
          <w:numId w:val="0"/>
        </w:numPr>
        <w:spacing w:line="420" w:lineRule="exact"/>
        <w:rPr>
          <w:rFonts w:hint="default" w:ascii="黑体" w:hAnsi="黑体" w:eastAsia="黑体" w:cs="Times New Roman"/>
          <w:sz w:val="28"/>
          <w:szCs w:val="28"/>
          <w:lang w:val="en-US" w:eastAsia="zh-CN"/>
        </w:rPr>
      </w:pPr>
      <w:r>
        <w:rPr>
          <w:rFonts w:hint="eastAsia" w:ascii="黑体" w:hAnsi="黑体" w:eastAsia="黑体" w:cs="仿宋_GB2312"/>
          <w:sz w:val="28"/>
          <w:szCs w:val="28"/>
          <w:lang w:val="en-US" w:eastAsia="zh-CN"/>
        </w:rPr>
        <w:t>②最终价格确认：比选</w:t>
      </w:r>
      <w:r>
        <w:rPr>
          <w:rFonts w:hint="eastAsia" w:ascii="黑体" w:hAnsi="黑体" w:eastAsia="黑体" w:cs="黑体"/>
          <w:sz w:val="28"/>
          <w:szCs w:val="28"/>
          <w:lang w:val="en-US" w:eastAsia="zh-CN"/>
        </w:rPr>
        <w:t>申请</w:t>
      </w:r>
      <w:r>
        <w:rPr>
          <w:rFonts w:hint="eastAsia" w:ascii="黑体" w:hAnsi="黑体" w:eastAsia="黑体" w:cs="仿宋_GB2312"/>
          <w:sz w:val="28"/>
          <w:szCs w:val="28"/>
          <w:lang w:val="en-US" w:eastAsia="zh-CN"/>
        </w:rPr>
        <w:t>人</w:t>
      </w:r>
      <w:r>
        <w:rPr>
          <w:rFonts w:hint="eastAsia" w:ascii="黑体" w:hAnsi="黑体" w:eastAsia="黑体" w:cs="宋体"/>
          <w:kern w:val="0"/>
          <w:sz w:val="28"/>
          <w:szCs w:val="28"/>
        </w:rPr>
        <w:t>按202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2</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25</w:t>
      </w:r>
      <w:r>
        <w:rPr>
          <w:rFonts w:hint="eastAsia" w:ascii="黑体" w:hAnsi="黑体" w:eastAsia="黑体" w:cs="宋体"/>
          <w:kern w:val="0"/>
          <w:sz w:val="28"/>
          <w:szCs w:val="28"/>
        </w:rPr>
        <w:t>日</w:t>
      </w:r>
      <w:r>
        <w:rPr>
          <w:rFonts w:hint="eastAsia" w:ascii="黑体" w:hAnsi="黑体" w:eastAsia="黑体" w:cs="宋体"/>
          <w:kern w:val="0"/>
          <w:sz w:val="28"/>
          <w:szCs w:val="28"/>
          <w:lang w:val="en-US" w:eastAsia="zh-CN"/>
        </w:rPr>
        <w:t>上海</w:t>
      </w:r>
      <w:r>
        <w:rPr>
          <w:rFonts w:hint="eastAsia" w:ascii="黑体" w:hAnsi="黑体" w:eastAsia="黑体" w:cs="宋体"/>
          <w:kern w:val="0"/>
          <w:sz w:val="28"/>
          <w:szCs w:val="28"/>
        </w:rPr>
        <w:t>有</w:t>
      </w:r>
      <w:r>
        <w:rPr>
          <w:rFonts w:hint="eastAsia" w:ascii="黑体" w:hAnsi="黑体" w:eastAsia="黑体" w:cs="宋体"/>
          <w:kern w:val="0"/>
          <w:sz w:val="28"/>
          <w:szCs w:val="28"/>
          <w:lang w:val="en-US" w:eastAsia="zh-CN"/>
        </w:rPr>
        <w:t>色</w:t>
      </w:r>
      <w:r>
        <w:rPr>
          <w:rFonts w:hint="eastAsia" w:ascii="黑体" w:hAnsi="黑体" w:eastAsia="黑体" w:cs="宋体"/>
          <w:kern w:val="0"/>
          <w:sz w:val="28"/>
          <w:szCs w:val="28"/>
        </w:rPr>
        <w:t>网</w:t>
      </w:r>
      <w:r>
        <w:rPr>
          <w:rFonts w:hint="eastAsia" w:ascii="黑体" w:hAnsi="黑体" w:eastAsia="黑体" w:cs="宋体"/>
          <w:kern w:val="0"/>
          <w:sz w:val="28"/>
          <w:szCs w:val="28"/>
          <w:lang w:val="en-US" w:eastAsia="zh-CN"/>
        </w:rPr>
        <w:t>长江价格</w:t>
      </w:r>
      <w:r>
        <w:rPr>
          <w:rFonts w:hint="eastAsia" w:ascii="黑体" w:hAnsi="黑体" w:eastAsia="黑体" w:cs="宋体"/>
          <w:kern w:val="0"/>
          <w:sz w:val="28"/>
          <w:szCs w:val="28"/>
        </w:rPr>
        <w:t>1#电解铜均价</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102065元/吨</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作为基准价进行电缆报价。以中选通知书发出当日的上海</w:t>
      </w:r>
      <w:r>
        <w:rPr>
          <w:rFonts w:hint="eastAsia" w:ascii="黑体" w:hAnsi="黑体" w:eastAsia="黑体" w:cs="宋体"/>
          <w:kern w:val="0"/>
          <w:sz w:val="28"/>
          <w:szCs w:val="28"/>
        </w:rPr>
        <w:t>有</w:t>
      </w:r>
      <w:r>
        <w:rPr>
          <w:rFonts w:hint="eastAsia" w:ascii="黑体" w:hAnsi="黑体" w:eastAsia="黑体" w:cs="宋体"/>
          <w:kern w:val="0"/>
          <w:sz w:val="28"/>
          <w:szCs w:val="28"/>
          <w:lang w:val="en-US" w:eastAsia="zh-CN"/>
        </w:rPr>
        <w:t>色</w:t>
      </w:r>
      <w:r>
        <w:rPr>
          <w:rFonts w:hint="eastAsia" w:ascii="黑体" w:hAnsi="黑体" w:eastAsia="黑体" w:cs="宋体"/>
          <w:kern w:val="0"/>
          <w:sz w:val="28"/>
          <w:szCs w:val="28"/>
        </w:rPr>
        <w:t>网</w:t>
      </w:r>
      <w:r>
        <w:rPr>
          <w:rFonts w:hint="eastAsia" w:ascii="黑体" w:hAnsi="黑体" w:eastAsia="黑体" w:cs="宋体"/>
          <w:kern w:val="0"/>
          <w:sz w:val="28"/>
          <w:szCs w:val="28"/>
          <w:lang w:val="en-US" w:eastAsia="zh-CN"/>
        </w:rPr>
        <w:t>长江价格</w:t>
      </w:r>
      <w:r>
        <w:rPr>
          <w:rFonts w:hint="eastAsia" w:ascii="黑体" w:hAnsi="黑体" w:eastAsia="黑体" w:cs="宋体"/>
          <w:kern w:val="0"/>
          <w:sz w:val="28"/>
          <w:szCs w:val="28"/>
        </w:rPr>
        <w:t>1#电解铜均价</w:t>
      </w:r>
      <w:r>
        <w:rPr>
          <w:rFonts w:hint="eastAsia" w:ascii="黑体" w:hAnsi="黑体" w:eastAsia="黑体" w:cs="宋体"/>
          <w:kern w:val="0"/>
          <w:sz w:val="28"/>
          <w:szCs w:val="28"/>
          <w:lang w:val="en-US" w:eastAsia="zh-CN"/>
        </w:rPr>
        <w:t>价格</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与基准价（102065元/吨）进行</w:t>
      </w:r>
      <w:r>
        <w:rPr>
          <w:rFonts w:hint="eastAsia" w:ascii="黑体" w:hAnsi="黑体" w:eastAsia="黑体" w:cs="宋体"/>
          <w:kern w:val="0"/>
          <w:sz w:val="28"/>
          <w:szCs w:val="28"/>
        </w:rPr>
        <w:t>比</w:t>
      </w:r>
      <w:r>
        <w:rPr>
          <w:rFonts w:hint="eastAsia" w:ascii="黑体" w:hAnsi="黑体" w:eastAsia="黑体" w:cs="宋体"/>
          <w:kern w:val="0"/>
          <w:sz w:val="28"/>
          <w:szCs w:val="28"/>
          <w:lang w:val="en-US" w:eastAsia="zh-CN"/>
        </w:rPr>
        <w:t>对</w:t>
      </w:r>
      <w:r>
        <w:rPr>
          <w:rFonts w:hint="eastAsia" w:ascii="黑体" w:hAnsi="黑体" w:eastAsia="黑体" w:cs="宋体"/>
          <w:kern w:val="0"/>
          <w:sz w:val="28"/>
          <w:szCs w:val="28"/>
        </w:rPr>
        <w:t>，每上涨或下降1000元（含）以上，电缆单价</w:t>
      </w:r>
      <w:r>
        <w:rPr>
          <w:rFonts w:hint="eastAsia" w:ascii="黑体" w:hAnsi="黑体" w:eastAsia="黑体" w:cs="宋体"/>
          <w:kern w:val="0"/>
          <w:sz w:val="28"/>
          <w:szCs w:val="28"/>
          <w:lang w:val="en-US" w:eastAsia="zh-CN"/>
        </w:rPr>
        <w:t>相</w:t>
      </w:r>
      <w:r>
        <w:rPr>
          <w:rFonts w:hint="eastAsia" w:ascii="黑体" w:hAnsi="黑体" w:eastAsia="黑体" w:cs="宋体"/>
          <w:kern w:val="0"/>
          <w:sz w:val="28"/>
          <w:szCs w:val="28"/>
        </w:rPr>
        <w:t>应上涨或下降1.2%。上涨或下降</w:t>
      </w:r>
      <w:r>
        <w:rPr>
          <w:rFonts w:hint="eastAsia" w:ascii="黑体" w:hAnsi="黑体" w:eastAsia="黑体" w:cs="宋体"/>
          <w:kern w:val="0"/>
          <w:sz w:val="28"/>
          <w:szCs w:val="28"/>
          <w:lang w:val="en-US" w:eastAsia="zh-CN"/>
        </w:rPr>
        <w:t>不足1000元价格维持不变。</w:t>
      </w:r>
      <w:r>
        <w:rPr>
          <w:rFonts w:hint="eastAsia" w:ascii="黑体" w:hAnsi="黑体" w:eastAsia="黑体" w:cs="宋体"/>
          <w:kern w:val="0"/>
          <w:sz w:val="28"/>
          <w:szCs w:val="28"/>
        </w:rPr>
        <w:t>以此类推。</w:t>
      </w:r>
      <w:r>
        <w:rPr>
          <w:rFonts w:hint="eastAsia" w:ascii="黑体" w:hAnsi="黑体" w:eastAsia="黑体" w:cs="宋体"/>
          <w:kern w:val="0"/>
          <w:sz w:val="28"/>
          <w:szCs w:val="28"/>
          <w:lang w:val="en-US" w:eastAsia="zh-CN"/>
        </w:rPr>
        <w:t>中标通知书发出当日</w:t>
      </w:r>
      <w:r>
        <w:rPr>
          <w:rFonts w:hint="eastAsia" w:ascii="黑体" w:hAnsi="黑体" w:eastAsia="黑体" w:cs="宋体"/>
          <w:kern w:val="0"/>
          <w:sz w:val="28"/>
          <w:szCs w:val="28"/>
        </w:rPr>
        <w:t>立即确认中标单位并锁定中标产品价格。</w:t>
      </w:r>
    </w:p>
    <w:p w14:paraId="56674FAE">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2</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r>
        <w:rPr>
          <w:rFonts w:hint="eastAsia" w:ascii="黑体" w:hAnsi="黑体" w:eastAsia="黑体" w:cs="宋体"/>
          <w:kern w:val="0"/>
          <w:sz w:val="28"/>
          <w:szCs w:val="28"/>
          <w:lang w:val="en-US" w:eastAsia="zh-CN"/>
        </w:rPr>
        <w:t xml:space="preserve">技术咨询：  李登成13890279539  </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21A47B92">
      <w:pPr>
        <w:spacing w:line="420" w:lineRule="exact"/>
        <w:ind w:firstLine="5880" w:firstLineChars="2100"/>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四川宏达股份有限公司</w:t>
      </w:r>
    </w:p>
    <w:p w14:paraId="0A9B5430">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2</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27</w:t>
      </w:r>
      <w:r>
        <w:rPr>
          <w:rFonts w:hint="eastAsia" w:ascii="黑体" w:hAnsi="黑体" w:eastAsia="黑体" w:cs="宋体"/>
          <w:kern w:val="0"/>
          <w:sz w:val="28"/>
          <w:szCs w:val="28"/>
        </w:rPr>
        <w:t>日</w:t>
      </w:r>
    </w:p>
    <w:p w14:paraId="12331C79">
      <w:pPr>
        <w:pStyle w:val="49"/>
        <w:rPr>
          <w:rFonts w:hint="eastAsia"/>
        </w:rPr>
      </w:pPr>
    </w:p>
    <w:p w14:paraId="5EA652D1">
      <w:pPr>
        <w:spacing w:line="360" w:lineRule="exact"/>
        <w:rPr>
          <w:rFonts w:hint="eastAsia" w:ascii="黑体" w:hAnsi="黑体" w:eastAsia="黑体" w:cs="宋体"/>
          <w:b/>
          <w:kern w:val="0"/>
          <w:sz w:val="28"/>
          <w:szCs w:val="28"/>
          <w:lang w:val="en-US" w:eastAsia="zh-CN"/>
        </w:rPr>
      </w:pPr>
    </w:p>
    <w:p w14:paraId="5EDE6FE8">
      <w:pPr>
        <w:spacing w:line="360" w:lineRule="exact"/>
        <w:rPr>
          <w:rFonts w:hint="eastAsia" w:ascii="黑体" w:hAnsi="黑体" w:eastAsia="黑体" w:cs="宋体"/>
          <w:b/>
          <w:kern w:val="0"/>
          <w:sz w:val="28"/>
          <w:szCs w:val="28"/>
          <w:lang w:val="en-US" w:eastAsia="zh-CN"/>
        </w:rPr>
      </w:pPr>
    </w:p>
    <w:p w14:paraId="6AF4419B">
      <w:pPr>
        <w:spacing w:line="360" w:lineRule="exact"/>
        <w:rPr>
          <w:rFonts w:hint="eastAsia" w:ascii="黑体" w:hAnsi="黑体" w:eastAsia="黑体" w:cs="宋体"/>
          <w:b/>
          <w:kern w:val="0"/>
          <w:sz w:val="28"/>
          <w:szCs w:val="28"/>
          <w:lang w:val="en-US" w:eastAsia="zh-CN"/>
        </w:rPr>
      </w:pPr>
    </w:p>
    <w:p w14:paraId="466FB90F">
      <w:pPr>
        <w:spacing w:line="360" w:lineRule="exact"/>
        <w:rPr>
          <w:rFonts w:hint="eastAsia" w:ascii="黑体" w:hAnsi="黑体" w:eastAsia="黑体" w:cs="宋体"/>
          <w:b/>
          <w:kern w:val="0"/>
          <w:sz w:val="28"/>
          <w:szCs w:val="28"/>
          <w:lang w:val="en-US" w:eastAsia="zh-CN"/>
        </w:rPr>
      </w:pPr>
    </w:p>
    <w:p w14:paraId="5C4F9462">
      <w:pPr>
        <w:spacing w:line="360" w:lineRule="exact"/>
        <w:rPr>
          <w:rFonts w:hint="eastAsia" w:ascii="黑体" w:hAnsi="黑体" w:eastAsia="黑体" w:cs="宋体"/>
          <w:b/>
          <w:kern w:val="0"/>
          <w:sz w:val="28"/>
          <w:szCs w:val="28"/>
          <w:lang w:val="en-US" w:eastAsia="zh-CN"/>
        </w:rPr>
      </w:pPr>
    </w:p>
    <w:p w14:paraId="2FD4FD55">
      <w:pPr>
        <w:spacing w:line="360" w:lineRule="exact"/>
        <w:rPr>
          <w:rFonts w:hint="eastAsia" w:ascii="黑体" w:hAnsi="黑体" w:eastAsia="黑体" w:cs="宋体"/>
          <w:b/>
          <w:kern w:val="0"/>
          <w:sz w:val="28"/>
          <w:szCs w:val="28"/>
          <w:lang w:val="en-US" w:eastAsia="zh-CN"/>
        </w:rPr>
      </w:pPr>
    </w:p>
    <w:p w14:paraId="173AC0BB">
      <w:pPr>
        <w:spacing w:line="360" w:lineRule="exact"/>
        <w:rPr>
          <w:rFonts w:hint="eastAsia" w:ascii="黑体" w:hAnsi="黑体" w:eastAsia="黑体" w:cs="宋体"/>
          <w:b/>
          <w:kern w:val="0"/>
          <w:sz w:val="28"/>
          <w:szCs w:val="28"/>
          <w:lang w:val="en-US" w:eastAsia="zh-CN"/>
        </w:rPr>
      </w:pPr>
    </w:p>
    <w:p w14:paraId="1FC7C989">
      <w:pPr>
        <w:spacing w:line="360" w:lineRule="exact"/>
        <w:rPr>
          <w:rFonts w:hint="eastAsia" w:ascii="黑体" w:hAnsi="黑体" w:eastAsia="黑体" w:cs="宋体"/>
          <w:b/>
          <w:kern w:val="0"/>
          <w:sz w:val="28"/>
          <w:szCs w:val="28"/>
          <w:lang w:val="en-US" w:eastAsia="zh-CN"/>
        </w:rPr>
      </w:pPr>
    </w:p>
    <w:p w14:paraId="67662C89">
      <w:pPr>
        <w:spacing w:line="360" w:lineRule="exact"/>
        <w:rPr>
          <w:rFonts w:hint="eastAsia" w:ascii="黑体" w:hAnsi="黑体" w:eastAsia="黑体" w:cs="宋体"/>
          <w:b/>
          <w:kern w:val="0"/>
          <w:sz w:val="28"/>
          <w:szCs w:val="28"/>
          <w:lang w:val="en-US" w:eastAsia="zh-CN"/>
        </w:rPr>
      </w:pPr>
    </w:p>
    <w:p w14:paraId="2FA186E0">
      <w:pPr>
        <w:spacing w:line="360" w:lineRule="exact"/>
        <w:rPr>
          <w:rFonts w:hint="eastAsia" w:ascii="黑体" w:hAnsi="黑体" w:eastAsia="黑体" w:cs="宋体"/>
          <w:b/>
          <w:kern w:val="0"/>
          <w:sz w:val="28"/>
          <w:szCs w:val="28"/>
          <w:lang w:val="en-US" w:eastAsia="zh-CN"/>
        </w:rPr>
      </w:pPr>
    </w:p>
    <w:p w14:paraId="64039E34">
      <w:pPr>
        <w:spacing w:line="360" w:lineRule="exact"/>
        <w:rPr>
          <w:rFonts w:hint="eastAsia" w:ascii="黑体" w:hAnsi="黑体" w:eastAsia="黑体" w:cs="宋体"/>
          <w:b/>
          <w:kern w:val="0"/>
          <w:sz w:val="28"/>
          <w:szCs w:val="28"/>
          <w:lang w:val="en-US" w:eastAsia="zh-CN"/>
        </w:rPr>
      </w:pPr>
    </w:p>
    <w:p w14:paraId="2F61CBFD">
      <w:pPr>
        <w:spacing w:line="360" w:lineRule="exact"/>
        <w:rPr>
          <w:rFonts w:hint="eastAsia" w:ascii="黑体" w:hAnsi="黑体" w:eastAsia="黑体" w:cs="宋体"/>
          <w:b/>
          <w:kern w:val="0"/>
          <w:sz w:val="28"/>
          <w:szCs w:val="28"/>
          <w:lang w:val="en-US" w:eastAsia="zh-CN"/>
        </w:rPr>
      </w:pPr>
    </w:p>
    <w:p w14:paraId="4EDC3C50">
      <w:pPr>
        <w:spacing w:line="360" w:lineRule="exact"/>
        <w:rPr>
          <w:rFonts w:hint="eastAsia" w:ascii="黑体" w:hAnsi="黑体" w:eastAsia="黑体" w:cs="宋体"/>
          <w:b/>
          <w:kern w:val="0"/>
          <w:sz w:val="28"/>
          <w:szCs w:val="28"/>
          <w:lang w:val="en-US" w:eastAsia="zh-CN"/>
        </w:rPr>
      </w:pPr>
    </w:p>
    <w:p w14:paraId="6E45DDBF">
      <w:pPr>
        <w:spacing w:line="360" w:lineRule="exact"/>
        <w:rPr>
          <w:rFonts w:hint="eastAsia" w:ascii="黑体" w:hAnsi="黑体" w:eastAsia="黑体" w:cs="宋体"/>
          <w:b/>
          <w:kern w:val="0"/>
          <w:sz w:val="28"/>
          <w:szCs w:val="28"/>
          <w:lang w:val="en-US" w:eastAsia="zh-CN"/>
        </w:rPr>
      </w:pPr>
    </w:p>
    <w:p w14:paraId="70484C31">
      <w:pPr>
        <w:spacing w:line="360" w:lineRule="exact"/>
        <w:rPr>
          <w:rFonts w:hint="eastAsia" w:ascii="黑体" w:hAnsi="黑体" w:eastAsia="黑体" w:cs="宋体"/>
          <w:b/>
          <w:kern w:val="0"/>
          <w:sz w:val="28"/>
          <w:szCs w:val="28"/>
          <w:lang w:val="en-US" w:eastAsia="zh-CN"/>
        </w:rPr>
      </w:pPr>
    </w:p>
    <w:p w14:paraId="4474F81C">
      <w:pPr>
        <w:spacing w:line="360" w:lineRule="exact"/>
        <w:rPr>
          <w:rFonts w:hint="eastAsia" w:ascii="黑体" w:hAnsi="黑体" w:eastAsia="黑体" w:cs="宋体"/>
          <w:b/>
          <w:kern w:val="0"/>
          <w:sz w:val="28"/>
          <w:szCs w:val="28"/>
          <w:lang w:val="en-US" w:eastAsia="zh-CN"/>
        </w:rPr>
      </w:pPr>
    </w:p>
    <w:p w14:paraId="74A99CC5">
      <w:pPr>
        <w:spacing w:line="360" w:lineRule="exact"/>
        <w:rPr>
          <w:rFonts w:hint="eastAsia" w:ascii="黑体" w:hAnsi="黑体" w:eastAsia="黑体" w:cs="宋体"/>
          <w:b/>
          <w:kern w:val="0"/>
          <w:sz w:val="28"/>
          <w:szCs w:val="28"/>
          <w:lang w:val="en-US" w:eastAsia="zh-CN"/>
        </w:rPr>
      </w:pPr>
    </w:p>
    <w:p w14:paraId="7AABCD7E">
      <w:pPr>
        <w:spacing w:line="360" w:lineRule="exact"/>
        <w:rPr>
          <w:rFonts w:hint="eastAsia" w:ascii="黑体" w:hAnsi="黑体" w:eastAsia="黑体" w:cs="宋体"/>
          <w:b/>
          <w:kern w:val="0"/>
          <w:sz w:val="28"/>
          <w:szCs w:val="28"/>
          <w:lang w:val="en-US" w:eastAsia="zh-CN"/>
        </w:rPr>
      </w:pPr>
    </w:p>
    <w:p w14:paraId="5321AC61">
      <w:pPr>
        <w:spacing w:line="360" w:lineRule="exact"/>
        <w:rPr>
          <w:rFonts w:hint="eastAsia" w:ascii="黑体" w:hAnsi="黑体" w:eastAsia="黑体" w:cs="宋体"/>
          <w:b/>
          <w:kern w:val="0"/>
          <w:sz w:val="28"/>
          <w:szCs w:val="28"/>
          <w:lang w:val="en-US" w:eastAsia="zh-CN"/>
        </w:rPr>
      </w:pPr>
    </w:p>
    <w:p w14:paraId="405E1864">
      <w:pPr>
        <w:spacing w:line="360" w:lineRule="exact"/>
        <w:rPr>
          <w:rFonts w:hint="eastAsia" w:ascii="黑体" w:hAnsi="黑体" w:eastAsia="黑体" w:cs="宋体"/>
          <w:b/>
          <w:kern w:val="0"/>
          <w:sz w:val="28"/>
          <w:szCs w:val="28"/>
          <w:lang w:val="en-US" w:eastAsia="zh-CN"/>
        </w:rPr>
      </w:pPr>
    </w:p>
    <w:p w14:paraId="087D7250">
      <w:pPr>
        <w:spacing w:line="360" w:lineRule="exact"/>
        <w:rPr>
          <w:rFonts w:hint="eastAsia" w:ascii="黑体" w:hAnsi="黑体" w:eastAsia="黑体" w:cs="宋体"/>
          <w:b/>
          <w:kern w:val="0"/>
          <w:sz w:val="28"/>
          <w:szCs w:val="28"/>
          <w:lang w:val="en-US" w:eastAsia="zh-CN"/>
        </w:rPr>
      </w:pPr>
    </w:p>
    <w:p w14:paraId="6B16D494">
      <w:pPr>
        <w:spacing w:line="360" w:lineRule="exact"/>
        <w:rPr>
          <w:rFonts w:hint="eastAsia" w:ascii="黑体" w:hAnsi="黑体" w:eastAsia="黑体" w:cs="宋体"/>
          <w:b/>
          <w:kern w:val="0"/>
          <w:sz w:val="28"/>
          <w:szCs w:val="28"/>
          <w:lang w:val="en-US" w:eastAsia="zh-CN"/>
        </w:rPr>
      </w:pPr>
    </w:p>
    <w:p w14:paraId="7225673D">
      <w:pPr>
        <w:spacing w:line="360" w:lineRule="exact"/>
        <w:rPr>
          <w:rFonts w:hint="eastAsia" w:ascii="黑体" w:hAnsi="黑体" w:eastAsia="黑体" w:cs="宋体"/>
          <w:b/>
          <w:kern w:val="0"/>
          <w:sz w:val="28"/>
          <w:szCs w:val="28"/>
          <w:lang w:val="en-US" w:eastAsia="zh-CN"/>
        </w:rPr>
      </w:pPr>
    </w:p>
    <w:p w14:paraId="25B3B14D">
      <w:pPr>
        <w:spacing w:line="360" w:lineRule="exact"/>
        <w:rPr>
          <w:rFonts w:hint="eastAsia" w:ascii="黑体" w:hAnsi="黑体" w:eastAsia="黑体" w:cs="宋体"/>
          <w:b/>
          <w:kern w:val="0"/>
          <w:sz w:val="28"/>
          <w:szCs w:val="28"/>
          <w:lang w:val="en-US" w:eastAsia="zh-CN"/>
        </w:rPr>
      </w:pPr>
    </w:p>
    <w:p w14:paraId="3CF6FD3C">
      <w:pPr>
        <w:spacing w:line="360" w:lineRule="exact"/>
        <w:rPr>
          <w:rFonts w:hint="eastAsia" w:ascii="黑体" w:hAnsi="黑体" w:eastAsia="黑体" w:cs="宋体"/>
          <w:b/>
          <w:kern w:val="0"/>
          <w:sz w:val="28"/>
          <w:szCs w:val="28"/>
          <w:lang w:val="en-US" w:eastAsia="zh-CN"/>
        </w:rPr>
      </w:pPr>
    </w:p>
    <w:p w14:paraId="0B3FB0DB">
      <w:pPr>
        <w:spacing w:line="360" w:lineRule="exact"/>
        <w:rPr>
          <w:rFonts w:hint="eastAsia" w:ascii="黑体" w:hAnsi="黑体" w:eastAsia="黑体" w:cs="宋体"/>
          <w:b/>
          <w:kern w:val="0"/>
          <w:sz w:val="28"/>
          <w:szCs w:val="28"/>
          <w:lang w:val="en-US" w:eastAsia="zh-CN"/>
        </w:rPr>
      </w:pPr>
    </w:p>
    <w:p w14:paraId="17071F13">
      <w:pPr>
        <w:spacing w:line="360" w:lineRule="exact"/>
        <w:rPr>
          <w:rFonts w:hint="eastAsia" w:ascii="黑体" w:hAnsi="黑体" w:eastAsia="黑体" w:cs="宋体"/>
          <w:b/>
          <w:kern w:val="0"/>
          <w:sz w:val="28"/>
          <w:szCs w:val="28"/>
        </w:rPr>
      </w:pPr>
      <w:r>
        <w:rPr>
          <w:rFonts w:hint="eastAsia" w:ascii="黑体" w:hAnsi="黑体" w:eastAsia="黑体" w:cs="宋体"/>
          <w:b/>
          <w:kern w:val="0"/>
          <w:sz w:val="28"/>
          <w:szCs w:val="28"/>
          <w:lang w:val="en-US" w:eastAsia="zh-CN"/>
        </w:rPr>
        <w:t>附件：</w:t>
      </w:r>
    </w:p>
    <w:p w14:paraId="444EDB62">
      <w:pPr>
        <w:spacing w:line="360" w:lineRule="exact"/>
        <w:rPr>
          <w:rFonts w:hint="eastAsia" w:ascii="黑体" w:hAnsi="黑体" w:eastAsia="黑体" w:cs="宋体"/>
          <w:b/>
          <w:kern w:val="0"/>
          <w:sz w:val="28"/>
          <w:szCs w:val="28"/>
        </w:rPr>
      </w:pPr>
    </w:p>
    <w:p w14:paraId="649475FA">
      <w:pPr>
        <w:numPr>
          <w:ilvl w:val="0"/>
          <w:numId w:val="3"/>
        </w:numPr>
        <w:kinsoku/>
        <w:overflowPunct/>
        <w:topLinePunct w:val="0"/>
        <w:bidi w:val="0"/>
        <w:ind w:left="0" w:leftChars="0" w:right="0" w:rightChars="0" w:firstLine="640" w:firstLineChars="200"/>
        <w:jc w:val="center"/>
        <w:rPr>
          <w:rFonts w:hint="eastAsia" w:ascii="黑体" w:hAnsi="黑体" w:eastAsia="黑体" w:cs="黑体"/>
          <w:b w:val="0"/>
          <w:bCs w:val="0"/>
          <w:sz w:val="32"/>
          <w:szCs w:val="32"/>
          <w:lang w:val="en-US" w:eastAsia="zh-CN"/>
        </w:rPr>
      </w:pPr>
      <w:r>
        <w:rPr>
          <w:rFonts w:hint="eastAsia" w:ascii="黑体" w:hAnsi="宋体" w:eastAsia="黑体"/>
          <w:color w:val="auto"/>
          <w:sz w:val="32"/>
          <w:szCs w:val="32"/>
        </w:rPr>
        <w:t xml:space="preserve"> </w:t>
      </w:r>
      <w:r>
        <w:rPr>
          <w:rFonts w:hint="eastAsia" w:ascii="黑体" w:hAnsi="黑体" w:eastAsia="黑体" w:cs="黑体"/>
          <w:b w:val="0"/>
          <w:bCs w:val="0"/>
          <w:sz w:val="32"/>
          <w:szCs w:val="32"/>
          <w:lang w:val="en-US" w:eastAsia="zh-CN"/>
        </w:rPr>
        <w:t>电缆采购项目</w:t>
      </w:r>
    </w:p>
    <w:p w14:paraId="4C17A279">
      <w:pPr>
        <w:jc w:val="center"/>
        <w:rPr>
          <w:rFonts w:hint="eastAsia" w:ascii="黑体" w:hAnsi="黑体" w:eastAsia="黑体" w:cs="黑体"/>
          <w:b w:val="0"/>
          <w:bCs w:val="0"/>
          <w:sz w:val="32"/>
          <w:szCs w:val="32"/>
          <w:lang w:val="en-US" w:eastAsia="zh-CN"/>
        </w:rPr>
      </w:pPr>
    </w:p>
    <w:p w14:paraId="26DFE4FB">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响应性</w:t>
      </w:r>
      <w:r>
        <w:rPr>
          <w:rFonts w:hint="eastAsia" w:ascii="黑体" w:hAnsi="黑体" w:eastAsia="黑体" w:cs="黑体"/>
          <w:b w:val="0"/>
          <w:bCs w:val="0"/>
          <w:sz w:val="32"/>
          <w:szCs w:val="32"/>
        </w:rPr>
        <w:t>文件</w:t>
      </w:r>
    </w:p>
    <w:p w14:paraId="2D3A4F1A">
      <w:pPr>
        <w:kinsoku/>
        <w:overflowPunct/>
        <w:topLinePunct w:val="0"/>
        <w:bidi w:val="0"/>
        <w:ind w:left="0" w:leftChars="0" w:right="0" w:rightChars="0" w:firstLine="720" w:firstLineChars="200"/>
        <w:jc w:val="center"/>
        <w:rPr>
          <w:rFonts w:ascii="黑体" w:hAnsi="宋体" w:eastAsia="黑体"/>
          <w:b w:val="0"/>
          <w:bCs w:val="0"/>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2CA9FBF9">
      <w:pPr>
        <w:kinsoku/>
        <w:overflowPunct/>
        <w:topLinePunct w:val="0"/>
        <w:bidi w:val="0"/>
        <w:ind w:right="0" w:rightChars="0"/>
        <w:jc w:val="both"/>
        <w:rPr>
          <w:rFonts w:hint="eastAsia" w:ascii="宋体" w:hAnsi="宋体" w:cs="宋体" w:eastAsiaTheme="minorEastAsia"/>
          <w:b/>
          <w:bCs/>
          <w:color w:val="auto"/>
          <w:sz w:val="28"/>
          <w:szCs w:val="28"/>
          <w:lang w:eastAsia="zh-CN"/>
        </w:rPr>
      </w:pPr>
      <w:r>
        <w:rPr>
          <w:rFonts w:hint="eastAsia" w:ascii="宋体" w:hAnsi="宋体" w:cs="宋体"/>
          <w:b/>
          <w:bCs/>
          <w:color w:val="auto"/>
          <w:sz w:val="28"/>
          <w:szCs w:val="28"/>
        </w:rPr>
        <w:br w:type="page"/>
      </w:r>
      <w:bookmarkStart w:id="2" w:name="_Toc9978"/>
      <w:bookmarkStart w:id="3" w:name="_Toc30198"/>
      <w:bookmarkStart w:id="4" w:name="_Toc4384"/>
      <w:r>
        <w:rPr>
          <w:rFonts w:hint="eastAsia" w:cs="黑体" w:asciiTheme="minorEastAsia" w:hAnsiTheme="minorEastAsia" w:eastAsiaTheme="minorEastAsia"/>
          <w:b/>
          <w:bCs/>
          <w:kern w:val="44"/>
          <w:sz w:val="28"/>
          <w:szCs w:val="28"/>
          <w:highlight w:val="none"/>
          <w:lang w:val="zh-CN"/>
        </w:rPr>
        <w:t>（一）</w:t>
      </w:r>
      <w:r>
        <w:rPr>
          <w:rFonts w:hint="eastAsia" w:ascii="宋体" w:hAnsi="宋体" w:cs="宋体"/>
          <w:b/>
          <w:bCs/>
          <w:color w:val="auto"/>
          <w:sz w:val="28"/>
          <w:szCs w:val="28"/>
          <w:lang w:val="en-US" w:eastAsia="zh-CN"/>
        </w:rPr>
        <w:t>营业执照</w:t>
      </w:r>
    </w:p>
    <w:p w14:paraId="58BF0FC2">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40801BCC">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6AB3824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55D35BE3">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6E1C716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5C449070">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C0292BE">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441D8F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4A6921F1">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2987261C">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C90A0B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bookmarkEnd w:id="2"/>
    <w:bookmarkEnd w:id="3"/>
    <w:bookmarkEnd w:id="4"/>
    <w:p w14:paraId="5343824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7F1455B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 xml:space="preserve"> </w:t>
      </w:r>
    </w:p>
    <w:p w14:paraId="67F3131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16B58939">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3C830A82">
      <w:pPr>
        <w:keepNext/>
        <w:keepLines/>
        <w:tabs>
          <w:tab w:val="left" w:pos="215"/>
          <w:tab w:val="center" w:pos="4535"/>
        </w:tabs>
        <w:autoSpaceDE w:val="0"/>
        <w:autoSpaceDN w:val="0"/>
        <w:adjustRightInd w:val="0"/>
        <w:spacing w:before="340" w:after="330"/>
        <w:jc w:val="both"/>
        <w:rPr>
          <w:rFonts w:cs="黑体" w:asciiTheme="minorEastAsia" w:hAnsiTheme="minorEastAsia" w:eastAsiaTheme="minorEastAsia"/>
          <w:b/>
          <w:bCs/>
          <w:kern w:val="44"/>
          <w:sz w:val="28"/>
          <w:szCs w:val="28"/>
          <w:highlight w:val="none"/>
          <w:lang w:val="zh-CN"/>
        </w:rPr>
      </w:pPr>
      <w:r>
        <w:rPr>
          <w:rFonts w:hint="eastAsia" w:cs="黑体" w:asciiTheme="minorEastAsia" w:hAnsiTheme="minorEastAsia"/>
          <w:b/>
          <w:bCs/>
          <w:kern w:val="44"/>
          <w:sz w:val="28"/>
          <w:szCs w:val="28"/>
          <w:highlight w:val="none"/>
          <w:lang w:val="zh-CN"/>
        </w:rPr>
        <w:t>（</w:t>
      </w:r>
      <w:r>
        <w:rPr>
          <w:rFonts w:hint="eastAsia" w:cs="黑体" w:asciiTheme="minorEastAsia" w:hAnsiTheme="minorEastAsia"/>
          <w:b/>
          <w:bCs/>
          <w:kern w:val="44"/>
          <w:sz w:val="28"/>
          <w:szCs w:val="28"/>
          <w:highlight w:val="none"/>
          <w:lang w:val="en-US" w:eastAsia="zh-CN"/>
        </w:rPr>
        <w:t>二</w:t>
      </w:r>
      <w:r>
        <w:rPr>
          <w:rFonts w:hint="eastAsia" w:cs="黑体" w:asciiTheme="minorEastAsia" w:hAnsiTheme="minorEastAsia"/>
          <w:b/>
          <w:bCs/>
          <w:kern w:val="44"/>
          <w:sz w:val="28"/>
          <w:szCs w:val="28"/>
          <w:highlight w:val="none"/>
          <w:lang w:val="zh-CN"/>
        </w:rPr>
        <w:t>）</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p>
    <w:p w14:paraId="24EF1B26">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4A0D465D">
      <w:pPr>
        <w:pStyle w:val="51"/>
        <w:keepNext w:val="0"/>
        <w:keepLines w:val="0"/>
        <w:pageBreakBefore w:val="0"/>
        <w:numPr>
          <w:ilvl w:val="0"/>
          <w:numId w:val="4"/>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07481A4D">
      <w:pPr>
        <w:keepNext w:val="0"/>
        <w:keepLines w:val="0"/>
        <w:pageBreakBefore w:val="0"/>
        <w:widowControl/>
        <w:numPr>
          <w:ilvl w:val="0"/>
          <w:numId w:val="4"/>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5DE9AEA5">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1B20D02A">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2912102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597BDCF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53D069AB">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p>
    <w:p w14:paraId="2F578CB2">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601BA19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272C6BD8">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4DAD82C0">
      <w:pPr>
        <w:kinsoku/>
        <w:overflowPunct/>
        <w:topLinePunct w:val="0"/>
        <w:bidi w:val="0"/>
        <w:spacing w:line="360" w:lineRule="auto"/>
        <w:ind w:left="0" w:leftChars="0" w:right="0" w:rightChars="0" w:firstLine="480" w:firstLineChars="200"/>
        <w:rPr>
          <w:rFonts w:ascii="宋体" w:hAnsi="宋体"/>
          <w:color w:val="auto"/>
          <w:sz w:val="24"/>
        </w:rPr>
      </w:pPr>
    </w:p>
    <w:p w14:paraId="350FAD36">
      <w:pPr>
        <w:pStyle w:val="50"/>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详细报价清单</w:t>
      </w:r>
    </w:p>
    <w:p w14:paraId="3E52CC95">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6"/>
        <w:tblW w:w="10167" w:type="dxa"/>
        <w:tblInd w:w="0" w:type="dxa"/>
        <w:shd w:val="clear" w:color="auto" w:fill="auto"/>
        <w:tblLayout w:type="fixed"/>
        <w:tblCellMar>
          <w:top w:w="0" w:type="dxa"/>
          <w:left w:w="0" w:type="dxa"/>
          <w:bottom w:w="0" w:type="dxa"/>
          <w:right w:w="0" w:type="dxa"/>
        </w:tblCellMar>
      </w:tblPr>
      <w:tblGrid>
        <w:gridCol w:w="705"/>
        <w:gridCol w:w="1894"/>
        <w:gridCol w:w="1550"/>
        <w:gridCol w:w="940"/>
        <w:gridCol w:w="830"/>
        <w:gridCol w:w="1740"/>
        <w:gridCol w:w="1270"/>
        <w:gridCol w:w="1238"/>
      </w:tblGrid>
      <w:tr w14:paraId="5D6A8E4E">
        <w:tblPrEx>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AD98143">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894"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A733B4">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55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5F15EBF">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94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4F4634F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5EAC6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4FCACF">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w:t>
            </w:r>
          </w:p>
        </w:tc>
        <w:tc>
          <w:tcPr>
            <w:tcW w:w="1238"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3A32418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2A2EEBA4">
        <w:tblPrEx>
          <w:shd w:val="clear" w:color="auto" w:fill="auto"/>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810BAD6">
            <w:pPr>
              <w:jc w:val="center"/>
              <w:rPr>
                <w:rFonts w:hint="eastAsia" w:ascii="宋体" w:hAnsi="宋体" w:eastAsia="宋体" w:cs="宋体"/>
                <w:b/>
                <w:i w:val="0"/>
                <w:color w:val="auto"/>
                <w:sz w:val="18"/>
                <w:szCs w:val="18"/>
                <w:highlight w:val="none"/>
                <w:u w:val="none"/>
              </w:rPr>
            </w:pPr>
          </w:p>
        </w:tc>
        <w:tc>
          <w:tcPr>
            <w:tcW w:w="1894"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187A06">
            <w:pPr>
              <w:jc w:val="center"/>
              <w:rPr>
                <w:rFonts w:hint="eastAsia" w:ascii="宋体" w:hAnsi="宋体" w:eastAsia="宋体" w:cs="宋体"/>
                <w:b/>
                <w:i w:val="0"/>
                <w:color w:val="auto"/>
                <w:sz w:val="18"/>
                <w:szCs w:val="18"/>
                <w:highlight w:val="none"/>
                <w:u w:val="none"/>
              </w:rPr>
            </w:pPr>
          </w:p>
        </w:tc>
        <w:tc>
          <w:tcPr>
            <w:tcW w:w="155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724D1F3">
            <w:pPr>
              <w:jc w:val="center"/>
              <w:rPr>
                <w:rFonts w:hint="eastAsia" w:ascii="宋体" w:hAnsi="宋体" w:eastAsia="宋体" w:cs="宋体"/>
                <w:b/>
                <w:i w:val="0"/>
                <w:color w:val="auto"/>
                <w:sz w:val="18"/>
                <w:szCs w:val="18"/>
                <w:highlight w:val="none"/>
                <w:u w:val="none"/>
              </w:rPr>
            </w:pPr>
          </w:p>
        </w:tc>
        <w:tc>
          <w:tcPr>
            <w:tcW w:w="94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9063BF8">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45975D5E">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3725C2">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7F7C4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238"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40D6BCDC">
            <w:pPr>
              <w:jc w:val="left"/>
              <w:rPr>
                <w:rFonts w:hint="eastAsia" w:ascii="宋体" w:hAnsi="宋体" w:eastAsia="宋体" w:cs="宋体"/>
                <w:b/>
                <w:i w:val="0"/>
                <w:color w:val="auto"/>
                <w:sz w:val="18"/>
                <w:szCs w:val="18"/>
                <w:highlight w:val="none"/>
                <w:u w:val="none"/>
              </w:rPr>
            </w:pPr>
          </w:p>
        </w:tc>
      </w:tr>
      <w:tr w14:paraId="6F0D729C">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41124F78">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E65E14">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9E4D0">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034FBA">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437FC6">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2FE4B5">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0853B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B10982B">
            <w:pPr>
              <w:rPr>
                <w:rFonts w:hint="eastAsia" w:ascii="宋体" w:hAnsi="宋体" w:eastAsia="宋体" w:cs="宋体"/>
                <w:i w:val="0"/>
                <w:color w:val="auto"/>
                <w:sz w:val="18"/>
                <w:szCs w:val="18"/>
                <w:highlight w:val="none"/>
                <w:u w:val="none"/>
              </w:rPr>
            </w:pPr>
          </w:p>
        </w:tc>
      </w:tr>
      <w:tr w14:paraId="338A1594">
        <w:tblPrEx>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1B6CC9B">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2</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BADBD8">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4DF295">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9F47E2">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892979">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F0991B">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03821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AACD118">
            <w:pPr>
              <w:rPr>
                <w:rFonts w:hint="eastAsia" w:ascii="宋体" w:hAnsi="宋体" w:eastAsia="宋体" w:cs="宋体"/>
                <w:i w:val="0"/>
                <w:color w:val="auto"/>
                <w:sz w:val="18"/>
                <w:szCs w:val="18"/>
                <w:highlight w:val="none"/>
                <w:u w:val="none"/>
              </w:rPr>
            </w:pPr>
          </w:p>
        </w:tc>
      </w:tr>
      <w:tr w14:paraId="6A46AA02">
        <w:tblPrEx>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4224D72">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EDEC1F">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D2077C">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1AB20">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69CBF0">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5125F2">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1452AA">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938AA0E">
            <w:pPr>
              <w:rPr>
                <w:rFonts w:hint="eastAsia" w:ascii="宋体" w:hAnsi="宋体" w:eastAsia="宋体" w:cs="宋体"/>
                <w:i w:val="0"/>
                <w:color w:val="auto"/>
                <w:sz w:val="18"/>
                <w:szCs w:val="18"/>
                <w:highlight w:val="none"/>
                <w:u w:val="none"/>
              </w:rPr>
            </w:pPr>
          </w:p>
        </w:tc>
      </w:tr>
      <w:tr w14:paraId="72A84B29">
        <w:tblPrEx>
          <w:tblCellMar>
            <w:top w:w="0" w:type="dxa"/>
            <w:left w:w="0" w:type="dxa"/>
            <w:bottom w:w="0" w:type="dxa"/>
            <w:right w:w="0" w:type="dxa"/>
          </w:tblCellMar>
        </w:tblPrEx>
        <w:trPr>
          <w:trHeight w:val="78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B48DF1B">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7568" w:type="dxa"/>
            <w:gridSpan w:val="6"/>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66B6F9D">
            <w:pPr>
              <w:rPr>
                <w:rFonts w:hint="default" w:ascii="宋体" w:hAnsi="宋体" w:eastAsia="宋体" w:cs="宋体"/>
                <w:b/>
                <w:bCs/>
                <w:i w:val="0"/>
                <w:color w:val="auto"/>
                <w:sz w:val="18"/>
                <w:szCs w:val="18"/>
                <w:highlight w:val="none"/>
                <w:u w:val="none"/>
                <w:lang w:val="en-US" w:eastAsia="zh-CN"/>
              </w:rPr>
            </w:pPr>
          </w:p>
        </w:tc>
      </w:tr>
    </w:tbl>
    <w:p w14:paraId="006CBA46">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51280B88">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 xml:space="preserve"> </w:t>
      </w: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1324212">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D4386F5">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3489B2C">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22FDE0E">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4AAD0163">
      <w:pPr>
        <w:kinsoku/>
        <w:overflowPunct/>
        <w:topLinePunct w:val="0"/>
        <w:bidi w:val="0"/>
        <w:ind w:left="0" w:leftChars="0" w:right="0" w:rightChars="0" w:firstLine="420" w:firstLineChars="200"/>
        <w:jc w:val="left"/>
        <w:rPr>
          <w:rFonts w:hint="eastAsia" w:ascii="宋体" w:hAnsi="宋体" w:cs="宋体"/>
          <w:b/>
          <w:bCs/>
          <w:color w:val="auto"/>
          <w:sz w:val="28"/>
          <w:szCs w:val="28"/>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费、包装费、装车费、运费、保险费、税金等。</w:t>
      </w:r>
      <w:r>
        <w:rPr>
          <w:rFonts w:hint="eastAsia"/>
          <w:color w:val="auto"/>
        </w:rPr>
        <w:t xml:space="preserve"> </w:t>
      </w:r>
      <w:r>
        <w:rPr>
          <w:rFonts w:hint="eastAsia" w:ascii="宋体" w:hAnsi="宋体"/>
          <w:color w:val="auto"/>
          <w:szCs w:val="21"/>
        </w:rPr>
        <w:t xml:space="preserve">    </w:t>
      </w:r>
    </w:p>
    <w:p w14:paraId="52368491">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170DC4">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5560B3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D60356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D4E26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02E3FD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FE50DB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1CD76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4F6F3B">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27366E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D94BB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8269BC">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8C876B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450208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37889E69">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1DAEE8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2AA4691">
      <w:pPr>
        <w:kinsoku/>
        <w:overflowPunct/>
        <w:topLinePunct w:val="0"/>
        <w:bidi w:val="0"/>
        <w:spacing w:line="360" w:lineRule="auto"/>
        <w:ind w:right="0" w:rightChars="0"/>
        <w:jc w:val="left"/>
        <w:rPr>
          <w:rFonts w:hint="eastAsia" w:ascii="宋体" w:hAnsi="宋体"/>
          <w:b/>
          <w:color w:val="auto"/>
          <w:sz w:val="28"/>
        </w:rPr>
      </w:pPr>
      <w:r>
        <w:rPr>
          <w:rFonts w:hint="eastAsia" w:ascii="宋体" w:hAnsi="宋体"/>
          <w:b/>
          <w:color w:val="auto"/>
          <w:sz w:val="28"/>
          <w:lang w:eastAsia="zh-CN"/>
        </w:rPr>
        <w:t>（</w:t>
      </w:r>
      <w:r>
        <w:rPr>
          <w:rFonts w:hint="eastAsia" w:ascii="宋体" w:hAnsi="宋体"/>
          <w:b/>
          <w:color w:val="auto"/>
          <w:sz w:val="28"/>
          <w:lang w:val="en-US" w:eastAsia="zh-CN"/>
        </w:rPr>
        <w:t>三</w:t>
      </w:r>
      <w:r>
        <w:rPr>
          <w:rFonts w:hint="eastAsia" w:ascii="宋体" w:hAnsi="宋体"/>
          <w:b/>
          <w:color w:val="auto"/>
          <w:sz w:val="28"/>
          <w:lang w:eastAsia="zh-CN"/>
        </w:rPr>
        <w:t>）</w:t>
      </w:r>
      <w:r>
        <w:rPr>
          <w:rFonts w:hint="eastAsia" w:ascii="宋体" w:hAnsi="宋体"/>
          <w:b/>
          <w:color w:val="auto"/>
          <w:sz w:val="28"/>
        </w:rPr>
        <w:t>承 诺</w:t>
      </w:r>
    </w:p>
    <w:p w14:paraId="53F8A8EB">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2ACFF601">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1694F36C">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49724592">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7205712E">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5801B50A">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0A29B52A">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0A87ED0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1E8645F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200B3EE8">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05E9363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6215057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31F8086E">
      <w:pPr>
        <w:kinsoku/>
        <w:overflowPunct/>
        <w:topLinePunct w:val="0"/>
        <w:bidi w:val="0"/>
        <w:spacing w:line="360" w:lineRule="auto"/>
        <w:ind w:left="0" w:leftChars="0" w:right="0" w:rightChars="0" w:firstLine="4200" w:firstLineChars="2000"/>
        <w:rPr>
          <w:rFonts w:hint="eastAsia" w:eastAsiaTheme="minorEastAsia"/>
          <w:color w:val="auto"/>
          <w:kern w:val="0"/>
          <w:lang w:val="en-US" w:eastAsia="zh-CN"/>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u w:val="single"/>
          <w:lang w:val="en-US" w:eastAsia="zh-CN"/>
        </w:rPr>
        <w:t xml:space="preserve">  日</w:t>
      </w:r>
    </w:p>
    <w:p w14:paraId="1714710B">
      <w:pPr>
        <w:kinsoku/>
        <w:overflowPunct/>
        <w:topLinePunct w:val="0"/>
        <w:bidi w:val="0"/>
        <w:ind w:right="0" w:rightChars="0"/>
        <w:jc w:val="left"/>
        <w:rPr>
          <w:rFonts w:hint="default" w:eastAsiaTheme="minorEastAsia"/>
          <w:b/>
          <w:bCs/>
          <w:color w:val="auto"/>
          <w:sz w:val="36"/>
          <w:szCs w:val="36"/>
          <w:lang w:val="en-US" w:eastAsia="zh-CN"/>
        </w:rPr>
      </w:pPr>
      <w:r>
        <w:rPr>
          <w:rFonts w:hint="eastAsia" w:ascii="黑体" w:hAnsi="宋体" w:eastAsia="黑体"/>
          <w:color w:val="auto"/>
          <w:sz w:val="30"/>
          <w:szCs w:val="30"/>
          <w:lang w:val="en-US" w:eastAsia="zh-CN"/>
        </w:rPr>
        <w:t xml:space="preserve">第三章 </w:t>
      </w:r>
      <w:r>
        <w:rPr>
          <w:rFonts w:hint="eastAsia" w:ascii="宋体" w:hAnsi="宋体"/>
          <w:b/>
          <w:bCs/>
          <w:color w:val="auto"/>
          <w:sz w:val="30"/>
          <w:szCs w:val="30"/>
        </w:rPr>
        <w:t>合同</w:t>
      </w:r>
      <w:r>
        <w:rPr>
          <w:rFonts w:hint="eastAsia" w:ascii="宋体" w:hAnsi="宋体"/>
          <w:b/>
          <w:bCs/>
          <w:color w:val="auto"/>
          <w:sz w:val="30"/>
          <w:szCs w:val="30"/>
          <w:lang w:val="en-US" w:eastAsia="zh-CN"/>
        </w:rPr>
        <w:t>条款及格式（响应文件中无需体现）</w:t>
      </w:r>
    </w:p>
    <w:p w14:paraId="57AE4876">
      <w:pPr>
        <w:widowControl/>
        <w:jc w:val="left"/>
        <w:rPr>
          <w:rFonts w:hint="eastAsia" w:ascii="宋体" w:hAnsi="宋体"/>
          <w:color w:val="auto"/>
          <w:kern w:val="0"/>
          <w:szCs w:val="21"/>
        </w:rPr>
      </w:pPr>
    </w:p>
    <w:p w14:paraId="366510FC">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11B8C613">
      <w:pPr>
        <w:spacing w:line="400" w:lineRule="exact"/>
        <w:jc w:val="center"/>
        <w:rPr>
          <w:rFonts w:ascii="黑体" w:hAnsi="黑体" w:eastAsia="黑体"/>
          <w:bCs/>
          <w:color w:val="auto"/>
          <w:sz w:val="36"/>
          <w:szCs w:val="36"/>
        </w:rPr>
      </w:pPr>
    </w:p>
    <w:p w14:paraId="02F413DD">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w:t>
      </w:r>
      <w:r>
        <w:rPr>
          <w:rFonts w:hint="eastAsia" w:ascii="黑体" w:hAnsi="黑体" w:eastAsia="黑体" w:cs="黑体"/>
          <w:color w:val="auto"/>
          <w:sz w:val="24"/>
          <w:szCs w:val="24"/>
          <w:lang w:val="en-US" w:eastAsia="zh-CN"/>
        </w:rPr>
        <w:t>26</w:t>
      </w:r>
      <w:r>
        <w:rPr>
          <w:rFonts w:hint="eastAsia" w:ascii="黑体" w:hAnsi="黑体" w:eastAsia="黑体" w:cs="黑体"/>
          <w:color w:val="auto"/>
          <w:sz w:val="24"/>
          <w:szCs w:val="24"/>
        </w:rPr>
        <w:t>-</w:t>
      </w:r>
    </w:p>
    <w:p w14:paraId="2532BFC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40ECEC40">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25867E01">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17C73BFC">
      <w:pPr>
        <w:pStyle w:val="48"/>
        <w:numPr>
          <w:ilvl w:val="0"/>
          <w:numId w:val="5"/>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7"/>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26E49F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CDF18">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DF4F4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6DEB27C">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18F4C31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88D03A">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1189B41">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B819B0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598DB13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18E884A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3D5EF4">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4B3483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2CC884">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56B7432">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268AE">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E55D6">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BE6619A">
            <w:pPr>
              <w:pStyle w:val="48"/>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3195684">
            <w:pPr>
              <w:pStyle w:val="48"/>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6A987199">
            <w:pPr>
              <w:pStyle w:val="48"/>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437B671C">
            <w:pPr>
              <w:pStyle w:val="48"/>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D7BFD92">
            <w:pPr>
              <w:pStyle w:val="48"/>
              <w:spacing w:line="400" w:lineRule="exact"/>
              <w:ind w:firstLine="0" w:firstLineChars="0"/>
              <w:jc w:val="center"/>
              <w:rPr>
                <w:rFonts w:ascii="黑体" w:hAnsi="黑体" w:eastAsia="黑体" w:cs="黑体"/>
                <w:b w:val="0"/>
                <w:bCs/>
                <w:color w:val="auto"/>
                <w:szCs w:val="21"/>
              </w:rPr>
            </w:pPr>
          </w:p>
        </w:tc>
      </w:tr>
      <w:tr w14:paraId="6B3F4C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BB530E1">
            <w:pPr>
              <w:pStyle w:val="48"/>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2F9AA703">
            <w:pPr>
              <w:pStyle w:val="48"/>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4"/>
                <w:szCs w:val="24"/>
                <w:lang w:val="en-US" w:eastAsia="zh-CN" w:bidi="ar-SA"/>
              </w:rPr>
              <w:t>该价款为一次性包干总价，系卖方履行本合同项下的所有内容而能获得的全部价款，包括但不限于货款、运费、保险费、装卸费、包装费、税金等，除此之外，不做任何调整，如有遗漏，均视为卖方的自愿让利行为。</w:t>
            </w:r>
          </w:p>
        </w:tc>
      </w:tr>
    </w:tbl>
    <w:p w14:paraId="43F6F8B7">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lang w:val="en-US" w:eastAsia="zh-CN" w:bidi="ar-SA"/>
        </w:rPr>
      </w:pPr>
      <w:bookmarkStart w:id="5"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5AF10EE0">
      <w:pPr>
        <w:pStyle w:val="5"/>
        <w:keepNext w:val="0"/>
        <w:keepLines w:val="0"/>
        <w:pageBreakBefore w:val="0"/>
        <w:kinsoku/>
        <w:wordWrap/>
        <w:overflowPunct/>
        <w:topLinePunct w:val="0"/>
        <w:autoSpaceDE/>
        <w:autoSpaceDN/>
        <w:bidi w:val="0"/>
        <w:adjustRightInd/>
        <w:snapToGrid/>
        <w:spacing w:before="26" w:line="400" w:lineRule="exact"/>
        <w:ind w:left="0" w:leftChars="0" w:firstLine="0" w:firstLineChars="0"/>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423BC311">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2EB392C5">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4B801559">
      <w:pPr>
        <w:pStyle w:val="5"/>
        <w:keepNext w:val="0"/>
        <w:keepLines w:val="0"/>
        <w:pageBreakBefore w:val="0"/>
        <w:kinsoku/>
        <w:wordWrap/>
        <w:overflowPunct/>
        <w:topLinePunct w:val="0"/>
        <w:autoSpaceDE/>
        <w:autoSpaceDN/>
        <w:bidi w:val="0"/>
        <w:adjustRightInd/>
        <w:snapToGrid/>
        <w:spacing w:before="137" w:line="400" w:lineRule="exact"/>
        <w:ind w:left="0" w:leftChars="0" w:firstLine="0" w:firstLineChars="0"/>
        <w:textAlignment w:val="auto"/>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07FE068F">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3D920F9B">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1BCD43A9">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EE66A8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07F6CAA6">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65F9990B">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2D77B126">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4.电缆盘装，电缆盘不退。</w:t>
      </w:r>
    </w:p>
    <w:p w14:paraId="24E98868">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5.随货提供标的物合格证及检测报告。</w:t>
      </w:r>
    </w:p>
    <w:p w14:paraId="12F01AC5">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6、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5E610CFE">
      <w:pPr>
        <w:pStyle w:val="5"/>
        <w:spacing w:before="186" w:line="332" w:lineRule="auto"/>
        <w:ind w:left="0" w:leftChars="0" w:right="296" w:firstLine="0" w:firstLineChars="0"/>
        <w:rPr>
          <w:rFonts w:hint="eastAsia" w:ascii="黑体" w:hAnsi="黑体" w:eastAsia="黑体" w:cs="黑体"/>
          <w:color w:val="auto"/>
          <w:sz w:val="24"/>
          <w:szCs w:val="24"/>
        </w:rPr>
      </w:pPr>
      <w:r>
        <w:rPr>
          <w:rFonts w:hint="eastAsia" w:ascii="黑体" w:hAnsi="黑体" w:eastAsia="黑体" w:cs="黑体"/>
          <w:color w:val="auto"/>
          <w:sz w:val="24"/>
          <w:szCs w:val="24"/>
        </w:rPr>
        <w:t>（以下无正文）</w:t>
      </w:r>
      <w:bookmarkEnd w:id="5"/>
    </w:p>
    <w:tbl>
      <w:tblPr>
        <w:tblStyle w:val="16"/>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3252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4DF6A69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310B2C4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1BC0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609B1FA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71F34EBD">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4559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196180F">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46A311A">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25A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5817FF5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7B07E6C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23BA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0273FF7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5AE6BABC">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1AB4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3319334C">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5ABC82D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424A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3AC7AE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0DA7D38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45850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F0EACE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5452720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784E0E52">
      <w:pPr>
        <w:widowControl/>
        <w:jc w:val="left"/>
        <w:rPr>
          <w:rFonts w:hint="eastAsia" w:ascii="宋体" w:hAnsi="宋体" w:cs="仿宋" w:eastAsiaTheme="minorEastAsia"/>
          <w:color w:val="auto"/>
          <w:sz w:val="24"/>
          <w:szCs w:val="24"/>
          <w:lang w:val="en-US" w:eastAsia="zh-CN"/>
        </w:rPr>
      </w:pPr>
    </w:p>
    <w:p w14:paraId="0A68C3C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2EEDCA2">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47243C1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818BD33">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11B7F336">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3516067">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BD8D95F">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52C51EC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BDAB4B3">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F4D2997">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3AE49838">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25D728B3">
      <w:pPr>
        <w:tabs>
          <w:tab w:val="left" w:pos="6120"/>
          <w:tab w:val="left" w:pos="6510"/>
          <w:tab w:val="left" w:pos="12495"/>
        </w:tabs>
        <w:kinsoku/>
        <w:overflowPunct/>
        <w:topLinePunct w:val="0"/>
        <w:bidi w:val="0"/>
        <w:spacing w:line="360" w:lineRule="auto"/>
        <w:ind w:right="0" w:rightChars="0"/>
        <w:jc w:val="left"/>
        <w:rPr>
          <w:rFonts w:hint="eastAsia" w:ascii="宋体" w:hAnsi="宋体" w:eastAsiaTheme="minorEastAsia" w:cstheme="minorBidi"/>
          <w:color w:val="auto"/>
          <w:kern w:val="2"/>
          <w:sz w:val="21"/>
          <w:szCs w:val="21"/>
          <w:lang w:val="en-US" w:eastAsia="zh-CN" w:bidi="ar-SA"/>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szCs w:val="21"/>
        </w:rPr>
        <w:t xml:space="preserve"> </w:t>
      </w:r>
    </w:p>
    <w:p w14:paraId="3182CBAA">
      <w:pPr>
        <w:spacing w:line="360" w:lineRule="exact"/>
        <w:rPr>
          <w:rFonts w:hint="eastAsia" w:ascii="黑体" w:hAnsi="黑体" w:eastAsia="黑体" w:cs="宋体"/>
          <w:b/>
          <w:kern w:val="0"/>
          <w:sz w:val="28"/>
          <w:szCs w:val="28"/>
          <w:lang w:val="en-US" w:eastAsia="zh-CN"/>
        </w:rPr>
      </w:pP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02B9">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525D10BB">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BB9F484F"/>
    <w:multiLevelType w:val="singleLevel"/>
    <w:tmpl w:val="BB9F484F"/>
    <w:lvl w:ilvl="0" w:tentative="0">
      <w:start w:val="2"/>
      <w:numFmt w:val="decimal"/>
      <w:lvlText w:val="%1."/>
      <w:lvlJc w:val="left"/>
      <w:pPr>
        <w:tabs>
          <w:tab w:val="left" w:pos="312"/>
        </w:tabs>
      </w:pPr>
    </w:lvl>
  </w:abstractNum>
  <w:abstractNum w:abstractNumId="2">
    <w:nsid w:val="CF8C3976"/>
    <w:multiLevelType w:val="singleLevel"/>
    <w:tmpl w:val="CF8C3976"/>
    <w:lvl w:ilvl="0" w:tentative="0">
      <w:start w:val="2"/>
      <w:numFmt w:val="chineseCounting"/>
      <w:suff w:val="space"/>
      <w:lvlText w:val="第%1章"/>
      <w:lvlJc w:val="left"/>
      <w:rPr>
        <w:rFonts w:hint="eastAsia"/>
      </w:rPr>
    </w:lvl>
  </w:abstractNum>
  <w:abstractNum w:abstractNumId="3">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FE9D48E"/>
    <w:multiLevelType w:val="singleLevel"/>
    <w:tmpl w:val="5FE9D48E"/>
    <w:lvl w:ilvl="0" w:tentative="0">
      <w:start w:val="1"/>
      <w:numFmt w:val="chineseCounting"/>
      <w:suff w:val="nothing"/>
      <w:lvlText w:val="%1、"/>
      <w:lvlJc w:val="left"/>
      <w:rPr>
        <w:rFonts w:hint="eastAsia"/>
      </w:rPr>
    </w:lvl>
  </w:abstractNum>
  <w:num w:numId="1">
    <w:abstractNumId w:val="4"/>
  </w:num>
  <w:num w:numId="2">
    <w:abstractNumId w:val="1"/>
  </w:num>
  <w:num w:numId="3">
    <w:abstractNumId w:val="2"/>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A3833"/>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3B2184"/>
    <w:rsid w:val="0475718F"/>
    <w:rsid w:val="0485137E"/>
    <w:rsid w:val="04C66C1A"/>
    <w:rsid w:val="04C771FD"/>
    <w:rsid w:val="04D1736D"/>
    <w:rsid w:val="05573D16"/>
    <w:rsid w:val="056B432A"/>
    <w:rsid w:val="057443B4"/>
    <w:rsid w:val="05C017FD"/>
    <w:rsid w:val="0687687D"/>
    <w:rsid w:val="06F2489E"/>
    <w:rsid w:val="070268E6"/>
    <w:rsid w:val="07501427"/>
    <w:rsid w:val="076636BD"/>
    <w:rsid w:val="094A00EB"/>
    <w:rsid w:val="094D7C7A"/>
    <w:rsid w:val="097507C7"/>
    <w:rsid w:val="097D22E2"/>
    <w:rsid w:val="09AD2157"/>
    <w:rsid w:val="0A3C4D43"/>
    <w:rsid w:val="0B6C6FDB"/>
    <w:rsid w:val="0C2D337D"/>
    <w:rsid w:val="0C5F0F6E"/>
    <w:rsid w:val="0D004BE0"/>
    <w:rsid w:val="0D6635DC"/>
    <w:rsid w:val="0EC51CF1"/>
    <w:rsid w:val="0ED20F36"/>
    <w:rsid w:val="0F783207"/>
    <w:rsid w:val="0F797A29"/>
    <w:rsid w:val="0FBB34F5"/>
    <w:rsid w:val="0FFD54BA"/>
    <w:rsid w:val="10525110"/>
    <w:rsid w:val="110E7C3C"/>
    <w:rsid w:val="117D68B3"/>
    <w:rsid w:val="120F5BA7"/>
    <w:rsid w:val="1235718D"/>
    <w:rsid w:val="128A3A09"/>
    <w:rsid w:val="12A6008B"/>
    <w:rsid w:val="12D009A7"/>
    <w:rsid w:val="13C54541"/>
    <w:rsid w:val="14592936"/>
    <w:rsid w:val="14676D7E"/>
    <w:rsid w:val="15916DD0"/>
    <w:rsid w:val="16413351"/>
    <w:rsid w:val="164E090F"/>
    <w:rsid w:val="16937390"/>
    <w:rsid w:val="172F5937"/>
    <w:rsid w:val="17660053"/>
    <w:rsid w:val="177C482D"/>
    <w:rsid w:val="190E59FE"/>
    <w:rsid w:val="19393A07"/>
    <w:rsid w:val="1A1E58C0"/>
    <w:rsid w:val="1A294B27"/>
    <w:rsid w:val="1A683441"/>
    <w:rsid w:val="1AA50757"/>
    <w:rsid w:val="1C4C57FF"/>
    <w:rsid w:val="1CC717EF"/>
    <w:rsid w:val="1D176383"/>
    <w:rsid w:val="1D64697C"/>
    <w:rsid w:val="1DD969AB"/>
    <w:rsid w:val="1ED14404"/>
    <w:rsid w:val="1EF74148"/>
    <w:rsid w:val="1FA15E62"/>
    <w:rsid w:val="1FC376CA"/>
    <w:rsid w:val="1FDB7383"/>
    <w:rsid w:val="20A629C0"/>
    <w:rsid w:val="21196F94"/>
    <w:rsid w:val="21263865"/>
    <w:rsid w:val="213571AA"/>
    <w:rsid w:val="217D645B"/>
    <w:rsid w:val="21843C8D"/>
    <w:rsid w:val="21F13065"/>
    <w:rsid w:val="22A07CA6"/>
    <w:rsid w:val="237F15B6"/>
    <w:rsid w:val="240E783E"/>
    <w:rsid w:val="246966F1"/>
    <w:rsid w:val="2470465E"/>
    <w:rsid w:val="24E62943"/>
    <w:rsid w:val="24F6510A"/>
    <w:rsid w:val="24FA55ED"/>
    <w:rsid w:val="25106F93"/>
    <w:rsid w:val="25CC5B88"/>
    <w:rsid w:val="25EA69AA"/>
    <w:rsid w:val="26933E36"/>
    <w:rsid w:val="26BC19A6"/>
    <w:rsid w:val="279E3E6D"/>
    <w:rsid w:val="27A73E71"/>
    <w:rsid w:val="27B8643F"/>
    <w:rsid w:val="28564D7B"/>
    <w:rsid w:val="289607B9"/>
    <w:rsid w:val="28F11C08"/>
    <w:rsid w:val="290166AE"/>
    <w:rsid w:val="2A494963"/>
    <w:rsid w:val="2A5A72A6"/>
    <w:rsid w:val="2A7A0382"/>
    <w:rsid w:val="2AAB5DE7"/>
    <w:rsid w:val="2AC075D6"/>
    <w:rsid w:val="2C0635BA"/>
    <w:rsid w:val="2C0F4BDB"/>
    <w:rsid w:val="2C612895"/>
    <w:rsid w:val="2C672453"/>
    <w:rsid w:val="2C841152"/>
    <w:rsid w:val="2D67104D"/>
    <w:rsid w:val="2EC03E0B"/>
    <w:rsid w:val="2EE64169"/>
    <w:rsid w:val="300E355A"/>
    <w:rsid w:val="30337F16"/>
    <w:rsid w:val="30464A25"/>
    <w:rsid w:val="3082583C"/>
    <w:rsid w:val="31A45B7D"/>
    <w:rsid w:val="31A5035D"/>
    <w:rsid w:val="33980AB1"/>
    <w:rsid w:val="344A7D4E"/>
    <w:rsid w:val="347D19AD"/>
    <w:rsid w:val="34C32719"/>
    <w:rsid w:val="34DF4182"/>
    <w:rsid w:val="34E44129"/>
    <w:rsid w:val="34E65643"/>
    <w:rsid w:val="3539753D"/>
    <w:rsid w:val="35771A99"/>
    <w:rsid w:val="361436EF"/>
    <w:rsid w:val="363D49D0"/>
    <w:rsid w:val="36481456"/>
    <w:rsid w:val="366D59FA"/>
    <w:rsid w:val="371A057C"/>
    <w:rsid w:val="37296A11"/>
    <w:rsid w:val="388861A3"/>
    <w:rsid w:val="38DC340E"/>
    <w:rsid w:val="3A801D52"/>
    <w:rsid w:val="3A887EF3"/>
    <w:rsid w:val="3ABF1B60"/>
    <w:rsid w:val="3B10121D"/>
    <w:rsid w:val="3B5201C9"/>
    <w:rsid w:val="3BA23F27"/>
    <w:rsid w:val="3BB75F0B"/>
    <w:rsid w:val="3BF62074"/>
    <w:rsid w:val="3D2D4ECB"/>
    <w:rsid w:val="3D8E7046"/>
    <w:rsid w:val="3DB1150E"/>
    <w:rsid w:val="3DD85B51"/>
    <w:rsid w:val="3E197344"/>
    <w:rsid w:val="3E583D12"/>
    <w:rsid w:val="3F213F33"/>
    <w:rsid w:val="3F237712"/>
    <w:rsid w:val="3FE536F1"/>
    <w:rsid w:val="3FF33ABB"/>
    <w:rsid w:val="400745C7"/>
    <w:rsid w:val="40083152"/>
    <w:rsid w:val="40085CD0"/>
    <w:rsid w:val="4041301D"/>
    <w:rsid w:val="410728A7"/>
    <w:rsid w:val="42587944"/>
    <w:rsid w:val="42932E0A"/>
    <w:rsid w:val="43243278"/>
    <w:rsid w:val="435B56FC"/>
    <w:rsid w:val="43884ABF"/>
    <w:rsid w:val="44A00219"/>
    <w:rsid w:val="45367494"/>
    <w:rsid w:val="457345D5"/>
    <w:rsid w:val="45877724"/>
    <w:rsid w:val="467A2DE5"/>
    <w:rsid w:val="470A03A4"/>
    <w:rsid w:val="470C04B5"/>
    <w:rsid w:val="47F46EAE"/>
    <w:rsid w:val="48724017"/>
    <w:rsid w:val="48750F6C"/>
    <w:rsid w:val="492B4B3C"/>
    <w:rsid w:val="4A185620"/>
    <w:rsid w:val="4A6F4C2B"/>
    <w:rsid w:val="4B964C95"/>
    <w:rsid w:val="4BDF7931"/>
    <w:rsid w:val="4C7A4377"/>
    <w:rsid w:val="4D477799"/>
    <w:rsid w:val="4DCF4AEB"/>
    <w:rsid w:val="4E0D1159"/>
    <w:rsid w:val="4E5A52AA"/>
    <w:rsid w:val="4EE10E98"/>
    <w:rsid w:val="4EE97C85"/>
    <w:rsid w:val="4F0E5FFA"/>
    <w:rsid w:val="4F203C16"/>
    <w:rsid w:val="4FE70DC0"/>
    <w:rsid w:val="502E581F"/>
    <w:rsid w:val="50CC06E1"/>
    <w:rsid w:val="50F46497"/>
    <w:rsid w:val="514328A4"/>
    <w:rsid w:val="51875472"/>
    <w:rsid w:val="51F577C4"/>
    <w:rsid w:val="523E309F"/>
    <w:rsid w:val="52884ADC"/>
    <w:rsid w:val="52914046"/>
    <w:rsid w:val="52A80CDA"/>
    <w:rsid w:val="533212A1"/>
    <w:rsid w:val="53EE72C6"/>
    <w:rsid w:val="54887ACF"/>
    <w:rsid w:val="548B2661"/>
    <w:rsid w:val="54AA722A"/>
    <w:rsid w:val="55090FE6"/>
    <w:rsid w:val="55BE4F5F"/>
    <w:rsid w:val="55E22755"/>
    <w:rsid w:val="57193C9E"/>
    <w:rsid w:val="57541431"/>
    <w:rsid w:val="576C2775"/>
    <w:rsid w:val="57741C90"/>
    <w:rsid w:val="586048F0"/>
    <w:rsid w:val="588549CE"/>
    <w:rsid w:val="58AE7DA1"/>
    <w:rsid w:val="58DD7D9A"/>
    <w:rsid w:val="59AD4E28"/>
    <w:rsid w:val="5AB80078"/>
    <w:rsid w:val="5B1D65E8"/>
    <w:rsid w:val="5B643D74"/>
    <w:rsid w:val="5B8E7647"/>
    <w:rsid w:val="5C8C341B"/>
    <w:rsid w:val="5D152C97"/>
    <w:rsid w:val="5D2F2B1E"/>
    <w:rsid w:val="5DEF5A0F"/>
    <w:rsid w:val="5DF72B16"/>
    <w:rsid w:val="5E3D6E80"/>
    <w:rsid w:val="5EB75F23"/>
    <w:rsid w:val="5ECA3D86"/>
    <w:rsid w:val="5F4D50E3"/>
    <w:rsid w:val="60303C60"/>
    <w:rsid w:val="61E15FB7"/>
    <w:rsid w:val="61ED37A2"/>
    <w:rsid w:val="626B0ACC"/>
    <w:rsid w:val="626F728B"/>
    <w:rsid w:val="62A42563"/>
    <w:rsid w:val="6303661A"/>
    <w:rsid w:val="631B496A"/>
    <w:rsid w:val="63210307"/>
    <w:rsid w:val="633B16F7"/>
    <w:rsid w:val="63613BBD"/>
    <w:rsid w:val="64132ACB"/>
    <w:rsid w:val="644F1AB3"/>
    <w:rsid w:val="65CA7906"/>
    <w:rsid w:val="661512EF"/>
    <w:rsid w:val="668A74E0"/>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1710FBA"/>
    <w:rsid w:val="72F9402A"/>
    <w:rsid w:val="733A4279"/>
    <w:rsid w:val="74125240"/>
    <w:rsid w:val="74D06143"/>
    <w:rsid w:val="75284014"/>
    <w:rsid w:val="75942B42"/>
    <w:rsid w:val="75D4756D"/>
    <w:rsid w:val="75E36E5B"/>
    <w:rsid w:val="775744D2"/>
    <w:rsid w:val="77E24ED1"/>
    <w:rsid w:val="78117E1A"/>
    <w:rsid w:val="789E730E"/>
    <w:rsid w:val="79042BD4"/>
    <w:rsid w:val="7A450456"/>
    <w:rsid w:val="7AC516D6"/>
    <w:rsid w:val="7BBE5F26"/>
    <w:rsid w:val="7C9D75AD"/>
    <w:rsid w:val="7D902913"/>
    <w:rsid w:val="7DA00113"/>
    <w:rsid w:val="7E6B5FAF"/>
    <w:rsid w:val="7EC34622"/>
    <w:rsid w:val="7EC77F20"/>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2">
    <w:name w:val="font21"/>
    <w:basedOn w:val="18"/>
    <w:qFormat/>
    <w:uiPriority w:val="0"/>
    <w:rPr>
      <w:rFonts w:hint="eastAsia" w:ascii="宋体" w:hAnsi="宋体" w:eastAsia="宋体" w:cs="宋体"/>
      <w:color w:val="FF0000"/>
      <w:sz w:val="18"/>
      <w:szCs w:val="18"/>
      <w:u w:val="none"/>
    </w:rPr>
  </w:style>
  <w:style w:type="character" w:customStyle="1" w:styleId="53">
    <w:name w:val="font31"/>
    <w:basedOn w:val="18"/>
    <w:qFormat/>
    <w:uiPriority w:val="0"/>
    <w:rPr>
      <w:rFonts w:hint="default" w:ascii="Times New Roman" w:hAnsi="Times New Roman" w:cs="Times New Roman"/>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1900</Words>
  <Characters>2284</Characters>
  <Lines>16</Lines>
  <Paragraphs>4</Paragraphs>
  <TotalTime>24</TotalTime>
  <ScaleCrop>false</ScaleCrop>
  <LinksUpToDate>false</LinksUpToDate>
  <CharactersWithSpaces>3040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2026-03-02T03:24:25Z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2052-12.1.0.24657</vt:lpwstr>
  </property>
  <property fmtid="{D5CDD505-2E9C-101B-9397-08002B2CF9AE}" pid="4" name="ICV">
    <vt:lpwstr>638278A91B6247A3A14F33886A0DB3EB_13</vt:lpwstr>
  </property>
</Properties>
</file>