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土工布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61A01911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编号：SFLHG-GKBX-2026-FW16</w:t>
      </w: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  <w:bookmarkStart w:id="23" w:name="_GoBack"/>
      <w:bookmarkEnd w:id="23"/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28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土工布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编号：SFLHG-GKBX-2026-FW16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5"/>
      <w:bookmarkStart w:id="2" w:name="OLE_LINK1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12000㎡土工布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土工布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土工布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5134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4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134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㎡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4" w:type="dxa"/>
            <w:noWrap/>
          </w:tcPr>
          <w:p w14:paraId="7827D238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土工布</w:t>
            </w:r>
          </w:p>
        </w:tc>
        <w:tc>
          <w:tcPr>
            <w:tcW w:w="5134" w:type="dxa"/>
            <w:noWrap/>
          </w:tcPr>
          <w:p w14:paraId="778BF026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200g 长纤、6m*100m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灰色</w:t>
            </w: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12000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D90A51C">
      <w:pPr>
        <w:snapToGrid w:val="0"/>
        <w:spacing w:line="40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.技术要求：</w:t>
      </w:r>
      <w:bookmarkStart w:id="5" w:name="OLE_LINK13"/>
      <w:bookmarkStart w:id="6" w:name="OLE_LINK14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</w:t>
      </w:r>
      <w:r>
        <w:rPr>
          <w:rFonts w:hint="eastAsia" w:ascii="黑体" w:hAnsi="黑体" w:eastAsia="黑体" w:cs="宋体"/>
          <w:kern w:val="0"/>
          <w:sz w:val="28"/>
          <w:szCs w:val="28"/>
        </w:rPr>
        <w:t>磷化工分公司（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什邡市洛水镇）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比选时以最低价中选，不在进行二次议价。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5A92A869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799BB05B">
      <w:pPr>
        <w:spacing w:line="420" w:lineRule="exac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交货时需提供该批标的物的合格证和产品检验报告。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185F24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9" w:name="_Toc318986166"/>
      <w:bookmarkStart w:id="10" w:name="_Toc269113527"/>
      <w:bookmarkStart w:id="11" w:name="_Toc275014947"/>
      <w:bookmarkStart w:id="12" w:name="_Toc275019836"/>
      <w:bookmarkStart w:id="13" w:name="_Toc238552273"/>
      <w:bookmarkStart w:id="14" w:name="_Hlk155791057"/>
      <w:bookmarkStart w:id="15" w:name="_Toc275019290"/>
      <w:bookmarkStart w:id="16" w:name="_Toc274236999"/>
      <w:bookmarkStart w:id="17" w:name="_Toc238797630"/>
      <w:bookmarkStart w:id="18" w:name="_Toc268793030"/>
      <w:bookmarkStart w:id="19" w:name="_Toc274596702"/>
      <w:bookmarkStart w:id="20" w:name="_Toc275019684"/>
      <w:bookmarkStart w:id="21" w:name="_Toc16684"/>
      <w:bookmarkStart w:id="22" w:name="_Toc303149804"/>
    </w:p>
    <w:p w14:paraId="7680436C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340EBE64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105BF96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position w:val="3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2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250825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pt;margin-top:19.75pt;height:0.55pt;width:240.8pt;z-index:251659264;mso-width-relative:page;mso-height-relative:page;" filled="f" stroked="t" coordsize="21600,21600" o:gfxdata="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fKsk7UAAAABgEAAA8A&#10;AAAAAAAAAQAgAAAAIgAAAGRycy9kb3ducmV2LnhtbFBLAQIUABQAAAAIAIdO4kCLdDxD4gEAAKkD&#10;AAAOAAAAAAAAAAEAIAAAACMBAABkcnMvZTJvRG9jLnhtbFBLBQYAAAAABgAGAFkBAAB3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土工布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911"/>
        <w:gridCol w:w="3387"/>
        <w:gridCol w:w="1120"/>
        <w:gridCol w:w="1240"/>
        <w:gridCol w:w="2272"/>
        <w:gridCol w:w="266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9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土工布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200g 长纤、6m*100m、灰色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发票，（税率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14:paraId="5D6CC788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交货时提供土工布合格证及检验报告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  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土工布采购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22A6766"/>
    <w:rsid w:val="02DD1D38"/>
    <w:rsid w:val="030E53F6"/>
    <w:rsid w:val="038F62BE"/>
    <w:rsid w:val="03A80897"/>
    <w:rsid w:val="03BC1030"/>
    <w:rsid w:val="041E3808"/>
    <w:rsid w:val="043601DB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32191F"/>
    <w:rsid w:val="13C54541"/>
    <w:rsid w:val="14676D7E"/>
    <w:rsid w:val="15916DD0"/>
    <w:rsid w:val="16413351"/>
    <w:rsid w:val="164E090F"/>
    <w:rsid w:val="16937390"/>
    <w:rsid w:val="16D0758F"/>
    <w:rsid w:val="17164887"/>
    <w:rsid w:val="172F5937"/>
    <w:rsid w:val="17660053"/>
    <w:rsid w:val="177C482D"/>
    <w:rsid w:val="17973B0C"/>
    <w:rsid w:val="182D6FD9"/>
    <w:rsid w:val="190E59FE"/>
    <w:rsid w:val="19393A07"/>
    <w:rsid w:val="19D31FD2"/>
    <w:rsid w:val="1A294B27"/>
    <w:rsid w:val="1A683441"/>
    <w:rsid w:val="1B466BB1"/>
    <w:rsid w:val="1C4C57FF"/>
    <w:rsid w:val="1D64697C"/>
    <w:rsid w:val="1DD969AB"/>
    <w:rsid w:val="1ED14404"/>
    <w:rsid w:val="1EF74148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B577D1D"/>
    <w:rsid w:val="2BD72EF0"/>
    <w:rsid w:val="2C0635BA"/>
    <w:rsid w:val="2C293467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6C0E37"/>
    <w:rsid w:val="3A801D52"/>
    <w:rsid w:val="3ABF1B60"/>
    <w:rsid w:val="3B10121D"/>
    <w:rsid w:val="3B8B7C9A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5DE2D6D"/>
    <w:rsid w:val="467A2DE5"/>
    <w:rsid w:val="470A03A4"/>
    <w:rsid w:val="47F46EAE"/>
    <w:rsid w:val="48724017"/>
    <w:rsid w:val="48750F6C"/>
    <w:rsid w:val="492B4B3C"/>
    <w:rsid w:val="4A185620"/>
    <w:rsid w:val="4A6F4C2B"/>
    <w:rsid w:val="4A761B16"/>
    <w:rsid w:val="4B964C95"/>
    <w:rsid w:val="4BDF7931"/>
    <w:rsid w:val="4D477799"/>
    <w:rsid w:val="4DCF4AEB"/>
    <w:rsid w:val="4E0D1159"/>
    <w:rsid w:val="4E5A52AA"/>
    <w:rsid w:val="4E85551E"/>
    <w:rsid w:val="4EE10E98"/>
    <w:rsid w:val="4EE97C85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EE72C6"/>
    <w:rsid w:val="54781EC2"/>
    <w:rsid w:val="54887ACF"/>
    <w:rsid w:val="548B2661"/>
    <w:rsid w:val="54AA722A"/>
    <w:rsid w:val="55BE4F5F"/>
    <w:rsid w:val="55E22755"/>
    <w:rsid w:val="57193C9E"/>
    <w:rsid w:val="57541431"/>
    <w:rsid w:val="576C2775"/>
    <w:rsid w:val="5779098C"/>
    <w:rsid w:val="586048F0"/>
    <w:rsid w:val="588549CE"/>
    <w:rsid w:val="58AE7DA1"/>
    <w:rsid w:val="58DD7D9A"/>
    <w:rsid w:val="59AD4E28"/>
    <w:rsid w:val="5A097A9F"/>
    <w:rsid w:val="5B1D65E8"/>
    <w:rsid w:val="5B32014C"/>
    <w:rsid w:val="5BC75BD0"/>
    <w:rsid w:val="5C8C341B"/>
    <w:rsid w:val="5D2F2B1E"/>
    <w:rsid w:val="5DEA542A"/>
    <w:rsid w:val="5DEF5A0F"/>
    <w:rsid w:val="5DF72B16"/>
    <w:rsid w:val="5E7E0C7E"/>
    <w:rsid w:val="5ECA3D86"/>
    <w:rsid w:val="5F4D50E3"/>
    <w:rsid w:val="5FC5111D"/>
    <w:rsid w:val="5FDF112B"/>
    <w:rsid w:val="60303C60"/>
    <w:rsid w:val="60320809"/>
    <w:rsid w:val="615F2EAC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A77D57"/>
    <w:rsid w:val="66C75014"/>
    <w:rsid w:val="672B6AD9"/>
    <w:rsid w:val="6791559A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2754DC"/>
    <w:rsid w:val="705C48B5"/>
    <w:rsid w:val="71094BE2"/>
    <w:rsid w:val="71710FBA"/>
    <w:rsid w:val="71C75849"/>
    <w:rsid w:val="72F9402A"/>
    <w:rsid w:val="73177274"/>
    <w:rsid w:val="733A4279"/>
    <w:rsid w:val="74125240"/>
    <w:rsid w:val="74D06143"/>
    <w:rsid w:val="75284014"/>
    <w:rsid w:val="75D4756D"/>
    <w:rsid w:val="75E36E5B"/>
    <w:rsid w:val="775744D2"/>
    <w:rsid w:val="77E24ED1"/>
    <w:rsid w:val="78710C23"/>
    <w:rsid w:val="789E730E"/>
    <w:rsid w:val="79042BD4"/>
    <w:rsid w:val="792F72FA"/>
    <w:rsid w:val="7963467E"/>
    <w:rsid w:val="7A450456"/>
    <w:rsid w:val="7AC516D6"/>
    <w:rsid w:val="7B2A3B27"/>
    <w:rsid w:val="7BBE5F26"/>
    <w:rsid w:val="7CD80A03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3290</Words>
  <Characters>3442</Characters>
  <Lines>31</Lines>
  <Paragraphs>8</Paragraphs>
  <TotalTime>0</TotalTime>
  <ScaleCrop>false</ScaleCrop>
  <LinksUpToDate>false</LinksUpToDate>
  <CharactersWithSpaces>4183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2026-02-28T07:01:18Z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638278A91B6247A3A14F33886A0DB3EB_13</vt:lpwstr>
  </property>
</Properties>
</file>