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铜排</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编号：YS-GKBX-2026-HW012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 xml:space="preserve"> 26 </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铜排</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编号：YS-GKBX-2025-HW012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铜排</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铜排</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铜排1批</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189"/>
        <w:gridCol w:w="1833"/>
        <w:gridCol w:w="1429"/>
        <w:gridCol w:w="2138"/>
        <w:gridCol w:w="2138"/>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1189"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名称</w:t>
            </w:r>
          </w:p>
        </w:tc>
        <w:tc>
          <w:tcPr>
            <w:tcW w:w="1833"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sz w:val="24"/>
                <w:szCs w:val="24"/>
                <w:lang w:val="en-US" w:eastAsia="zh-CN" w:bidi="ar-SA"/>
              </w:rPr>
            </w:pPr>
            <w:r>
              <w:rPr>
                <w:rFonts w:hint="eastAsia" w:ascii="黑体" w:hAnsi="黑体" w:eastAsia="黑体" w:cs="宋体"/>
                <w:kern w:val="0"/>
                <w:sz w:val="28"/>
                <w:szCs w:val="28"/>
              </w:rPr>
              <w:t>规格型号</w:t>
            </w:r>
          </w:p>
        </w:tc>
        <w:tc>
          <w:tcPr>
            <w:tcW w:w="1429"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件</w:t>
            </w:r>
            <w:r>
              <w:rPr>
                <w:rFonts w:hint="eastAsia" w:ascii="黑体" w:hAnsi="黑体" w:eastAsia="黑体" w:cs="黑体"/>
                <w:kern w:val="0"/>
                <w:sz w:val="28"/>
                <w:szCs w:val="28"/>
              </w:rPr>
              <w:t>）</w:t>
            </w:r>
          </w:p>
        </w:tc>
        <w:tc>
          <w:tcPr>
            <w:tcW w:w="2138" w:type="dxa"/>
            <w:shd w:val="clear" w:color="auto" w:fill="auto"/>
            <w:noWrap w:val="0"/>
            <w:vAlign w:val="center"/>
          </w:tcPr>
          <w:p w14:paraId="18B789D4">
            <w:pPr>
              <w:spacing w:line="360" w:lineRule="exact"/>
              <w:jc w:val="center"/>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rPr>
              <w:t>技术要求</w:t>
            </w:r>
          </w:p>
        </w:tc>
        <w:tc>
          <w:tcPr>
            <w:tcW w:w="2138"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计价方式</w:t>
            </w:r>
          </w:p>
        </w:tc>
      </w:tr>
      <w:tr w14:paraId="37F6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4A4C67DD">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sz w:val="24"/>
                <w:szCs w:val="24"/>
                <w:lang w:val="en-US" w:eastAsia="zh-CN" w:bidi="ar-SA"/>
              </w:rPr>
            </w:pPr>
            <w:r>
              <w:rPr>
                <w:rFonts w:hint="eastAsia" w:ascii="黑体" w:hAnsi="黑体" w:eastAsia="黑体" w:cs="宋体"/>
                <w:kern w:val="0"/>
                <w:sz w:val="28"/>
                <w:szCs w:val="28"/>
              </w:rPr>
              <w:t>1</w:t>
            </w:r>
          </w:p>
        </w:tc>
        <w:tc>
          <w:tcPr>
            <w:tcW w:w="1189" w:type="dxa"/>
            <w:noWrap w:val="0"/>
            <w:vAlign w:val="center"/>
          </w:tcPr>
          <w:p w14:paraId="101E5E56">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2"/>
                <w:sz w:val="24"/>
                <w:szCs w:val="24"/>
                <w:lang w:val="en-US" w:eastAsia="zh-CN" w:bidi="ar-SA"/>
              </w:rPr>
            </w:pPr>
            <w:r>
              <w:rPr>
                <w:rFonts w:hint="eastAsia" w:ascii="黑体" w:hAnsi="黑体" w:eastAsia="黑体" w:cs="Segoe UI"/>
                <w:color w:val="000000"/>
                <w:kern w:val="0"/>
                <w:sz w:val="28"/>
                <w:szCs w:val="28"/>
                <w:lang w:eastAsia="zh-CN"/>
              </w:rPr>
              <w:t>铜排</w:t>
            </w:r>
          </w:p>
        </w:tc>
        <w:tc>
          <w:tcPr>
            <w:tcW w:w="1833" w:type="dxa"/>
            <w:noWrap w:val="0"/>
            <w:vAlign w:val="center"/>
          </w:tcPr>
          <w:p w14:paraId="12A0A486">
            <w:pPr>
              <w:keepNext w:val="0"/>
              <w:keepLines w:val="0"/>
              <w:pageBreakBefore w:val="0"/>
              <w:widowControl/>
              <w:kinsoku/>
              <w:wordWrap/>
              <w:overflowPunct/>
              <w:topLinePunct w:val="0"/>
              <w:autoSpaceDE/>
              <w:autoSpaceDN/>
              <w:bidi w:val="0"/>
              <w:spacing w:line="520" w:lineRule="exact"/>
              <w:jc w:val="center"/>
              <w:textAlignment w:val="center"/>
              <w:rPr>
                <w:rFonts w:hint="eastAsia" w:ascii="黑体" w:hAnsi="黑体" w:eastAsia="黑体" w:cs="黑体"/>
                <w:kern w:val="2"/>
                <w:sz w:val="24"/>
                <w:szCs w:val="24"/>
                <w:lang w:val="en-US" w:eastAsia="zh-CN" w:bidi="ar-SA"/>
              </w:rPr>
            </w:pPr>
            <w:r>
              <w:rPr>
                <w:rFonts w:hint="eastAsia" w:ascii="黑体" w:hAnsi="黑体" w:eastAsia="黑体" w:cs="黑体"/>
                <w:color w:val="000000"/>
                <w:kern w:val="0"/>
                <w:sz w:val="28"/>
                <w:szCs w:val="28"/>
                <w:lang w:val="en-US" w:eastAsia="zh-CN"/>
              </w:rPr>
              <w:t>槽间导电铜排，</w:t>
            </w:r>
            <w:r>
              <w:rPr>
                <w:rFonts w:hint="eastAsia" w:ascii="黑体" w:hAnsi="黑体" w:eastAsia="黑体" w:cs="黑体"/>
                <w:color w:val="000000"/>
                <w:kern w:val="0"/>
                <w:sz w:val="28"/>
                <w:szCs w:val="28"/>
              </w:rPr>
              <w:t>按图加工</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lang w:val="en-US" w:eastAsia="zh-CN"/>
              </w:rPr>
              <w:t>图纸详见附件</w:t>
            </w:r>
            <w:r>
              <w:rPr>
                <w:rFonts w:hint="eastAsia" w:ascii="黑体" w:hAnsi="黑体" w:eastAsia="黑体" w:cs="黑体"/>
                <w:color w:val="000000"/>
                <w:kern w:val="0"/>
                <w:sz w:val="28"/>
                <w:szCs w:val="28"/>
                <w:lang w:eastAsia="zh-CN"/>
              </w:rPr>
              <w:t>）</w:t>
            </w:r>
          </w:p>
        </w:tc>
        <w:tc>
          <w:tcPr>
            <w:tcW w:w="1429" w:type="dxa"/>
            <w:noWrap w:val="0"/>
            <w:vAlign w:val="center"/>
          </w:tcPr>
          <w:p w14:paraId="69A6C84B">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2"/>
                <w:sz w:val="28"/>
                <w:szCs w:val="28"/>
                <w:lang w:val="en-US" w:eastAsia="zh-CN" w:bidi="ar-SA"/>
              </w:rPr>
            </w:pPr>
            <w:r>
              <w:rPr>
                <w:rFonts w:hint="eastAsia" w:ascii="黑体" w:hAnsi="黑体" w:eastAsia="黑体" w:cs="黑体"/>
                <w:kern w:val="0"/>
                <w:sz w:val="28"/>
                <w:szCs w:val="28"/>
                <w:lang w:val="en-US" w:eastAsia="zh-CN"/>
              </w:rPr>
              <w:t>176</w:t>
            </w:r>
          </w:p>
        </w:tc>
        <w:tc>
          <w:tcPr>
            <w:tcW w:w="2138" w:type="dxa"/>
            <w:vMerge w:val="restart"/>
            <w:shd w:val="clear" w:color="auto" w:fill="auto"/>
            <w:noWrap w:val="0"/>
            <w:vAlign w:val="center"/>
          </w:tcPr>
          <w:p w14:paraId="600AF036">
            <w:pPr>
              <w:numPr>
                <w:ilvl w:val="0"/>
                <w:numId w:val="1"/>
              </w:numPr>
              <w:spacing w:line="360" w:lineRule="exact"/>
              <w:jc w:val="left"/>
              <w:rPr>
                <w:rFonts w:hint="eastAsia" w:ascii="黑体" w:hAnsi="黑体" w:eastAsia="黑体" w:cs="黑体"/>
                <w:kern w:val="0"/>
                <w:sz w:val="28"/>
                <w:szCs w:val="28"/>
                <w:lang w:val="en-US" w:eastAsia="zh-CN" w:bidi="ar-SA"/>
              </w:rPr>
            </w:pPr>
            <w:r>
              <w:rPr>
                <w:rFonts w:hint="eastAsia" w:ascii="黑体" w:hAnsi="黑体" w:eastAsia="黑体" w:cs="黑体"/>
                <w:sz w:val="28"/>
                <w:szCs w:val="28"/>
                <w:lang w:val="en-US" w:eastAsia="zh-CN"/>
              </w:rPr>
              <w:t>整体加工成型，不得焊接</w:t>
            </w:r>
          </w:p>
          <w:p w14:paraId="0F837337">
            <w:pPr>
              <w:numPr>
                <w:ilvl w:val="0"/>
                <w:numId w:val="1"/>
              </w:numPr>
              <w:spacing w:line="360" w:lineRule="exact"/>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材料应符合GB/T 5231-2022《加工铜及铜合金牌号和化学成分》之T2牌号，保证加工尺寸。</w:t>
            </w:r>
            <w:bookmarkStart w:id="20" w:name="_GoBack"/>
            <w:bookmarkEnd w:id="20"/>
          </w:p>
          <w:p w14:paraId="37FED4A6">
            <w:pPr>
              <w:numPr>
                <w:ilvl w:val="0"/>
                <w:numId w:val="1"/>
              </w:numPr>
              <w:spacing w:line="360" w:lineRule="exact"/>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交货时提供材质证明文件。</w:t>
            </w:r>
          </w:p>
        </w:tc>
        <w:tc>
          <w:tcPr>
            <w:tcW w:w="2138" w:type="dxa"/>
            <w:vMerge w:val="restart"/>
            <w:shd w:val="clear" w:color="auto" w:fill="auto"/>
            <w:noWrap w:val="0"/>
            <w:vAlign w:val="center"/>
          </w:tcPr>
          <w:p w14:paraId="68D86AC7">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黑体" w:hAnsi="黑体" w:eastAsia="黑体" w:cs="黑体"/>
                <w:i w:val="0"/>
                <w:iCs w:val="0"/>
                <w:color w:val="000000"/>
                <w:kern w:val="0"/>
                <w:sz w:val="28"/>
                <w:szCs w:val="28"/>
                <w:u w:val="none"/>
                <w:lang w:val="en-US" w:eastAsia="zh-CN" w:bidi="ar"/>
              </w:rPr>
              <w:t xml:space="preserve"> </w:t>
            </w:r>
            <w:r>
              <w:rPr>
                <w:rFonts w:hint="eastAsia" w:ascii="黑体" w:hAnsi="黑体" w:eastAsia="黑体" w:cs="黑体"/>
                <w:color w:val="auto"/>
                <w:sz w:val="28"/>
                <w:szCs w:val="28"/>
              </w:rPr>
              <w:t>计价方式按</w:t>
            </w:r>
            <w:r>
              <w:rPr>
                <w:rFonts w:hint="eastAsia" w:ascii="黑体" w:hAnsi="黑体" w:eastAsia="黑体" w:cs="黑体"/>
                <w:color w:val="auto"/>
                <w:sz w:val="28"/>
                <w:szCs w:val="28"/>
                <w:lang w:val="en-US" w:eastAsia="zh-CN"/>
              </w:rPr>
              <w:t>买</w:t>
            </w:r>
            <w:r>
              <w:rPr>
                <w:rFonts w:hint="eastAsia" w:ascii="黑体" w:hAnsi="黑体" w:eastAsia="黑体" w:cs="黑体"/>
                <w:color w:val="auto"/>
                <w:sz w:val="28"/>
                <w:szCs w:val="28"/>
              </w:rPr>
              <w:t>方</w:t>
            </w:r>
            <w:r>
              <w:rPr>
                <w:rFonts w:hint="eastAsia" w:ascii="黑体" w:hAnsi="黑体" w:eastAsia="黑体" w:cs="黑体"/>
                <w:color w:val="auto"/>
                <w:sz w:val="28"/>
                <w:szCs w:val="28"/>
                <w:lang w:val="en-US" w:eastAsia="zh-CN"/>
              </w:rPr>
              <w:t>订货通知函</w:t>
            </w:r>
            <w:r>
              <w:rPr>
                <w:rFonts w:hint="eastAsia" w:ascii="黑体" w:hAnsi="黑体" w:eastAsia="黑体" w:cs="黑体"/>
                <w:color w:val="auto"/>
                <w:sz w:val="28"/>
                <w:szCs w:val="28"/>
              </w:rPr>
              <w:t>对应</w:t>
            </w:r>
            <w:r>
              <w:rPr>
                <w:rFonts w:hint="eastAsia" w:ascii="黑体" w:hAnsi="黑体" w:eastAsia="黑体" w:cs="黑体"/>
                <w:color w:val="auto"/>
                <w:sz w:val="28"/>
                <w:szCs w:val="28"/>
                <w:lang w:val="en-US" w:eastAsia="zh-CN"/>
              </w:rPr>
              <w:t>次日（工作日）</w:t>
            </w:r>
            <w:r>
              <w:rPr>
                <w:rFonts w:hint="eastAsia" w:ascii="黑体" w:hAnsi="黑体" w:eastAsia="黑体" w:cs="黑体"/>
                <w:sz w:val="28"/>
                <w:szCs w:val="28"/>
              </w:rPr>
              <w:t>上海有色金属网1#电解铜现货均价+铜排加工制作费（</w:t>
            </w:r>
            <w:r>
              <w:rPr>
                <w:rFonts w:hint="eastAsia" w:ascii="黑体" w:hAnsi="黑体" w:eastAsia="黑体" w:cs="黑体"/>
                <w:sz w:val="28"/>
                <w:szCs w:val="28"/>
                <w:lang w:val="en-US" w:eastAsia="zh-CN"/>
              </w:rPr>
              <w:t>**</w:t>
            </w:r>
            <w:r>
              <w:rPr>
                <w:rFonts w:hint="eastAsia" w:ascii="黑体" w:hAnsi="黑体" w:eastAsia="黑体" w:cs="黑体"/>
                <w:sz w:val="28"/>
                <w:szCs w:val="28"/>
              </w:rPr>
              <w:t>元/吨）；</w:t>
            </w:r>
            <w:r>
              <w:rPr>
                <w:rFonts w:hint="eastAsia" w:ascii="黑体" w:hAnsi="黑体" w:eastAsia="黑体" w:cs="黑体"/>
                <w:color w:val="auto"/>
                <w:sz w:val="28"/>
                <w:szCs w:val="28"/>
              </w:rPr>
              <w:t>铜排的运输、税费等所有费用均由</w:t>
            </w:r>
            <w:r>
              <w:rPr>
                <w:rFonts w:hint="eastAsia" w:ascii="黑体" w:hAnsi="黑体" w:eastAsia="黑体" w:cs="黑体"/>
                <w:color w:val="auto"/>
                <w:sz w:val="28"/>
                <w:szCs w:val="28"/>
                <w:lang w:val="en-US" w:eastAsia="zh-CN"/>
              </w:rPr>
              <w:t>卖方</w:t>
            </w:r>
            <w:r>
              <w:rPr>
                <w:rFonts w:hint="eastAsia" w:ascii="黑体" w:hAnsi="黑体" w:eastAsia="黑体" w:cs="黑体"/>
                <w:color w:val="auto"/>
                <w:sz w:val="28"/>
                <w:szCs w:val="28"/>
              </w:rPr>
              <w:t>承担。</w:t>
            </w:r>
          </w:p>
        </w:tc>
      </w:tr>
      <w:tr w14:paraId="27AA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519F29E5">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1189" w:type="dxa"/>
            <w:noWrap w:val="0"/>
            <w:vAlign w:val="center"/>
          </w:tcPr>
          <w:p w14:paraId="3CAD8BEE">
            <w:pPr>
              <w:keepNext w:val="0"/>
              <w:keepLines w:val="0"/>
              <w:pageBreakBefore w:val="0"/>
              <w:kinsoku/>
              <w:wordWrap/>
              <w:overflowPunct/>
              <w:topLinePunct w:val="0"/>
              <w:autoSpaceDE/>
              <w:autoSpaceDN/>
              <w:bidi w:val="0"/>
              <w:spacing w:line="52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铜排</w:t>
            </w:r>
          </w:p>
        </w:tc>
        <w:tc>
          <w:tcPr>
            <w:tcW w:w="1833" w:type="dxa"/>
            <w:noWrap w:val="0"/>
            <w:vAlign w:val="center"/>
          </w:tcPr>
          <w:p w14:paraId="1AB94119">
            <w:pPr>
              <w:keepNext w:val="0"/>
              <w:keepLines w:val="0"/>
              <w:pageBreakBefore w:val="0"/>
              <w:widowControl/>
              <w:kinsoku/>
              <w:wordWrap/>
              <w:overflowPunct/>
              <w:topLinePunct w:val="0"/>
              <w:autoSpaceDE/>
              <w:autoSpaceDN/>
              <w:bidi w:val="0"/>
              <w:spacing w:line="520" w:lineRule="exact"/>
              <w:jc w:val="center"/>
              <w:textAlignment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lang w:val="en-US" w:eastAsia="zh-CN"/>
              </w:rPr>
              <w:t>槽边导电铜排，</w:t>
            </w:r>
            <w:r>
              <w:rPr>
                <w:rFonts w:hint="eastAsia" w:ascii="黑体" w:hAnsi="黑体" w:eastAsia="黑体" w:cs="黑体"/>
                <w:color w:val="000000"/>
                <w:kern w:val="0"/>
                <w:sz w:val="28"/>
                <w:szCs w:val="28"/>
              </w:rPr>
              <w:t>按图加工</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lang w:val="en-US" w:eastAsia="zh-CN"/>
              </w:rPr>
              <w:t>图纸详见附件</w:t>
            </w:r>
            <w:r>
              <w:rPr>
                <w:rFonts w:hint="eastAsia" w:ascii="黑体" w:hAnsi="黑体" w:eastAsia="黑体" w:cs="黑体"/>
                <w:color w:val="000000"/>
                <w:kern w:val="0"/>
                <w:sz w:val="28"/>
                <w:szCs w:val="28"/>
                <w:lang w:eastAsia="zh-CN"/>
              </w:rPr>
              <w:t>）</w:t>
            </w:r>
          </w:p>
        </w:tc>
        <w:tc>
          <w:tcPr>
            <w:tcW w:w="1429" w:type="dxa"/>
            <w:noWrap w:val="0"/>
            <w:vAlign w:val="center"/>
          </w:tcPr>
          <w:p w14:paraId="339C1D37">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8</w:t>
            </w:r>
          </w:p>
        </w:tc>
        <w:tc>
          <w:tcPr>
            <w:tcW w:w="2138" w:type="dxa"/>
            <w:vMerge w:val="continue"/>
            <w:tcBorders/>
            <w:shd w:val="clear" w:color="auto" w:fill="auto"/>
            <w:noWrap w:val="0"/>
            <w:vAlign w:val="center"/>
          </w:tcPr>
          <w:p w14:paraId="07791FC3">
            <w:pPr>
              <w:spacing w:line="360" w:lineRule="exact"/>
              <w:jc w:val="left"/>
              <w:rPr>
                <w:rFonts w:hint="eastAsia" w:ascii="黑体" w:hAnsi="黑体" w:eastAsia="黑体" w:cs="黑体"/>
                <w:kern w:val="0"/>
                <w:sz w:val="28"/>
                <w:szCs w:val="28"/>
                <w:lang w:val="en-US" w:eastAsia="zh-CN" w:bidi="ar-SA"/>
              </w:rPr>
            </w:pPr>
          </w:p>
        </w:tc>
        <w:tc>
          <w:tcPr>
            <w:tcW w:w="2138" w:type="dxa"/>
            <w:vMerge w:val="continue"/>
            <w:tcBorders/>
            <w:shd w:val="clear" w:color="auto" w:fill="auto"/>
            <w:noWrap w:val="0"/>
            <w:vAlign w:val="center"/>
          </w:tcPr>
          <w:p w14:paraId="6B9336D1">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p>
        </w:tc>
      </w:tr>
    </w:tbl>
    <w:p w14:paraId="756183B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3月12日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303149804"/>
      <w:bookmarkStart w:id="5" w:name="_Toc269113527"/>
      <w:bookmarkStart w:id="6" w:name="_Toc275019836"/>
      <w:bookmarkStart w:id="7" w:name="_Toc274596702"/>
      <w:bookmarkStart w:id="8" w:name="_Toc275019290"/>
      <w:bookmarkStart w:id="9" w:name="_Toc318986166"/>
      <w:bookmarkStart w:id="10" w:name="_Toc238552273"/>
      <w:bookmarkStart w:id="11" w:name="_Toc275014947"/>
      <w:bookmarkStart w:id="12" w:name="_Toc268793030"/>
      <w:bookmarkStart w:id="13" w:name="_Toc16684"/>
      <w:bookmarkStart w:id="14" w:name="_Toc274236999"/>
      <w:bookmarkStart w:id="15" w:name="_Toc23879763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3E738B01">
      <w:pPr>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铜排</w:t>
      </w:r>
      <w:r>
        <w:rPr>
          <w:rFonts w:hint="eastAsia" w:cs="黑体" w:asciiTheme="minorEastAsia" w:hAnsiTheme="minorEastAsia"/>
          <w:sz w:val="24"/>
          <w:szCs w:val="24"/>
        </w:rPr>
        <w:t>事宜达成本合同，具体内容如下：</w:t>
      </w:r>
    </w:p>
    <w:p w14:paraId="3F66416D">
      <w:pPr>
        <w:pStyle w:val="49"/>
        <w:numPr>
          <w:ilvl w:val="0"/>
          <w:numId w:val="3"/>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铜排</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w:t>
      </w:r>
      <w:r>
        <w:rPr>
          <w:rFonts w:hint="eastAsia" w:cs="黑体" w:asciiTheme="minorEastAsia" w:hAnsiTheme="minorEastAsia"/>
          <w:color w:val="000000"/>
          <w:sz w:val="24"/>
          <w:szCs w:val="24"/>
          <w:lang w:val="en-US" w:eastAsia="zh-CN"/>
        </w:rPr>
        <w:t xml:space="preserve">13 </w:t>
      </w:r>
      <w:r>
        <w:rPr>
          <w:rFonts w:hint="eastAsia" w:cs="黑体" w:asciiTheme="minorEastAsia" w:hAnsiTheme="minorEastAsia"/>
          <w:color w:val="000000"/>
          <w:sz w:val="24"/>
          <w:szCs w:val="24"/>
        </w:rPr>
        <w:t>%）。</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960" w:firstLineChars="11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铜排</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186"/>
        <w:gridCol w:w="1844"/>
        <w:gridCol w:w="1014"/>
        <w:gridCol w:w="1320"/>
        <w:gridCol w:w="1429"/>
        <w:gridCol w:w="2182"/>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186"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844"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01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1320" w:type="dxa"/>
            <w:vAlign w:val="center"/>
          </w:tcPr>
          <w:p w14:paraId="69D644EE">
            <w:pPr>
              <w:spacing w:line="360" w:lineRule="exact"/>
              <w:jc w:val="center"/>
              <w:rPr>
                <w:rFonts w:hint="eastAsia" w:ascii="黑体" w:hAnsi="黑体" w:eastAsia="黑体" w:cs="宋体"/>
                <w:kern w:val="0"/>
                <w:sz w:val="28"/>
                <w:szCs w:val="28"/>
                <w:vertAlign w:val="baseline"/>
                <w:lang w:val="en-US" w:eastAsia="zh-CN"/>
              </w:rPr>
            </w:pPr>
            <w:r>
              <w:rPr>
                <w:rFonts w:hint="eastAsia" w:ascii="宋体" w:hAnsi="黑体" w:eastAsia="宋体" w:cs="黑体"/>
                <w:b/>
                <w:color w:val="000000"/>
                <w:sz w:val="28"/>
                <w:szCs w:val="28"/>
                <w:lang w:val="en-US" w:eastAsia="zh-CN"/>
              </w:rPr>
              <w:t>预估重量（吨）</w:t>
            </w:r>
          </w:p>
        </w:tc>
        <w:tc>
          <w:tcPr>
            <w:tcW w:w="1429"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加工制作费报价（元/吨）</w:t>
            </w:r>
          </w:p>
        </w:tc>
        <w:tc>
          <w:tcPr>
            <w:tcW w:w="2182"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86"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铜排</w:t>
            </w:r>
          </w:p>
        </w:tc>
        <w:tc>
          <w:tcPr>
            <w:tcW w:w="1844"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按图加工 </w:t>
            </w:r>
          </w:p>
        </w:tc>
        <w:tc>
          <w:tcPr>
            <w:tcW w:w="101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184</w:t>
            </w:r>
          </w:p>
        </w:tc>
        <w:tc>
          <w:tcPr>
            <w:tcW w:w="1320" w:type="dxa"/>
            <w:vAlign w:val="center"/>
          </w:tcPr>
          <w:p w14:paraId="5FECBA4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10.99</w:t>
            </w:r>
          </w:p>
        </w:tc>
        <w:tc>
          <w:tcPr>
            <w:tcW w:w="1429" w:type="dxa"/>
            <w:vAlign w:val="center"/>
          </w:tcPr>
          <w:p w14:paraId="465C0A51">
            <w:pPr>
              <w:spacing w:line="360" w:lineRule="exact"/>
              <w:jc w:val="center"/>
              <w:rPr>
                <w:rFonts w:hint="eastAsia" w:ascii="黑体" w:hAnsi="黑体" w:eastAsia="黑体" w:cs="宋体"/>
                <w:kern w:val="0"/>
                <w:sz w:val="28"/>
                <w:szCs w:val="28"/>
                <w:vertAlign w:val="baseline"/>
                <w:lang w:val="en-US" w:eastAsia="zh-CN"/>
              </w:rPr>
            </w:pPr>
          </w:p>
        </w:tc>
        <w:tc>
          <w:tcPr>
            <w:tcW w:w="2182"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sz w:val="28"/>
                <w:szCs w:val="28"/>
              </w:rPr>
              <w:t>计价方式按</w:t>
            </w:r>
            <w:r>
              <w:rPr>
                <w:rFonts w:hint="eastAsia" w:ascii="黑体" w:hAnsi="黑体" w:eastAsia="黑体" w:cs="黑体"/>
                <w:color w:val="auto"/>
                <w:sz w:val="28"/>
                <w:szCs w:val="28"/>
                <w:lang w:val="en-US" w:eastAsia="zh-CN"/>
              </w:rPr>
              <w:t>买</w:t>
            </w:r>
            <w:r>
              <w:rPr>
                <w:rFonts w:hint="eastAsia" w:ascii="黑体" w:hAnsi="黑体" w:eastAsia="黑体" w:cs="黑体"/>
                <w:color w:val="auto"/>
                <w:sz w:val="28"/>
                <w:szCs w:val="28"/>
              </w:rPr>
              <w:t>方</w:t>
            </w:r>
            <w:r>
              <w:rPr>
                <w:rFonts w:hint="eastAsia" w:ascii="黑体" w:hAnsi="黑体" w:eastAsia="黑体" w:cs="黑体"/>
                <w:color w:val="auto"/>
                <w:sz w:val="28"/>
                <w:szCs w:val="28"/>
                <w:lang w:val="en-US" w:eastAsia="zh-CN"/>
              </w:rPr>
              <w:t>订货通知函</w:t>
            </w:r>
            <w:r>
              <w:rPr>
                <w:rFonts w:hint="eastAsia" w:ascii="黑体" w:hAnsi="黑体" w:eastAsia="黑体" w:cs="黑体"/>
                <w:color w:val="auto"/>
                <w:sz w:val="28"/>
                <w:szCs w:val="28"/>
              </w:rPr>
              <w:t>对应</w:t>
            </w:r>
            <w:r>
              <w:rPr>
                <w:rFonts w:hint="eastAsia" w:ascii="黑体" w:hAnsi="黑体" w:eastAsia="黑体" w:cs="黑体"/>
                <w:color w:val="auto"/>
                <w:sz w:val="28"/>
                <w:szCs w:val="28"/>
                <w:lang w:val="en-US" w:eastAsia="zh-CN"/>
              </w:rPr>
              <w:t>次日（工作日）</w:t>
            </w:r>
            <w:r>
              <w:rPr>
                <w:rFonts w:hint="eastAsia" w:ascii="黑体" w:hAnsi="黑体" w:eastAsia="黑体" w:cs="黑体"/>
                <w:sz w:val="28"/>
                <w:szCs w:val="28"/>
              </w:rPr>
              <w:t>上海有色金属网1#电解铜现货均价+铜排加工制作费（</w:t>
            </w:r>
            <w:r>
              <w:rPr>
                <w:rFonts w:hint="eastAsia" w:ascii="黑体" w:hAnsi="黑体" w:eastAsia="黑体" w:cs="黑体"/>
                <w:sz w:val="28"/>
                <w:szCs w:val="28"/>
                <w:lang w:val="en-US" w:eastAsia="zh-CN"/>
              </w:rPr>
              <w:t>**</w:t>
            </w:r>
            <w:r>
              <w:rPr>
                <w:rFonts w:hint="eastAsia" w:ascii="黑体" w:hAnsi="黑体" w:eastAsia="黑体" w:cs="黑体"/>
                <w:sz w:val="28"/>
                <w:szCs w:val="28"/>
              </w:rPr>
              <w:t>元/吨）；</w:t>
            </w: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00B3FBE1">
      <w:pPr>
        <w:spacing w:line="360" w:lineRule="exact"/>
        <w:rPr>
          <w:rFonts w:hint="eastAsia" w:ascii="黑体" w:hAnsi="黑体" w:eastAsia="黑体" w:cs="宋体"/>
          <w:b/>
          <w:kern w:val="0"/>
          <w:sz w:val="28"/>
          <w:szCs w:val="28"/>
          <w:lang w:val="en-US" w:eastAsia="zh-CN"/>
        </w:rPr>
      </w:pPr>
    </w:p>
    <w:p w14:paraId="7D0934E3">
      <w:pPr>
        <w:spacing w:line="360" w:lineRule="exact"/>
        <w:rPr>
          <w:rFonts w:hint="eastAsia" w:ascii="黑体" w:hAnsi="黑体" w:eastAsia="黑体" w:cs="宋体"/>
          <w:b/>
          <w:kern w:val="0"/>
          <w:sz w:val="28"/>
          <w:szCs w:val="28"/>
          <w:lang w:val="en-US" w:eastAsia="zh-CN"/>
        </w:rPr>
      </w:pPr>
    </w:p>
    <w:p w14:paraId="2DE5F09D">
      <w:pPr>
        <w:spacing w:line="360" w:lineRule="exact"/>
        <w:rPr>
          <w:rFonts w:hint="eastAsia" w:ascii="黑体" w:hAnsi="黑体" w:eastAsia="黑体" w:cs="宋体"/>
          <w:b/>
          <w:kern w:val="0"/>
          <w:sz w:val="28"/>
          <w:szCs w:val="28"/>
          <w:lang w:val="en-US" w:eastAsia="zh-CN"/>
        </w:rPr>
      </w:pPr>
    </w:p>
    <w:p w14:paraId="2F628E04">
      <w:pPr>
        <w:spacing w:line="360" w:lineRule="exact"/>
        <w:rPr>
          <w:rFonts w:hint="eastAsia" w:ascii="黑体" w:hAnsi="黑体" w:eastAsia="黑体" w:cs="宋体"/>
          <w:b/>
          <w:kern w:val="0"/>
          <w:sz w:val="28"/>
          <w:szCs w:val="28"/>
          <w:lang w:val="en-US" w:eastAsia="zh-CN"/>
        </w:rPr>
      </w:pPr>
    </w:p>
    <w:p w14:paraId="78CD68B6">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（三）营业执照</w:t>
      </w: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04D3994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79B7F8C"/>
    <w:multiLevelType w:val="singleLevel"/>
    <w:tmpl w:val="479B7F8C"/>
    <w:lvl w:ilvl="0" w:tentative="0">
      <w:start w:val="1"/>
      <w:numFmt w:val="decimal"/>
      <w:suff w:val="nothing"/>
      <w:lvlText w:val="%1、"/>
      <w:lvlJc w:val="left"/>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8274E0"/>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1AE2DF9"/>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3B5E"/>
    <w:rsid w:val="2236563F"/>
    <w:rsid w:val="226E3D33"/>
    <w:rsid w:val="22A07CA6"/>
    <w:rsid w:val="237F15B6"/>
    <w:rsid w:val="240E783E"/>
    <w:rsid w:val="246966F1"/>
    <w:rsid w:val="2470465E"/>
    <w:rsid w:val="24F6510A"/>
    <w:rsid w:val="24FA55ED"/>
    <w:rsid w:val="2579255D"/>
    <w:rsid w:val="25CC5B88"/>
    <w:rsid w:val="26163096"/>
    <w:rsid w:val="26933E36"/>
    <w:rsid w:val="26BC19A6"/>
    <w:rsid w:val="279E3E6D"/>
    <w:rsid w:val="27A73E71"/>
    <w:rsid w:val="27B8643F"/>
    <w:rsid w:val="284D6CAB"/>
    <w:rsid w:val="28564D7B"/>
    <w:rsid w:val="289607B9"/>
    <w:rsid w:val="28F11C08"/>
    <w:rsid w:val="290166AE"/>
    <w:rsid w:val="29CF6FC8"/>
    <w:rsid w:val="2A494963"/>
    <w:rsid w:val="2A5A72A6"/>
    <w:rsid w:val="2A7A0382"/>
    <w:rsid w:val="2AAB5DE7"/>
    <w:rsid w:val="2AC075D6"/>
    <w:rsid w:val="2B33475A"/>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0A1A39"/>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9DC3DB7"/>
    <w:rsid w:val="4A185620"/>
    <w:rsid w:val="4A6F4C2B"/>
    <w:rsid w:val="4ADD279F"/>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3845DF"/>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284218"/>
    <w:rsid w:val="68E42148"/>
    <w:rsid w:val="68F9171A"/>
    <w:rsid w:val="693A47A3"/>
    <w:rsid w:val="69B61D6F"/>
    <w:rsid w:val="69C1618A"/>
    <w:rsid w:val="69D903C8"/>
    <w:rsid w:val="6A6D4C91"/>
    <w:rsid w:val="6AB2229E"/>
    <w:rsid w:val="6AFB2A69"/>
    <w:rsid w:val="6B3E4F40"/>
    <w:rsid w:val="6B4C26F3"/>
    <w:rsid w:val="6B73407C"/>
    <w:rsid w:val="6C465631"/>
    <w:rsid w:val="6C581DD8"/>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3674</Words>
  <Characters>3857</Characters>
  <Lines>16</Lines>
  <Paragraphs>4</Paragraphs>
  <TotalTime>25</TotalTime>
  <ScaleCrop>false</ScaleCrop>
  <LinksUpToDate>false</LinksUpToDate>
  <CharactersWithSpaces>4921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2026-02-26T06:23:37Z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