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cs="黑体" w:asciiTheme="minorEastAsia" w:hAnsiTheme="minorEastAsia"/>
          <w:b/>
          <w:bCs/>
          <w:color w:val="auto"/>
          <w:sz w:val="48"/>
          <w:szCs w:val="48"/>
        </w:rPr>
      </w:pPr>
    </w:p>
    <w:p w14:paraId="471AFF72">
      <w:pPr>
        <w:autoSpaceDE w:val="0"/>
        <w:autoSpaceDN w:val="0"/>
        <w:adjustRightInd w:val="0"/>
        <w:spacing w:before="100" w:after="100"/>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lang w:val="en-US" w:eastAsia="zh-CN"/>
        </w:rPr>
        <w:t>宏达股份</w:t>
      </w:r>
      <w:r>
        <w:rPr>
          <w:rFonts w:hint="eastAsia" w:ascii="宋体" w:hAnsi="宋体" w:eastAsia="宋体" w:cs="宋体"/>
          <w:b/>
          <w:bCs/>
          <w:color w:val="auto"/>
          <w:sz w:val="48"/>
          <w:szCs w:val="48"/>
        </w:rPr>
        <w:t>磷化工分公司</w:t>
      </w:r>
    </w:p>
    <w:p w14:paraId="2E54D704">
      <w:pPr>
        <w:autoSpaceDE w:val="0"/>
        <w:autoSpaceDN w:val="0"/>
        <w:adjustRightInd w:val="0"/>
        <w:spacing w:before="100" w:after="10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rPr>
        <w:t>分厂办公楼专项安全评价（抗爆计算）服务</w:t>
      </w:r>
      <w:r>
        <w:rPr>
          <w:rFonts w:hint="eastAsia" w:ascii="宋体" w:hAnsi="宋体" w:eastAsia="宋体" w:cs="宋体"/>
          <w:b/>
          <w:bCs/>
          <w:color w:val="auto"/>
          <w:sz w:val="48"/>
          <w:szCs w:val="48"/>
          <w:lang w:val="en-US" w:eastAsia="zh-CN"/>
        </w:rPr>
        <w:t>公开比选</w:t>
      </w:r>
      <w:bookmarkStart w:id="19" w:name="_GoBack"/>
      <w:bookmarkEnd w:id="19"/>
    </w:p>
    <w:p w14:paraId="1FAE45D5">
      <w:pPr>
        <w:widowControl/>
        <w:rPr>
          <w:rFonts w:asciiTheme="minorEastAsia" w:hAnsiTheme="minorEastAsia"/>
          <w:b/>
          <w:color w:val="auto"/>
          <w:kern w:val="0"/>
          <w:sz w:val="72"/>
          <w:szCs w:val="72"/>
        </w:rPr>
      </w:pPr>
    </w:p>
    <w:p w14:paraId="538E90AF">
      <w:pPr>
        <w:pStyle w:val="5"/>
        <w:ind w:firstLine="1446"/>
        <w:rPr>
          <w:rFonts w:asciiTheme="minorEastAsia" w:hAnsiTheme="minorEastAsia"/>
          <w:b/>
          <w:color w:val="auto"/>
          <w:kern w:val="0"/>
          <w:sz w:val="72"/>
          <w:szCs w:val="72"/>
        </w:rPr>
      </w:pPr>
    </w:p>
    <w:p w14:paraId="33D068A5">
      <w:pPr>
        <w:pStyle w:val="11"/>
        <w:rPr>
          <w:rFonts w:asciiTheme="minorEastAsia" w:hAnsiTheme="minorEastAsia"/>
          <w:b/>
          <w:color w:val="auto"/>
          <w:kern w:val="0"/>
          <w:sz w:val="72"/>
          <w:szCs w:val="72"/>
        </w:rPr>
      </w:pPr>
    </w:p>
    <w:p w14:paraId="44917994">
      <w:pPr>
        <w:rPr>
          <w:color w:val="auto"/>
        </w:rPr>
      </w:pPr>
    </w:p>
    <w:p w14:paraId="7C29320C">
      <w:pPr>
        <w:pStyle w:val="11"/>
        <w:rPr>
          <w:color w:val="auto"/>
        </w:rPr>
      </w:pPr>
    </w:p>
    <w:p w14:paraId="789A982C">
      <w:pPr>
        <w:widowControl/>
        <w:jc w:val="center"/>
        <w:rPr>
          <w:rFonts w:asciiTheme="minorEastAsia" w:hAnsiTheme="minorEastAsia"/>
          <w:b/>
          <w:color w:val="auto"/>
          <w:kern w:val="0"/>
          <w:sz w:val="72"/>
          <w:szCs w:val="72"/>
        </w:rPr>
      </w:pPr>
      <w:r>
        <w:rPr>
          <w:rFonts w:hint="eastAsia" w:asciiTheme="minorEastAsia" w:hAnsiTheme="minorEastAsia"/>
          <w:b/>
          <w:color w:val="auto"/>
          <w:kern w:val="0"/>
          <w:sz w:val="72"/>
          <w:szCs w:val="72"/>
        </w:rPr>
        <w:t>比选文件</w:t>
      </w:r>
    </w:p>
    <w:p w14:paraId="4C7901ED">
      <w:pPr>
        <w:pStyle w:val="5"/>
        <w:ind w:firstLine="643"/>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rPr>
        <w:t>编号：SFLHG-GKBX-2026-FW02</w:t>
      </w:r>
    </w:p>
    <w:p w14:paraId="28B86A66">
      <w:pPr>
        <w:autoSpaceDE w:val="0"/>
        <w:autoSpaceDN w:val="0"/>
        <w:adjustRightInd w:val="0"/>
        <w:spacing w:line="360" w:lineRule="auto"/>
        <w:jc w:val="center"/>
        <w:rPr>
          <w:rFonts w:asciiTheme="minorEastAsia" w:hAnsiTheme="minorEastAsia"/>
          <w:color w:val="auto"/>
          <w:sz w:val="48"/>
          <w:szCs w:val="48"/>
          <w:lang w:val="zh-CN"/>
        </w:rPr>
      </w:pPr>
    </w:p>
    <w:p w14:paraId="21DDDD66">
      <w:pPr>
        <w:autoSpaceDE w:val="0"/>
        <w:autoSpaceDN w:val="0"/>
        <w:adjustRightInd w:val="0"/>
        <w:spacing w:line="360" w:lineRule="auto"/>
        <w:rPr>
          <w:rFonts w:cs="黑体" w:asciiTheme="minorEastAsia" w:hAnsiTheme="minorEastAsia"/>
          <w:color w:val="auto"/>
          <w:lang w:val="zh-CN"/>
        </w:rPr>
      </w:pPr>
    </w:p>
    <w:p w14:paraId="43784FA0">
      <w:pPr>
        <w:jc w:val="center"/>
        <w:rPr>
          <w:rFonts w:cs="黑体" w:asciiTheme="minorEastAsia" w:hAnsiTheme="minorEastAsia"/>
          <w:color w:val="auto"/>
          <w:lang w:val="zh-CN"/>
        </w:rPr>
      </w:pPr>
    </w:p>
    <w:p w14:paraId="205AB8C1">
      <w:pPr>
        <w:jc w:val="center"/>
        <w:rPr>
          <w:rFonts w:cs="黑体" w:asciiTheme="minorEastAsia" w:hAnsiTheme="minorEastAsia"/>
          <w:color w:val="auto"/>
          <w:lang w:val="zh-CN"/>
        </w:rPr>
      </w:pPr>
    </w:p>
    <w:p w14:paraId="6D5AE92C">
      <w:pPr>
        <w:jc w:val="center"/>
        <w:rPr>
          <w:rFonts w:cs="黑体" w:asciiTheme="minorEastAsia" w:hAnsiTheme="minorEastAsia"/>
          <w:color w:val="auto"/>
          <w:lang w:val="zh-CN"/>
        </w:rPr>
      </w:pPr>
    </w:p>
    <w:p w14:paraId="0AD65B3A">
      <w:pPr>
        <w:jc w:val="center"/>
        <w:rPr>
          <w:rFonts w:cs="黑体" w:asciiTheme="minorEastAsia" w:hAnsiTheme="minorEastAsia"/>
          <w:color w:val="auto"/>
          <w:lang w:val="zh-CN"/>
        </w:rPr>
      </w:pPr>
    </w:p>
    <w:p w14:paraId="40735AE9">
      <w:pPr>
        <w:jc w:val="center"/>
        <w:rPr>
          <w:rFonts w:cs="黑体" w:asciiTheme="minorEastAsia" w:hAnsiTheme="minorEastAsia"/>
          <w:color w:val="auto"/>
          <w:lang w:val="zh-CN"/>
        </w:rPr>
      </w:pPr>
    </w:p>
    <w:p w14:paraId="39575830">
      <w:pPr>
        <w:spacing w:line="600" w:lineRule="auto"/>
        <w:ind w:firstLine="2127" w:firstLineChars="709"/>
        <w:rPr>
          <w:rFonts w:asciiTheme="minorEastAsia" w:hAnsiTheme="minorEastAsia"/>
          <w:color w:val="auto"/>
          <w:sz w:val="30"/>
          <w:szCs w:val="30"/>
        </w:rPr>
      </w:pPr>
    </w:p>
    <w:p w14:paraId="709DC411">
      <w:pPr>
        <w:spacing w:line="480" w:lineRule="auto"/>
        <w:ind w:left="1050" w:leftChars="500" w:right="1050" w:rightChars="500"/>
        <w:jc w:val="center"/>
        <w:rPr>
          <w:rFonts w:hint="default" w:asciiTheme="minorEastAsia" w:hAnsiTheme="minorEastAsia" w:eastAsiaTheme="minorEastAsia"/>
          <w:b/>
          <w:bCs/>
          <w:color w:val="auto"/>
          <w:sz w:val="30"/>
          <w:szCs w:val="30"/>
          <w:lang w:val="en-US" w:eastAsia="zh-CN"/>
        </w:rPr>
      </w:pPr>
      <w:r>
        <w:rPr>
          <w:rFonts w:hint="eastAsia" w:asciiTheme="minorEastAsia" w:hAnsiTheme="minorEastAsia"/>
          <w:b/>
          <w:bCs/>
          <w:color w:val="auto"/>
          <w:sz w:val="30"/>
          <w:szCs w:val="30"/>
        </w:rPr>
        <w:t>比选人：</w:t>
      </w:r>
      <w:r>
        <w:rPr>
          <w:rFonts w:hint="eastAsia" w:asciiTheme="minorEastAsia" w:hAnsiTheme="minorEastAsia"/>
          <w:b/>
          <w:bCs/>
          <w:color w:val="auto"/>
          <w:sz w:val="30"/>
          <w:szCs w:val="30"/>
          <w:lang w:val="en-US" w:eastAsia="zh-CN"/>
        </w:rPr>
        <w:t>宏达股份磷化工分公司</w:t>
      </w:r>
    </w:p>
    <w:p w14:paraId="5693445A">
      <w:pPr>
        <w:autoSpaceDE w:val="0"/>
        <w:autoSpaceDN w:val="0"/>
        <w:adjustRightInd w:val="0"/>
        <w:spacing w:line="480" w:lineRule="auto"/>
        <w:jc w:val="center"/>
        <w:rPr>
          <w:rFonts w:asciiTheme="minorEastAsia" w:hAnsiTheme="minorEastAsia"/>
          <w:b/>
          <w:color w:val="auto"/>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color w:val="auto"/>
          <w:sz w:val="30"/>
          <w:szCs w:val="30"/>
          <w:lang w:val="zh-CN"/>
        </w:rPr>
        <w:t>20</w:t>
      </w:r>
      <w:r>
        <w:rPr>
          <w:rFonts w:hint="eastAsia" w:cs="黑体" w:asciiTheme="minorEastAsia" w:hAnsiTheme="minorEastAsia"/>
          <w:b/>
          <w:bCs/>
          <w:color w:val="auto"/>
          <w:sz w:val="30"/>
          <w:szCs w:val="30"/>
        </w:rPr>
        <w:t>2</w:t>
      </w:r>
      <w:r>
        <w:rPr>
          <w:rFonts w:hint="eastAsia" w:cs="黑体" w:asciiTheme="minorEastAsia" w:hAnsiTheme="minorEastAsia"/>
          <w:b/>
          <w:bCs/>
          <w:color w:val="auto"/>
          <w:sz w:val="30"/>
          <w:szCs w:val="30"/>
          <w:lang w:val="en-US" w:eastAsia="zh-CN"/>
        </w:rPr>
        <w:t>6</w:t>
      </w:r>
      <w:r>
        <w:rPr>
          <w:rFonts w:hint="eastAsia" w:cs="黑体" w:asciiTheme="minorEastAsia" w:hAnsiTheme="minorEastAsia"/>
          <w:b/>
          <w:bCs/>
          <w:color w:val="auto"/>
          <w:sz w:val="30"/>
          <w:szCs w:val="30"/>
          <w:lang w:val="zh-CN"/>
        </w:rPr>
        <w:t>年</w:t>
      </w:r>
      <w:r>
        <w:rPr>
          <w:rFonts w:hint="eastAsia" w:cs="黑体" w:asciiTheme="minorEastAsia" w:hAnsiTheme="minorEastAsia"/>
          <w:b/>
          <w:bCs/>
          <w:color w:val="auto"/>
          <w:sz w:val="30"/>
          <w:szCs w:val="30"/>
          <w:lang w:val="en-US" w:eastAsia="zh-CN"/>
        </w:rPr>
        <w:t>1</w:t>
      </w:r>
      <w:r>
        <w:rPr>
          <w:rFonts w:hint="eastAsia" w:cs="黑体" w:asciiTheme="minorEastAsia" w:hAnsiTheme="minorEastAsia"/>
          <w:b/>
          <w:bCs/>
          <w:color w:val="auto"/>
          <w:sz w:val="30"/>
          <w:szCs w:val="30"/>
        </w:rPr>
        <w:t>月</w:t>
      </w:r>
      <w:r>
        <w:rPr>
          <w:rFonts w:hint="eastAsia" w:cs="黑体" w:asciiTheme="minorEastAsia" w:hAnsiTheme="minorEastAsia"/>
          <w:b/>
          <w:bCs/>
          <w:color w:val="auto"/>
          <w:sz w:val="30"/>
          <w:szCs w:val="30"/>
          <w:lang w:val="en-US" w:eastAsia="zh-CN"/>
        </w:rPr>
        <w:t>7</w:t>
      </w:r>
      <w:r>
        <w:rPr>
          <w:rFonts w:hint="eastAsia" w:cs="黑体" w:asciiTheme="minorEastAsia" w:hAnsiTheme="minorEastAsia"/>
          <w:b/>
          <w:bCs/>
          <w:color w:val="auto"/>
          <w:sz w:val="30"/>
          <w:szCs w:val="30"/>
        </w:rPr>
        <w:t>日</w:t>
      </w:r>
    </w:p>
    <w:p w14:paraId="1D614D47">
      <w:pPr>
        <w:widowControl/>
        <w:shd w:val="clear" w:color="auto" w:fill="FFFFFF"/>
        <w:spacing w:line="600" w:lineRule="exact"/>
        <w:ind w:firstLine="371"/>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宏达股份磷化工分公司</w:t>
      </w:r>
    </w:p>
    <w:p w14:paraId="3C2905FA">
      <w:pPr>
        <w:widowControl/>
        <w:shd w:val="clear" w:color="auto" w:fill="FFFFFF"/>
        <w:spacing w:line="6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分厂办公楼专项安全评价（抗爆计算）服务</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四川宏达股份有限公司因</w:t>
      </w:r>
      <w:r>
        <w:rPr>
          <w:rFonts w:hint="eastAsia" w:ascii="黑体" w:hAnsi="黑体" w:eastAsia="黑体" w:cs="宋体"/>
          <w:color w:val="auto"/>
          <w:kern w:val="0"/>
          <w:sz w:val="28"/>
          <w:szCs w:val="28"/>
          <w:lang w:val="en-US" w:eastAsia="zh-CN"/>
        </w:rPr>
        <w:t>生产需要</w:t>
      </w:r>
      <w:r>
        <w:rPr>
          <w:rFonts w:hint="eastAsia" w:ascii="黑体" w:hAnsi="黑体" w:eastAsia="黑体" w:cs="宋体"/>
          <w:color w:val="auto"/>
          <w:kern w:val="0"/>
          <w:sz w:val="28"/>
          <w:szCs w:val="28"/>
        </w:rPr>
        <w:t>，本着“公开、公平、公正”的原则，现对</w:t>
      </w:r>
      <w:r>
        <w:rPr>
          <w:rFonts w:hint="eastAsia" w:ascii="黑体" w:hAnsi="黑体" w:eastAsia="黑体" w:cs="宋体"/>
          <w:color w:val="auto"/>
          <w:kern w:val="0"/>
          <w:sz w:val="28"/>
          <w:szCs w:val="28"/>
          <w:lang w:val="en-US" w:eastAsia="zh-CN"/>
        </w:rPr>
        <w:t>宏达股份什邡磷化工分公司分厂办公楼专项安全评价（抗爆计算）服务</w:t>
      </w:r>
      <w:r>
        <w:rPr>
          <w:rFonts w:hint="eastAsia" w:ascii="黑体" w:hAnsi="黑体" w:eastAsia="黑体" w:cs="宋体"/>
          <w:color w:val="auto"/>
          <w:kern w:val="0"/>
          <w:sz w:val="28"/>
          <w:szCs w:val="28"/>
        </w:rPr>
        <w:t>进行公开比选。欢迎贵公司前来报价，现将相关事项公告如下：</w:t>
      </w:r>
    </w:p>
    <w:p w14:paraId="57E5E844">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一、服务内容</w:t>
      </w:r>
    </w:p>
    <w:p w14:paraId="4B3F99B5">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1.服务内容：</w:t>
      </w:r>
      <w:r>
        <w:rPr>
          <w:rFonts w:hint="eastAsia" w:ascii="黑体" w:hAnsi="黑体" w:eastAsia="黑体" w:cs="宋体"/>
          <w:color w:val="auto"/>
          <w:kern w:val="0"/>
          <w:sz w:val="28"/>
          <w:szCs w:val="28"/>
          <w:lang w:val="en-US" w:eastAsia="zh-CN"/>
        </w:rPr>
        <w:t>宏达股份什邡磷化工分公司分厂办公楼专项安全评价（抗爆计算）服务。</w:t>
      </w:r>
    </w:p>
    <w:p w14:paraId="566A44AD">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2.服务地点：四川省什邡市</w:t>
      </w:r>
      <w:r>
        <w:rPr>
          <w:rFonts w:hint="eastAsia" w:ascii="黑体" w:hAnsi="黑体" w:eastAsia="黑体" w:cs="宋体"/>
          <w:color w:val="auto"/>
          <w:kern w:val="0"/>
          <w:sz w:val="28"/>
          <w:szCs w:val="28"/>
          <w:lang w:val="en-US" w:eastAsia="zh-CN"/>
        </w:rPr>
        <w:t>洛水镇</w:t>
      </w:r>
      <w:r>
        <w:rPr>
          <w:rFonts w:hint="eastAsia" w:ascii="黑体" w:hAnsi="黑体" w:eastAsia="黑体" w:cs="宋体"/>
          <w:color w:val="auto"/>
          <w:kern w:val="0"/>
          <w:sz w:val="28"/>
          <w:szCs w:val="28"/>
        </w:rPr>
        <w:t>。</w:t>
      </w:r>
    </w:p>
    <w:p w14:paraId="3189E225">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二、比选人：四川宏达股份有限公司</w:t>
      </w:r>
      <w:r>
        <w:rPr>
          <w:rFonts w:hint="eastAsia" w:ascii="黑体" w:hAnsi="黑体" w:eastAsia="黑体" w:cs="宋体"/>
          <w:color w:val="auto"/>
          <w:kern w:val="0"/>
          <w:sz w:val="28"/>
          <w:szCs w:val="28"/>
          <w:lang w:val="en-US" w:eastAsia="zh-CN"/>
        </w:rPr>
        <w:t>什邡磷化工分公司</w:t>
      </w:r>
      <w:r>
        <w:rPr>
          <w:rFonts w:hint="eastAsia" w:ascii="黑体" w:hAnsi="黑体" w:eastAsia="黑体" w:cs="宋体"/>
          <w:color w:val="auto"/>
          <w:kern w:val="0"/>
          <w:sz w:val="28"/>
          <w:szCs w:val="28"/>
        </w:rPr>
        <w:t xml:space="preserve">  </w:t>
      </w:r>
    </w:p>
    <w:p w14:paraId="342E6EB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4BF66C18">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1.服务期限：合同签订后1个月内提交抗爆计算报告送审件。</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2.付款方式及发票： </w:t>
      </w:r>
    </w:p>
    <w:p w14:paraId="506037F6">
      <w:pPr>
        <w:widowControl/>
        <w:shd w:val="clear" w:color="auto" w:fill="FFFFFF"/>
        <w:spacing w:line="400" w:lineRule="exact"/>
        <w:jc w:val="left"/>
        <w:rPr>
          <w:rFonts w:hint="eastAsia" w:ascii="黑体" w:hAnsi="黑体" w:eastAsia="黑体" w:cs="Segoe UI"/>
          <w:bCs/>
          <w:color w:val="auto"/>
          <w:kern w:val="0"/>
          <w:sz w:val="28"/>
          <w:szCs w:val="28"/>
          <w:highlight w:val="none"/>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w:t>
      </w:r>
      <w:r>
        <w:rPr>
          <w:rFonts w:hint="eastAsia" w:ascii="黑体" w:hAnsi="黑体" w:eastAsia="黑体" w:cs="Segoe UI"/>
          <w:color w:val="auto"/>
          <w:kern w:val="0"/>
          <w:sz w:val="28"/>
          <w:szCs w:val="28"/>
          <w:highlight w:val="none"/>
        </w:rPr>
        <w:t>方式：</w:t>
      </w:r>
      <w:r>
        <w:rPr>
          <w:rFonts w:hint="eastAsia" w:ascii="黑体" w:hAnsi="黑体" w:eastAsia="黑体" w:cs="Segoe UI"/>
          <w:color w:val="auto"/>
          <w:kern w:val="0"/>
          <w:sz w:val="28"/>
          <w:szCs w:val="28"/>
          <w:highlight w:val="none"/>
          <w:lang w:val="en-US" w:eastAsia="zh-CN"/>
        </w:rPr>
        <w:t>报告通过专家评审会后，一次性付清技术服务全部费用</w:t>
      </w:r>
      <w:r>
        <w:rPr>
          <w:rFonts w:hint="eastAsia" w:ascii="黑体" w:hAnsi="黑体" w:eastAsia="黑体" w:cs="Segoe UI"/>
          <w:color w:val="auto"/>
          <w:kern w:val="0"/>
          <w:sz w:val="28"/>
          <w:szCs w:val="28"/>
          <w:highlight w:val="none"/>
        </w:rPr>
        <w:t>。</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spacing w:line="420" w:lineRule="exact"/>
        <w:outlineLvl w:val="0"/>
        <w:rPr>
          <w:rFonts w:ascii="黑体" w:hAnsi="黑体" w:eastAsia="黑体" w:cs="黑体"/>
          <w:color w:val="auto"/>
          <w:sz w:val="28"/>
          <w:szCs w:val="28"/>
        </w:rPr>
      </w:pPr>
      <w:r>
        <w:rPr>
          <w:rFonts w:hint="eastAsia" w:ascii="黑体" w:hAnsi="黑体" w:eastAsia="黑体" w:cs="黑体"/>
          <w:color w:val="auto"/>
          <w:sz w:val="28"/>
          <w:szCs w:val="28"/>
        </w:rPr>
        <w:t>3.比选文件的获取</w:t>
      </w:r>
    </w:p>
    <w:p w14:paraId="2AE6E591">
      <w:pPr>
        <w:spacing w:line="420" w:lineRule="exact"/>
        <w:outlineLvl w:val="0"/>
        <w:rPr>
          <w:rFonts w:ascii="黑体" w:hAnsi="黑体" w:eastAsia="黑体" w:cs="黑体"/>
          <w:color w:val="auto"/>
          <w:sz w:val="28"/>
          <w:szCs w:val="28"/>
        </w:rPr>
      </w:pPr>
      <w:r>
        <w:rPr>
          <w:rFonts w:hint="eastAsia" w:ascii="黑体" w:hAnsi="黑体" w:eastAsia="黑体" w:cs="黑体"/>
          <w:color w:val="auto"/>
          <w:sz w:val="28"/>
          <w:szCs w:val="28"/>
        </w:rPr>
        <w:t>获取方式为：</w:t>
      </w:r>
      <w:r>
        <w:rPr>
          <w:rFonts w:hint="eastAsia" w:ascii="黑体" w:hAnsi="黑体" w:eastAsia="黑体" w:cs="黑体"/>
          <w:color w:val="auto"/>
          <w:sz w:val="28"/>
          <w:szCs w:val="28"/>
          <w:lang w:val="en-US" w:eastAsia="zh-CN"/>
        </w:rPr>
        <w:t>截至</w:t>
      </w:r>
      <w:r>
        <w:rPr>
          <w:rFonts w:hint="eastAsia" w:ascii="黑体" w:hAnsi="黑体" w:eastAsia="黑体" w:cs="黑体"/>
          <w:color w:val="auto"/>
          <w:sz w:val="28"/>
          <w:szCs w:val="28"/>
        </w:rPr>
        <w:t xml:space="preserve"> 2025年</w:t>
      </w: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月</w:t>
      </w:r>
      <w:r>
        <w:rPr>
          <w:rFonts w:hint="eastAsia" w:ascii="黑体" w:hAnsi="黑体" w:eastAsia="黑体" w:cs="黑体"/>
          <w:color w:val="auto"/>
          <w:sz w:val="28"/>
          <w:szCs w:val="28"/>
          <w:lang w:val="en-US" w:eastAsia="zh-CN"/>
        </w:rPr>
        <w:t>14</w:t>
      </w:r>
      <w:r>
        <w:rPr>
          <w:rFonts w:hint="eastAsia" w:ascii="黑体" w:hAnsi="黑体" w:eastAsia="黑体" w:cs="黑体"/>
          <w:color w:val="auto"/>
          <w:sz w:val="28"/>
          <w:szCs w:val="28"/>
        </w:rPr>
        <w:t>日</w:t>
      </w:r>
      <w:r>
        <w:rPr>
          <w:rFonts w:hint="eastAsia" w:ascii="黑体" w:hAnsi="黑体" w:eastAsia="黑体" w:cs="黑体"/>
          <w:color w:val="auto"/>
          <w:sz w:val="28"/>
          <w:szCs w:val="28"/>
          <w:lang w:val="en-US" w:eastAsia="zh-CN"/>
        </w:rPr>
        <w:t xml:space="preserve"> 10</w:t>
      </w:r>
      <w:r>
        <w:rPr>
          <w:rFonts w:hint="eastAsia" w:ascii="黑体" w:hAnsi="黑体" w:eastAsia="黑体" w:cs="黑体"/>
          <w:color w:val="auto"/>
          <w:sz w:val="28"/>
          <w:szCs w:val="28"/>
        </w:rPr>
        <w:t xml:space="preserve">时 </w:t>
      </w:r>
      <w:r>
        <w:rPr>
          <w:rFonts w:hint="eastAsia" w:ascii="黑体" w:hAnsi="黑体" w:eastAsia="黑体" w:cs="黑体"/>
          <w:color w:val="auto"/>
          <w:sz w:val="28"/>
          <w:szCs w:val="28"/>
          <w:lang w:val="en-US" w:eastAsia="zh-CN"/>
        </w:rPr>
        <w:t>00</w:t>
      </w:r>
      <w:r>
        <w:rPr>
          <w:rFonts w:hint="eastAsia" w:ascii="黑体" w:hAnsi="黑体" w:eastAsia="黑体" w:cs="黑体"/>
          <w:color w:val="auto"/>
          <w:sz w:val="28"/>
          <w:szCs w:val="28"/>
        </w:rPr>
        <w:t xml:space="preserve"> 分通过四川宏达股份有限公司集采中心招投标平台(以下简称“ 宏达股份集采平台”）（http://jc.sichuanhongda.com/）进行注册并登录后参与投标并下载比选文件。 </w:t>
      </w:r>
    </w:p>
    <w:p w14:paraId="504767B0">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4.响应性文件的递交</w:t>
      </w:r>
    </w:p>
    <w:p w14:paraId="304D30D4">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递交截止时间：202</w:t>
      </w:r>
      <w:r>
        <w:rPr>
          <w:rFonts w:hint="eastAsia" w:ascii="黑体" w:hAnsi="黑体" w:eastAsia="黑体" w:cs="仿宋_GB2312"/>
          <w:color w:val="auto"/>
          <w:sz w:val="28"/>
          <w:szCs w:val="28"/>
          <w:lang w:val="en-US" w:eastAsia="zh-CN"/>
        </w:rPr>
        <w:t>6</w:t>
      </w:r>
      <w:r>
        <w:rPr>
          <w:rFonts w:hint="eastAsia" w:ascii="黑体" w:hAnsi="黑体" w:eastAsia="黑体" w:cs="仿宋_GB2312"/>
          <w:color w:val="auto"/>
          <w:sz w:val="28"/>
          <w:szCs w:val="28"/>
        </w:rPr>
        <w:t>年</w:t>
      </w:r>
      <w:r>
        <w:rPr>
          <w:rFonts w:hint="eastAsia" w:ascii="黑体" w:hAnsi="黑体" w:eastAsia="黑体" w:cs="仿宋_GB2312"/>
          <w:color w:val="auto"/>
          <w:sz w:val="28"/>
          <w:szCs w:val="28"/>
          <w:lang w:val="en-US" w:eastAsia="zh-CN"/>
        </w:rPr>
        <w:t>1</w:t>
      </w:r>
      <w:r>
        <w:rPr>
          <w:rFonts w:hint="eastAsia" w:ascii="黑体" w:hAnsi="黑体" w:eastAsia="黑体" w:cs="仿宋_GB2312"/>
          <w:color w:val="auto"/>
          <w:sz w:val="28"/>
          <w:szCs w:val="28"/>
        </w:rPr>
        <w:t xml:space="preserve"> 月 </w:t>
      </w:r>
      <w:r>
        <w:rPr>
          <w:rFonts w:hint="eastAsia" w:ascii="黑体" w:hAnsi="黑体" w:eastAsia="黑体" w:cs="仿宋_GB2312"/>
          <w:color w:val="auto"/>
          <w:sz w:val="28"/>
          <w:szCs w:val="28"/>
          <w:lang w:val="en-US" w:eastAsia="zh-CN"/>
        </w:rPr>
        <w:t>14</w:t>
      </w:r>
      <w:r>
        <w:rPr>
          <w:rFonts w:hint="eastAsia" w:ascii="黑体" w:hAnsi="黑体" w:eastAsia="黑体" w:cs="仿宋_GB2312"/>
          <w:color w:val="auto"/>
          <w:sz w:val="28"/>
          <w:szCs w:val="28"/>
        </w:rPr>
        <w:t xml:space="preserve"> 日</w:t>
      </w:r>
      <w:r>
        <w:rPr>
          <w:rFonts w:hint="eastAsia" w:ascii="黑体" w:hAnsi="黑体" w:eastAsia="黑体" w:cs="仿宋_GB2312"/>
          <w:color w:val="auto"/>
          <w:sz w:val="28"/>
          <w:szCs w:val="28"/>
          <w:lang w:val="en-US" w:eastAsia="zh-CN"/>
        </w:rPr>
        <w:t>10</w:t>
      </w:r>
      <w:r>
        <w:rPr>
          <w:rFonts w:hint="eastAsia" w:ascii="黑体" w:hAnsi="黑体" w:eastAsia="黑体" w:cs="仿宋_GB2312"/>
          <w:color w:val="auto"/>
          <w:sz w:val="28"/>
          <w:szCs w:val="28"/>
        </w:rPr>
        <w:t xml:space="preserve">时 </w:t>
      </w:r>
      <w:r>
        <w:rPr>
          <w:rFonts w:hint="eastAsia" w:ascii="黑体" w:hAnsi="黑体" w:eastAsia="黑体" w:cs="仿宋_GB2312"/>
          <w:color w:val="auto"/>
          <w:sz w:val="28"/>
          <w:szCs w:val="28"/>
          <w:lang w:val="en-US" w:eastAsia="zh-CN"/>
        </w:rPr>
        <w:t>0</w:t>
      </w:r>
      <w:r>
        <w:rPr>
          <w:rFonts w:hint="eastAsia" w:ascii="黑体" w:hAnsi="黑体" w:eastAsia="黑体" w:cs="仿宋_GB2312"/>
          <w:color w:val="auto"/>
          <w:sz w:val="28"/>
          <w:szCs w:val="28"/>
        </w:rPr>
        <w:t>0 分。</w:t>
      </w:r>
    </w:p>
    <w:p w14:paraId="5B16F60F">
      <w:pPr>
        <w:spacing w:line="420" w:lineRule="exact"/>
        <w:rPr>
          <w:rFonts w:ascii="黑体" w:hAnsi="黑体" w:eastAsia="黑体" w:cs="黑体"/>
          <w:color w:val="auto"/>
          <w:sz w:val="28"/>
          <w:szCs w:val="28"/>
        </w:rPr>
      </w:pPr>
      <w:r>
        <w:rPr>
          <w:rFonts w:hint="eastAsia" w:ascii="黑体" w:hAnsi="黑体" w:eastAsia="黑体" w:cs="黑体"/>
          <w:color w:val="auto"/>
          <w:kern w:val="0"/>
          <w:sz w:val="28"/>
          <w:szCs w:val="28"/>
        </w:rPr>
        <w:t>比选申请人按本询价文件第三章响应性文件格式制作报价文件，</w:t>
      </w:r>
      <w:r>
        <w:rPr>
          <w:rFonts w:hint="eastAsia" w:ascii="黑体" w:hAnsi="黑体" w:eastAsia="黑体" w:cs="黑体"/>
          <w:color w:val="auto"/>
          <w:sz w:val="28"/>
          <w:szCs w:val="28"/>
        </w:rPr>
        <w:t>注明服务期限、合计金额、交货期、付款方式等（若询价约定的标的物交货期、付款方式、质保期等有异议，请在报价文件中另作说明）。所有上述资料组成响应性文件，比选人需将响应性文件打印盖章后，以电子文件方式（PDF、扫描文件等）上传至宏达股份集采平台。</w:t>
      </w:r>
    </w:p>
    <w:p w14:paraId="71C3185E">
      <w:pPr>
        <w:spacing w:line="420" w:lineRule="exact"/>
        <w:rPr>
          <w:rFonts w:ascii="黑体" w:hAnsi="黑体" w:eastAsia="黑体" w:cs="仿宋_GB2312"/>
          <w:color w:val="auto"/>
          <w:sz w:val="28"/>
          <w:szCs w:val="28"/>
        </w:rPr>
      </w:pPr>
    </w:p>
    <w:p w14:paraId="0BDA6A4D">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5.响应性文件的要求</w:t>
      </w:r>
    </w:p>
    <w:p w14:paraId="5C2DC8B1">
      <w:pPr>
        <w:spacing w:line="420" w:lineRule="exact"/>
        <w:rPr>
          <w:rFonts w:ascii="黑体" w:hAnsi="黑体" w:eastAsia="黑体" w:cs="仿宋_GB2312"/>
          <w:color w:val="auto"/>
          <w:sz w:val="28"/>
          <w:szCs w:val="28"/>
        </w:rPr>
      </w:pPr>
      <w:r>
        <w:rPr>
          <w:rFonts w:hint="eastAsia" w:ascii="黑体" w:hAnsi="黑体" w:eastAsia="黑体" w:cs="仿宋_GB2312"/>
          <w:color w:val="auto"/>
          <w:sz w:val="28"/>
          <w:szCs w:val="28"/>
        </w:rPr>
        <w:t>比选申请人需提供</w:t>
      </w:r>
      <w:bookmarkStart w:id="0" w:name="OLE_LINK4"/>
      <w:bookmarkStart w:id="1" w:name="OLE_LINK3"/>
      <w:r>
        <w:rPr>
          <w:rFonts w:hint="eastAsia" w:ascii="黑体" w:hAnsi="黑体" w:eastAsia="黑体" w:cs="仿宋_GB2312"/>
          <w:color w:val="auto"/>
          <w:sz w:val="28"/>
          <w:szCs w:val="28"/>
        </w:rPr>
        <w:t>营业执照（三证合一）</w:t>
      </w:r>
      <w:bookmarkEnd w:id="0"/>
      <w:bookmarkEnd w:id="1"/>
      <w:r>
        <w:rPr>
          <w:rFonts w:hint="eastAsia" w:ascii="黑体" w:hAnsi="黑体" w:eastAsia="黑体" w:cs="仿宋_GB2312"/>
          <w:color w:val="auto"/>
          <w:sz w:val="28"/>
          <w:szCs w:val="28"/>
        </w:rPr>
        <w:t>。</w:t>
      </w:r>
    </w:p>
    <w:p w14:paraId="7AF7F1AC">
      <w:pPr>
        <w:pStyle w:val="5"/>
        <w:rPr>
          <w:color w:val="auto"/>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6.</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7.交送报价文件前，比选申请人可自愿前来我公司进行实地考查、技术交流或咨询。</w:t>
      </w:r>
    </w:p>
    <w:p w14:paraId="440F1485">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566E2C95">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5"/>
        <w:ind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1B8D7823">
      <w:pPr>
        <w:spacing w:line="420" w:lineRule="exact"/>
        <w:jc w:val="righ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宏达股份磷化工分公司</w:t>
      </w:r>
    </w:p>
    <w:p w14:paraId="2A7A58D4">
      <w:pPr>
        <w:spacing w:line="420" w:lineRule="exact"/>
        <w:jc w:val="right"/>
        <w:rPr>
          <w:rFonts w:ascii="黑体" w:hAnsi="黑体" w:eastAsia="黑体" w:cs="宋体"/>
          <w:color w:val="auto"/>
          <w:kern w:val="0"/>
          <w:sz w:val="28"/>
          <w:szCs w:val="28"/>
        </w:rPr>
      </w:pPr>
      <w:r>
        <w:rPr>
          <w:rFonts w:hint="eastAsia" w:ascii="黑体" w:hAnsi="黑体" w:eastAsia="黑体" w:cs="宋体"/>
          <w:color w:val="auto"/>
          <w:kern w:val="0"/>
          <w:sz w:val="28"/>
          <w:szCs w:val="28"/>
        </w:rPr>
        <w:t>202</w:t>
      </w:r>
      <w:r>
        <w:rPr>
          <w:rFonts w:hint="eastAsia" w:ascii="黑体" w:hAnsi="黑体" w:eastAsia="黑体" w:cs="宋体"/>
          <w:color w:val="auto"/>
          <w:kern w:val="0"/>
          <w:sz w:val="28"/>
          <w:szCs w:val="28"/>
          <w:lang w:val="en-US" w:eastAsia="zh-CN"/>
        </w:rPr>
        <w:t>6</w:t>
      </w:r>
      <w:r>
        <w:rPr>
          <w:rFonts w:hint="eastAsia" w:ascii="黑体" w:hAnsi="黑体" w:eastAsia="黑体" w:cs="宋体"/>
          <w:color w:val="auto"/>
          <w:kern w:val="0"/>
          <w:sz w:val="28"/>
          <w:szCs w:val="28"/>
        </w:rPr>
        <w:t>年</w:t>
      </w: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rPr>
        <w:t>日</w:t>
      </w:r>
    </w:p>
    <w:p w14:paraId="104BB685">
      <w:pPr>
        <w:spacing w:line="420" w:lineRule="exact"/>
        <w:rPr>
          <w:rFonts w:ascii="黑体" w:hAnsi="黑体" w:eastAsia="黑体" w:cs="宋体"/>
          <w:b/>
          <w:color w:val="auto"/>
          <w:kern w:val="0"/>
          <w:sz w:val="28"/>
          <w:szCs w:val="28"/>
        </w:rPr>
      </w:pPr>
    </w:p>
    <w:p w14:paraId="615D18A4">
      <w:pPr>
        <w:spacing w:line="420" w:lineRule="exact"/>
        <w:rPr>
          <w:rFonts w:ascii="黑体" w:hAnsi="黑体" w:eastAsia="黑体" w:cs="宋体"/>
          <w:b/>
          <w:color w:val="auto"/>
          <w:kern w:val="0"/>
          <w:sz w:val="28"/>
          <w:szCs w:val="28"/>
        </w:rPr>
      </w:pPr>
    </w:p>
    <w:p w14:paraId="6104CEBA">
      <w:pPr>
        <w:spacing w:line="420" w:lineRule="exact"/>
        <w:rPr>
          <w:rFonts w:ascii="黑体" w:hAnsi="黑体" w:eastAsia="黑体" w:cs="宋体"/>
          <w:b/>
          <w:color w:val="auto"/>
          <w:kern w:val="0"/>
          <w:sz w:val="28"/>
          <w:szCs w:val="28"/>
        </w:rPr>
      </w:pPr>
    </w:p>
    <w:p w14:paraId="2822BE93">
      <w:pPr>
        <w:spacing w:line="420" w:lineRule="exact"/>
        <w:rPr>
          <w:rFonts w:ascii="黑体" w:hAnsi="黑体" w:eastAsia="黑体" w:cs="宋体"/>
          <w:b/>
          <w:color w:val="auto"/>
          <w:kern w:val="0"/>
          <w:sz w:val="28"/>
          <w:szCs w:val="28"/>
        </w:rPr>
      </w:pPr>
    </w:p>
    <w:p w14:paraId="514C5341">
      <w:pPr>
        <w:spacing w:line="420" w:lineRule="exact"/>
        <w:rPr>
          <w:rFonts w:ascii="黑体" w:hAnsi="黑体" w:eastAsia="黑体" w:cs="宋体"/>
          <w:b/>
          <w:color w:val="auto"/>
          <w:kern w:val="0"/>
          <w:sz w:val="28"/>
          <w:szCs w:val="28"/>
        </w:rPr>
      </w:pPr>
    </w:p>
    <w:p w14:paraId="42288FFB">
      <w:pPr>
        <w:spacing w:line="420" w:lineRule="exact"/>
        <w:rPr>
          <w:rFonts w:ascii="黑体" w:hAnsi="黑体" w:eastAsia="黑体" w:cs="宋体"/>
          <w:b/>
          <w:color w:val="auto"/>
          <w:kern w:val="0"/>
          <w:sz w:val="28"/>
          <w:szCs w:val="28"/>
        </w:rPr>
      </w:pPr>
    </w:p>
    <w:p w14:paraId="10F60C8F">
      <w:pPr>
        <w:spacing w:line="420" w:lineRule="exact"/>
        <w:rPr>
          <w:rFonts w:ascii="黑体" w:hAnsi="黑体" w:eastAsia="黑体" w:cs="宋体"/>
          <w:b/>
          <w:color w:val="auto"/>
          <w:kern w:val="0"/>
          <w:sz w:val="28"/>
          <w:szCs w:val="28"/>
        </w:rPr>
      </w:pPr>
    </w:p>
    <w:p w14:paraId="7A488E6A">
      <w:pPr>
        <w:spacing w:line="420" w:lineRule="exact"/>
        <w:rPr>
          <w:rFonts w:ascii="黑体" w:hAnsi="黑体" w:eastAsia="黑体" w:cs="宋体"/>
          <w:b/>
          <w:color w:val="auto"/>
          <w:kern w:val="0"/>
          <w:sz w:val="28"/>
          <w:szCs w:val="28"/>
        </w:rPr>
      </w:pPr>
    </w:p>
    <w:p w14:paraId="338131CE">
      <w:pPr>
        <w:spacing w:line="420" w:lineRule="exact"/>
        <w:rPr>
          <w:rFonts w:ascii="黑体" w:hAnsi="黑体" w:eastAsia="黑体" w:cs="宋体"/>
          <w:b/>
          <w:color w:val="auto"/>
          <w:kern w:val="0"/>
          <w:sz w:val="28"/>
          <w:szCs w:val="28"/>
        </w:rPr>
      </w:pPr>
    </w:p>
    <w:p w14:paraId="65B96488">
      <w:pPr>
        <w:spacing w:line="420" w:lineRule="exact"/>
        <w:rPr>
          <w:rFonts w:ascii="黑体" w:hAnsi="黑体" w:eastAsia="黑体" w:cs="宋体"/>
          <w:b/>
          <w:color w:val="auto"/>
          <w:kern w:val="0"/>
          <w:sz w:val="28"/>
          <w:szCs w:val="28"/>
        </w:rPr>
      </w:pPr>
    </w:p>
    <w:p w14:paraId="42D574BE">
      <w:pPr>
        <w:spacing w:line="420" w:lineRule="exact"/>
        <w:rPr>
          <w:rFonts w:ascii="黑体" w:hAnsi="黑体" w:eastAsia="黑体" w:cs="宋体"/>
          <w:b/>
          <w:color w:val="auto"/>
          <w:kern w:val="0"/>
          <w:sz w:val="28"/>
          <w:szCs w:val="28"/>
        </w:rPr>
      </w:pPr>
    </w:p>
    <w:p w14:paraId="0A9B5430">
      <w:pPr>
        <w:spacing w:line="360" w:lineRule="exact"/>
        <w:rPr>
          <w:rFonts w:ascii="黑体" w:hAnsi="黑体" w:eastAsia="黑体" w:cs="宋体"/>
          <w:b/>
          <w:color w:val="auto"/>
          <w:kern w:val="0"/>
          <w:sz w:val="28"/>
          <w:szCs w:val="28"/>
        </w:rPr>
      </w:pPr>
    </w:p>
    <w:p w14:paraId="4A684344">
      <w:pPr>
        <w:spacing w:line="360" w:lineRule="exact"/>
        <w:rPr>
          <w:rFonts w:ascii="黑体" w:hAnsi="黑体" w:eastAsia="黑体" w:cs="宋体"/>
          <w:b/>
          <w:color w:val="auto"/>
          <w:kern w:val="0"/>
          <w:sz w:val="28"/>
          <w:szCs w:val="28"/>
        </w:rPr>
      </w:pPr>
    </w:p>
    <w:p w14:paraId="33521D7C">
      <w:pPr>
        <w:spacing w:line="360" w:lineRule="exact"/>
        <w:rPr>
          <w:rFonts w:ascii="黑体" w:hAnsi="黑体" w:eastAsia="黑体" w:cs="宋体"/>
          <w:b/>
          <w:color w:val="auto"/>
          <w:kern w:val="0"/>
          <w:sz w:val="28"/>
          <w:szCs w:val="28"/>
        </w:rPr>
      </w:pPr>
    </w:p>
    <w:p w14:paraId="1512757C">
      <w:pPr>
        <w:spacing w:line="360" w:lineRule="exact"/>
        <w:rPr>
          <w:rFonts w:ascii="黑体" w:hAnsi="黑体" w:eastAsia="黑体" w:cs="宋体"/>
          <w:b/>
          <w:color w:val="auto"/>
          <w:kern w:val="0"/>
          <w:sz w:val="28"/>
          <w:szCs w:val="28"/>
        </w:rPr>
      </w:pPr>
    </w:p>
    <w:p w14:paraId="7C7A8DFF">
      <w:pPr>
        <w:spacing w:line="360" w:lineRule="exact"/>
        <w:rPr>
          <w:rFonts w:ascii="黑体" w:hAnsi="黑体" w:eastAsia="黑体" w:cs="宋体"/>
          <w:b/>
          <w:color w:val="auto"/>
          <w:kern w:val="0"/>
          <w:sz w:val="28"/>
          <w:szCs w:val="28"/>
        </w:rPr>
      </w:pPr>
    </w:p>
    <w:p w14:paraId="55429D8D">
      <w:pPr>
        <w:spacing w:line="360" w:lineRule="exact"/>
        <w:rPr>
          <w:rFonts w:ascii="黑体" w:hAnsi="黑体" w:eastAsia="黑体" w:cs="宋体"/>
          <w:b/>
          <w:color w:val="auto"/>
          <w:kern w:val="0"/>
          <w:sz w:val="28"/>
          <w:szCs w:val="28"/>
        </w:rPr>
      </w:pPr>
    </w:p>
    <w:p w14:paraId="483915E3">
      <w:pPr>
        <w:spacing w:line="360" w:lineRule="exact"/>
        <w:rPr>
          <w:rFonts w:ascii="黑体" w:hAnsi="黑体" w:eastAsia="黑体" w:cs="宋体"/>
          <w:b/>
          <w:color w:val="auto"/>
          <w:kern w:val="0"/>
          <w:sz w:val="28"/>
          <w:szCs w:val="28"/>
        </w:rPr>
      </w:pPr>
    </w:p>
    <w:p w14:paraId="0F063FDA">
      <w:pPr>
        <w:spacing w:line="360" w:lineRule="exact"/>
        <w:rPr>
          <w:rFonts w:ascii="黑体" w:hAnsi="黑体" w:eastAsia="黑体" w:cs="宋体"/>
          <w:b/>
          <w:color w:val="auto"/>
          <w:kern w:val="0"/>
          <w:sz w:val="28"/>
          <w:szCs w:val="28"/>
        </w:rPr>
      </w:pPr>
    </w:p>
    <w:p w14:paraId="6164530B">
      <w:pPr>
        <w:spacing w:line="360" w:lineRule="exact"/>
        <w:rPr>
          <w:rFonts w:ascii="黑体" w:hAnsi="黑体" w:eastAsia="黑体" w:cs="宋体"/>
          <w:b/>
          <w:color w:val="auto"/>
          <w:kern w:val="0"/>
          <w:sz w:val="28"/>
          <w:szCs w:val="28"/>
        </w:rPr>
      </w:pPr>
    </w:p>
    <w:p w14:paraId="18D985E0">
      <w:pPr>
        <w:spacing w:line="360" w:lineRule="exact"/>
        <w:rPr>
          <w:rFonts w:ascii="黑体" w:hAnsi="黑体" w:eastAsia="黑体" w:cs="宋体"/>
          <w:b/>
          <w:color w:val="auto"/>
          <w:kern w:val="0"/>
          <w:sz w:val="28"/>
          <w:szCs w:val="28"/>
        </w:rPr>
      </w:pPr>
    </w:p>
    <w:p w14:paraId="444EDB62">
      <w:pPr>
        <w:spacing w:line="360" w:lineRule="exact"/>
        <w:rPr>
          <w:rFonts w:ascii="黑体" w:hAnsi="黑体" w:eastAsia="黑体" w:cs="宋体"/>
          <w:b/>
          <w:color w:val="auto"/>
          <w:kern w:val="0"/>
          <w:sz w:val="28"/>
          <w:szCs w:val="28"/>
        </w:rPr>
      </w:pPr>
    </w:p>
    <w:p w14:paraId="272E47CC">
      <w:pPr>
        <w:spacing w:line="500" w:lineRule="exact"/>
        <w:jc w:val="center"/>
        <w:rPr>
          <w:rFonts w:ascii="宋体" w:hAnsi="宋体"/>
          <w:b/>
          <w:bCs/>
          <w:color w:val="auto"/>
          <w:sz w:val="36"/>
          <w:szCs w:val="36"/>
        </w:rPr>
      </w:pPr>
      <w:bookmarkStart w:id="2" w:name="_Hlk155791057"/>
      <w:bookmarkStart w:id="3" w:name="_Toc16684"/>
      <w:bookmarkStart w:id="4" w:name="_Toc238797630"/>
      <w:bookmarkStart w:id="5" w:name="_Toc274236999"/>
      <w:bookmarkStart w:id="6" w:name="_Toc238552273"/>
      <w:bookmarkStart w:id="7" w:name="_Toc275019836"/>
      <w:bookmarkStart w:id="8" w:name="_Toc318986166"/>
      <w:bookmarkStart w:id="9" w:name="_Toc275019290"/>
      <w:bookmarkStart w:id="10" w:name="_Toc303149804"/>
      <w:bookmarkStart w:id="11" w:name="_Toc269113527"/>
      <w:bookmarkStart w:id="12" w:name="_Toc274596702"/>
      <w:bookmarkStart w:id="13" w:name="_Toc275014947"/>
      <w:bookmarkStart w:id="14" w:name="_Toc268793030"/>
      <w:bookmarkStart w:id="15" w:name="_Toc275019684"/>
    </w:p>
    <w:bookmarkEnd w:id="2"/>
    <w:bookmarkEnd w:id="3"/>
    <w:bookmarkEnd w:id="4"/>
    <w:bookmarkEnd w:id="5"/>
    <w:bookmarkEnd w:id="6"/>
    <w:bookmarkEnd w:id="7"/>
    <w:bookmarkEnd w:id="8"/>
    <w:bookmarkEnd w:id="9"/>
    <w:bookmarkEnd w:id="10"/>
    <w:bookmarkEnd w:id="11"/>
    <w:bookmarkEnd w:id="12"/>
    <w:bookmarkEnd w:id="13"/>
    <w:bookmarkEnd w:id="14"/>
    <w:bookmarkEnd w:id="15"/>
    <w:p w14:paraId="16DFE2E5">
      <w:pPr>
        <w:ind w:firstLine="4480" w:firstLineChars="1400"/>
        <w:rPr>
          <w:rFonts w:ascii="黑体" w:hAnsi="宋体" w:eastAsia="黑体"/>
          <w:color w:val="auto"/>
          <w:sz w:val="32"/>
          <w:szCs w:val="32"/>
        </w:rPr>
      </w:pPr>
      <w:r>
        <w:rPr>
          <w:rFonts w:hint="eastAsia" w:ascii="黑体" w:hAnsi="宋体" w:eastAsia="黑体"/>
          <w:color w:val="auto"/>
          <w:sz w:val="32"/>
          <w:szCs w:val="32"/>
        </w:rPr>
        <w:t xml:space="preserve"> 第</w:t>
      </w:r>
      <w:r>
        <w:rPr>
          <w:rFonts w:hint="eastAsia" w:ascii="黑体" w:hAnsi="宋体" w:eastAsia="黑体"/>
          <w:color w:val="auto"/>
          <w:sz w:val="32"/>
          <w:szCs w:val="32"/>
          <w:lang w:val="en-US" w:eastAsia="zh-CN"/>
        </w:rPr>
        <w:t>二</w:t>
      </w:r>
      <w:r>
        <w:rPr>
          <w:rFonts w:hint="eastAsia" w:ascii="黑体" w:hAnsi="宋体" w:eastAsia="黑体"/>
          <w:color w:val="auto"/>
          <w:sz w:val="32"/>
          <w:szCs w:val="32"/>
        </w:rPr>
        <w:t xml:space="preserve">章 </w:t>
      </w:r>
    </w:p>
    <w:p w14:paraId="711C438E">
      <w:pPr>
        <w:ind w:firstLine="640" w:firstLineChars="200"/>
        <w:jc w:val="center"/>
        <w:rPr>
          <w:rFonts w:ascii="黑体" w:hAnsi="宋体" w:eastAsia="黑体"/>
          <w:color w:val="auto"/>
          <w:sz w:val="32"/>
          <w:szCs w:val="32"/>
          <w:lang w:val="zh-CN"/>
        </w:rPr>
      </w:pPr>
      <w:r>
        <w:rPr>
          <w:rFonts w:hint="eastAsia" w:ascii="黑体" w:hAnsi="宋体" w:eastAsia="黑体"/>
          <w:color w:val="auto"/>
          <w:sz w:val="32"/>
          <w:szCs w:val="32"/>
        </w:rPr>
        <w:t xml:space="preserve"> 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color w:val="auto"/>
          <w:sz w:val="44"/>
          <w:szCs w:val="44"/>
          <w:u w:val="single"/>
        </w:rPr>
      </w:pPr>
    </w:p>
    <w:p w14:paraId="0311A41F">
      <w:pPr>
        <w:ind w:firstLine="964" w:firstLineChars="200"/>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宏达股份什邡磷化工分公司</w:t>
      </w:r>
    </w:p>
    <w:p w14:paraId="747AA76C">
      <w:pPr>
        <w:ind w:firstLine="964" w:firstLineChars="200"/>
        <w:jc w:val="center"/>
        <w:rPr>
          <w:rFonts w:ascii="黑体" w:eastAsia="黑体"/>
          <w:color w:val="auto"/>
          <w:sz w:val="84"/>
          <w:szCs w:val="84"/>
        </w:rPr>
      </w:pPr>
      <w:r>
        <w:rPr>
          <w:rFonts w:hint="eastAsia" w:ascii="宋体" w:hAnsi="宋体" w:eastAsia="宋体" w:cs="宋体"/>
          <w:b/>
          <w:bCs/>
          <w:color w:val="auto"/>
          <w:sz w:val="48"/>
          <w:szCs w:val="48"/>
        </w:rPr>
        <w:t>分厂办公楼专项安全评价（抗爆计算）服务</w:t>
      </w:r>
    </w:p>
    <w:p w14:paraId="60B0AEC3">
      <w:pPr>
        <w:jc w:val="center"/>
        <w:rPr>
          <w:rFonts w:hint="eastAsia" w:ascii="楷体_GB2312" w:eastAsia="楷体_GB2312"/>
          <w:color w:val="auto"/>
          <w:sz w:val="72"/>
          <w:szCs w:val="72"/>
        </w:rPr>
      </w:pPr>
    </w:p>
    <w:p w14:paraId="76F6535A">
      <w:pPr>
        <w:jc w:val="center"/>
        <w:rPr>
          <w:rFonts w:hint="eastAsia" w:ascii="楷体_GB2312" w:eastAsia="楷体_GB2312"/>
          <w:color w:val="auto"/>
          <w:sz w:val="72"/>
          <w:szCs w:val="72"/>
        </w:rPr>
      </w:pPr>
    </w:p>
    <w:p w14:paraId="20F6E255">
      <w:pPr>
        <w:jc w:val="center"/>
        <w:rPr>
          <w:rFonts w:ascii="楷体_GB2312" w:eastAsia="楷体_GB2312"/>
          <w:color w:val="auto"/>
          <w:sz w:val="72"/>
          <w:szCs w:val="72"/>
        </w:rPr>
      </w:pPr>
      <w:r>
        <w:rPr>
          <w:rFonts w:hint="eastAsia" w:ascii="楷体_GB2312" w:eastAsia="楷体_GB2312"/>
          <w:color w:val="auto"/>
          <w:sz w:val="72"/>
          <w:szCs w:val="72"/>
        </w:rPr>
        <w:t>响应性文件</w:t>
      </w:r>
    </w:p>
    <w:p w14:paraId="63281EB3">
      <w:pPr>
        <w:ind w:firstLine="720" w:firstLineChars="200"/>
        <w:jc w:val="center"/>
        <w:rPr>
          <w:rFonts w:ascii="黑体" w:hAnsi="宋体" w:eastAsia="黑体"/>
          <w:color w:val="auto"/>
          <w:sz w:val="36"/>
          <w:szCs w:val="36"/>
        </w:rPr>
      </w:pPr>
    </w:p>
    <w:p w14:paraId="53C30D38">
      <w:pPr>
        <w:ind w:firstLine="720" w:firstLineChars="200"/>
        <w:rPr>
          <w:rFonts w:ascii="黑体" w:hAnsi="宋体" w:eastAsia="黑体"/>
          <w:color w:val="auto"/>
          <w:sz w:val="36"/>
          <w:szCs w:val="36"/>
        </w:rPr>
      </w:pPr>
    </w:p>
    <w:p w14:paraId="6EE9AD25">
      <w:pPr>
        <w:ind w:firstLine="720" w:firstLineChars="200"/>
        <w:rPr>
          <w:rFonts w:ascii="黑体" w:hAnsi="宋体" w:eastAsia="黑体"/>
          <w:color w:val="auto"/>
          <w:sz w:val="36"/>
          <w:szCs w:val="36"/>
        </w:rPr>
      </w:pPr>
    </w:p>
    <w:p w14:paraId="1BA4ADEE">
      <w:pPr>
        <w:ind w:firstLine="720" w:firstLineChars="200"/>
        <w:rPr>
          <w:rFonts w:ascii="楷体_GB2312" w:hAnsi="宋体" w:eastAsia="楷体_GB2312"/>
          <w:color w:val="auto"/>
          <w:sz w:val="36"/>
          <w:szCs w:val="36"/>
        </w:rPr>
      </w:pPr>
    </w:p>
    <w:p w14:paraId="1B578B9A">
      <w:pPr>
        <w:ind w:firstLine="720" w:firstLineChars="200"/>
        <w:rPr>
          <w:rFonts w:ascii="楷体_GB2312" w:hAnsi="宋体" w:eastAsia="楷体_GB2312"/>
          <w:color w:val="auto"/>
          <w:sz w:val="36"/>
          <w:szCs w:val="36"/>
        </w:rPr>
      </w:pPr>
    </w:p>
    <w:p w14:paraId="2C8BC3D3">
      <w:pPr>
        <w:ind w:firstLine="720" w:firstLineChars="200"/>
        <w:rPr>
          <w:rFonts w:ascii="楷体_GB2312" w:hAnsi="宋体" w:eastAsia="楷体_GB2312"/>
          <w:color w:val="auto"/>
          <w:sz w:val="36"/>
          <w:szCs w:val="36"/>
        </w:rPr>
      </w:pPr>
    </w:p>
    <w:p w14:paraId="513F1F8D">
      <w:pPr>
        <w:spacing w:line="440" w:lineRule="exact"/>
        <w:ind w:firstLine="1440" w:firstLineChars="400"/>
        <w:jc w:val="left"/>
        <w:rPr>
          <w:rFonts w:ascii="楷体_GB2312" w:hAnsi="宋体" w:eastAsia="楷体_GB2312"/>
          <w:color w:val="auto"/>
          <w:sz w:val="36"/>
          <w:szCs w:val="36"/>
        </w:rPr>
      </w:pPr>
      <w:r>
        <w:rPr>
          <w:rFonts w:hint="eastAsia" w:ascii="楷体_GB2312" w:hAnsi="宋体" w:eastAsia="楷体_GB2312"/>
          <w:color w:val="auto"/>
          <w:sz w:val="36"/>
          <w:szCs w:val="36"/>
        </w:rPr>
        <w:t>服务商名称：</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rPr>
        <w:t>（盖单位章）</w:t>
      </w:r>
    </w:p>
    <w:p w14:paraId="4C40C091">
      <w:pPr>
        <w:ind w:firstLine="720" w:firstLineChars="200"/>
        <w:rPr>
          <w:rFonts w:ascii="楷体_GB2312" w:hAnsi="宋体" w:eastAsia="楷体_GB2312"/>
          <w:color w:val="auto"/>
          <w:sz w:val="36"/>
          <w:szCs w:val="36"/>
        </w:rPr>
      </w:pPr>
    </w:p>
    <w:p w14:paraId="0091A756">
      <w:pPr>
        <w:ind w:firstLine="1285" w:firstLineChars="400"/>
        <w:rPr>
          <w:rFonts w:ascii="新宋体" w:hAnsi="新宋体" w:eastAsia="楷体_GB2312" w:cs="新宋体"/>
          <w:b/>
          <w:color w:val="auto"/>
          <w:sz w:val="32"/>
          <w:u w:val="single"/>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b/>
          <w:bCs/>
          <w:color w:val="auto"/>
          <w:kern w:val="44"/>
          <w:sz w:val="28"/>
          <w:szCs w:val="28"/>
          <w:lang w:val="zh-CN"/>
        </w:rPr>
      </w:pPr>
      <w:r>
        <w:rPr>
          <w:rFonts w:hint="eastAsia" w:ascii="宋体" w:hAnsi="宋体" w:cs="宋体"/>
          <w:b/>
          <w:bCs/>
          <w:color w:val="auto"/>
          <w:sz w:val="28"/>
          <w:szCs w:val="28"/>
        </w:rPr>
        <w:br w:type="page"/>
      </w:r>
      <w:bookmarkStart w:id="16" w:name="_Toc9978"/>
      <w:bookmarkStart w:id="17" w:name="_Toc30198"/>
      <w:bookmarkStart w:id="18" w:name="_Toc4384"/>
      <w:r>
        <w:rPr>
          <w:rFonts w:hint="eastAsia" w:cs="黑体" w:asciiTheme="minorEastAsia" w:hAnsiTheme="minorEastAsia"/>
          <w:b/>
          <w:bCs/>
          <w:color w:val="auto"/>
          <w:kern w:val="44"/>
          <w:sz w:val="28"/>
          <w:szCs w:val="28"/>
          <w:lang w:val="zh-CN"/>
        </w:rPr>
        <w:t>一</w:t>
      </w:r>
      <w:r>
        <w:rPr>
          <w:rFonts w:hint="eastAsia" w:cs="黑体" w:asciiTheme="minorEastAsia" w:hAnsiTheme="minorEastAsia"/>
          <w:b/>
          <w:bCs/>
          <w:color w:val="auto"/>
          <w:kern w:val="44"/>
          <w:sz w:val="28"/>
          <w:szCs w:val="28"/>
        </w:rPr>
        <w:t xml:space="preserve">  报价</w:t>
      </w:r>
      <w:r>
        <w:rPr>
          <w:rFonts w:hint="eastAsia" w:cs="黑体" w:asciiTheme="minorEastAsia" w:hAnsiTheme="minorEastAsia"/>
          <w:b/>
          <w:bCs/>
          <w:color w:val="auto"/>
          <w:kern w:val="44"/>
          <w:sz w:val="28"/>
          <w:szCs w:val="28"/>
          <w:lang w:val="zh-CN"/>
        </w:rPr>
        <w:t>函</w:t>
      </w:r>
      <w:bookmarkEnd w:id="16"/>
      <w:bookmarkEnd w:id="17"/>
      <w:bookmarkEnd w:id="18"/>
    </w:p>
    <w:p w14:paraId="690A7465">
      <w:pPr>
        <w:spacing w:line="560" w:lineRule="exact"/>
        <w:rPr>
          <w:rFonts w:asciiTheme="minorEastAsia" w:hAnsiTheme="minorEastAsia"/>
          <w:color w:val="auto"/>
          <w:szCs w:val="21"/>
        </w:rPr>
      </w:pPr>
      <w:r>
        <w:rPr>
          <w:rFonts w:hint="eastAsia" w:cs="宋体" w:asciiTheme="minorEastAsia" w:hAnsiTheme="minorEastAsia"/>
          <w:color w:val="auto"/>
          <w:kern w:val="0"/>
          <w:sz w:val="24"/>
          <w:szCs w:val="24"/>
        </w:rPr>
        <w:t>四川宏达股份有限公司</w:t>
      </w:r>
      <w:r>
        <w:rPr>
          <w:rFonts w:hint="eastAsia" w:asciiTheme="minorEastAsia" w:hAnsiTheme="minorEastAsia"/>
          <w:color w:val="auto"/>
          <w:szCs w:val="21"/>
        </w:rPr>
        <w:t>：</w:t>
      </w:r>
    </w:p>
    <w:p w14:paraId="7354C7EB">
      <w:pPr>
        <w:autoSpaceDE w:val="0"/>
        <w:autoSpaceDN w:val="0"/>
        <w:adjustRightInd w:val="0"/>
        <w:spacing w:before="100" w:after="100"/>
        <w:ind w:firstLine="480" w:firstLineChars="200"/>
        <w:jc w:val="left"/>
        <w:rPr>
          <w:rFonts w:hint="eastAsia" w:asciiTheme="minorEastAsia" w:hAnsiTheme="minorEastAsia"/>
          <w:color w:val="auto"/>
          <w:sz w:val="24"/>
          <w:szCs w:val="24"/>
        </w:rPr>
      </w:pPr>
      <w:r>
        <w:rPr>
          <w:rFonts w:hint="eastAsia" w:asciiTheme="minorEastAsia" w:hAnsiTheme="minorEastAsia"/>
          <w:color w:val="auto"/>
          <w:sz w:val="24"/>
          <w:szCs w:val="24"/>
        </w:rPr>
        <w:t>我方已仔细研究了宏达股份什邡磷化工分公司分厂办公楼专项安全评价（抗爆计算）服务</w:t>
      </w:r>
      <w:r>
        <w:rPr>
          <w:rFonts w:hint="eastAsia" w:asciiTheme="minorEastAsia" w:hAnsiTheme="minorEastAsia"/>
          <w:color w:val="auto"/>
          <w:sz w:val="24"/>
          <w:szCs w:val="24"/>
          <w:lang w:val="en-US" w:eastAsia="zh-CN"/>
        </w:rPr>
        <w:t>的</w:t>
      </w:r>
      <w:r>
        <w:rPr>
          <w:rFonts w:hint="eastAsia" w:asciiTheme="minorEastAsia" w:hAnsiTheme="minorEastAsia"/>
          <w:color w:val="auto"/>
          <w:sz w:val="24"/>
          <w:szCs w:val="24"/>
        </w:rPr>
        <w:t>比选文件(包括补充通知的全部内容），愿意以含税人民币大写：</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元（¥：</w:t>
      </w:r>
      <w:r>
        <w:rPr>
          <w:rFonts w:hint="eastAsia" w:asciiTheme="minorEastAsia" w:hAnsiTheme="minorEastAsia"/>
          <w:color w:val="auto"/>
          <w:sz w:val="24"/>
          <w:szCs w:val="24"/>
          <w:u w:val="single"/>
        </w:rPr>
        <w:tab/>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元）（其中增值税税率为</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%）的比选总报价，交货期限：</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，按比选文件规定的条件和要求承担合同规定的全部工作，并承担相关的责任，质量验收标准：</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 xml:space="preserve"> 。</w:t>
      </w:r>
    </w:p>
    <w:p w14:paraId="0B8FD28D">
      <w:pPr>
        <w:widowControl/>
        <w:numPr>
          <w:ilvl w:val="0"/>
          <w:numId w:val="1"/>
        </w:num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我公司承诺在投标有效期</w:t>
      </w:r>
      <w:r>
        <w:rPr>
          <w:rFonts w:hint="eastAsia" w:asciiTheme="minorEastAsia" w:hAnsiTheme="minorEastAsia"/>
          <w:color w:val="auto"/>
          <w:sz w:val="24"/>
          <w:szCs w:val="24"/>
          <w:u w:val="single"/>
        </w:rPr>
        <w:t>30</w:t>
      </w:r>
      <w:r>
        <w:rPr>
          <w:rFonts w:hint="eastAsia" w:asciiTheme="minorEastAsia" w:hAnsiTheme="minorEastAsia"/>
          <w:color w:val="auto"/>
          <w:sz w:val="24"/>
          <w:szCs w:val="24"/>
        </w:rPr>
        <w:t>日历天内不修改、撤销比选文件。</w:t>
      </w:r>
    </w:p>
    <w:p w14:paraId="7B2E6878">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3、如我方中标，我方承诺：</w:t>
      </w:r>
    </w:p>
    <w:p w14:paraId="6A573A08">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（1）在签订合同时不向你方提出附加条件；</w:t>
      </w:r>
    </w:p>
    <w:p w14:paraId="4E2AD6D6">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（2）在合同约定的期限内完成合同规定的全部义务。</w:t>
      </w:r>
    </w:p>
    <w:p w14:paraId="7AD4F29B">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。（其他补充说明）。</w:t>
      </w:r>
    </w:p>
    <w:p w14:paraId="3671B1F5">
      <w:pPr>
        <w:spacing w:line="560" w:lineRule="exact"/>
        <w:ind w:firstLine="420" w:firstLineChars="200"/>
        <w:rPr>
          <w:rFonts w:asciiTheme="minorEastAsia" w:hAnsiTheme="minorEastAsia"/>
          <w:color w:val="auto"/>
          <w:szCs w:val="21"/>
        </w:rPr>
      </w:pPr>
    </w:p>
    <w:p w14:paraId="2E8D299E">
      <w:pPr>
        <w:spacing w:line="560" w:lineRule="exact"/>
        <w:ind w:firstLine="480" w:firstLineChars="200"/>
        <w:rPr>
          <w:rFonts w:asciiTheme="minorEastAsia" w:hAnsiTheme="minorEastAsia"/>
          <w:color w:val="auto"/>
          <w:sz w:val="24"/>
          <w:szCs w:val="24"/>
        </w:rPr>
      </w:pPr>
    </w:p>
    <w:p w14:paraId="550B9DCF">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                                  报价单位：</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（盖单位章）</w:t>
      </w:r>
    </w:p>
    <w:p w14:paraId="2CA36C70">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                              </w:t>
      </w:r>
    </w:p>
    <w:p w14:paraId="7FF0CDEC">
      <w:pPr>
        <w:spacing w:line="560" w:lineRule="exact"/>
        <w:ind w:firstLine="480" w:firstLineChars="200"/>
        <w:rPr>
          <w:rFonts w:asciiTheme="minorEastAsia" w:hAnsiTheme="minorEastAsia"/>
          <w:color w:val="auto"/>
          <w:szCs w:val="21"/>
        </w:rPr>
      </w:pPr>
      <w:r>
        <w:rPr>
          <w:rFonts w:hint="eastAsia" w:asciiTheme="minorEastAsia" w:hAnsiTheme="minorEastAsia"/>
          <w:color w:val="auto"/>
          <w:sz w:val="24"/>
          <w:szCs w:val="24"/>
        </w:rPr>
        <w:t xml:space="preserve">                                            </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年</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月</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日</w:t>
      </w:r>
    </w:p>
    <w:p w14:paraId="01C32111">
      <w:pPr>
        <w:spacing w:line="360" w:lineRule="auto"/>
        <w:ind w:firstLine="480" w:firstLineChars="200"/>
        <w:rPr>
          <w:rFonts w:ascii="宋体" w:hAnsi="宋体"/>
          <w:color w:val="auto"/>
          <w:sz w:val="24"/>
        </w:rPr>
      </w:pPr>
    </w:p>
    <w:p w14:paraId="1C2AABFA">
      <w:pPr>
        <w:ind w:firstLine="562" w:firstLineChars="200"/>
        <w:jc w:val="left"/>
        <w:rPr>
          <w:rFonts w:ascii="宋体" w:hAnsi="宋体" w:cs="宋体"/>
          <w:b/>
          <w:bCs/>
          <w:color w:val="auto"/>
          <w:sz w:val="28"/>
          <w:szCs w:val="28"/>
        </w:rPr>
      </w:pPr>
    </w:p>
    <w:p w14:paraId="209F5516">
      <w:pPr>
        <w:ind w:firstLine="562" w:firstLineChars="200"/>
        <w:jc w:val="left"/>
        <w:rPr>
          <w:rFonts w:ascii="宋体" w:hAnsi="宋体" w:cs="宋体"/>
          <w:b/>
          <w:bCs/>
          <w:color w:val="auto"/>
          <w:sz w:val="28"/>
          <w:szCs w:val="28"/>
        </w:rPr>
      </w:pPr>
    </w:p>
    <w:p w14:paraId="1C254BE0">
      <w:pPr>
        <w:ind w:firstLine="562" w:firstLineChars="200"/>
        <w:jc w:val="left"/>
        <w:rPr>
          <w:rFonts w:ascii="宋体" w:hAnsi="宋体" w:cs="宋体"/>
          <w:b/>
          <w:bCs/>
          <w:color w:val="auto"/>
          <w:sz w:val="28"/>
          <w:szCs w:val="28"/>
        </w:rPr>
      </w:pPr>
    </w:p>
    <w:p w14:paraId="45288F6D">
      <w:pPr>
        <w:ind w:firstLine="562" w:firstLineChars="200"/>
        <w:jc w:val="left"/>
        <w:rPr>
          <w:rFonts w:ascii="宋体" w:hAnsi="宋体" w:cs="宋体"/>
          <w:b/>
          <w:bCs/>
          <w:color w:val="auto"/>
          <w:sz w:val="28"/>
          <w:szCs w:val="28"/>
        </w:rPr>
      </w:pPr>
    </w:p>
    <w:p w14:paraId="2C549BB4">
      <w:pPr>
        <w:ind w:firstLine="562" w:firstLineChars="200"/>
        <w:jc w:val="left"/>
        <w:rPr>
          <w:rFonts w:ascii="宋体" w:hAnsi="宋体" w:cs="宋体"/>
          <w:b/>
          <w:bCs/>
          <w:color w:val="auto"/>
          <w:sz w:val="28"/>
          <w:szCs w:val="28"/>
        </w:rPr>
      </w:pPr>
    </w:p>
    <w:p w14:paraId="29DB1B23">
      <w:pPr>
        <w:ind w:firstLine="562" w:firstLineChars="200"/>
        <w:jc w:val="left"/>
        <w:rPr>
          <w:rFonts w:ascii="宋体" w:hAnsi="宋体" w:cs="宋体"/>
          <w:b/>
          <w:bCs/>
          <w:color w:val="auto"/>
          <w:sz w:val="28"/>
          <w:szCs w:val="28"/>
        </w:rPr>
      </w:pPr>
    </w:p>
    <w:p w14:paraId="0F7017DE">
      <w:pPr>
        <w:jc w:val="left"/>
        <w:rPr>
          <w:rFonts w:ascii="宋体" w:hAnsi="宋体" w:cs="宋体"/>
          <w:b/>
          <w:bCs/>
          <w:color w:val="auto"/>
          <w:sz w:val="28"/>
          <w:szCs w:val="28"/>
        </w:rPr>
      </w:pPr>
    </w:p>
    <w:p w14:paraId="79E6E945">
      <w:pPr>
        <w:pStyle w:val="51"/>
        <w:spacing w:line="360" w:lineRule="auto"/>
        <w:ind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 xml:space="preserve">  报价表</w:t>
      </w:r>
    </w:p>
    <w:p w14:paraId="15414075">
      <w:pPr>
        <w:pStyle w:val="5"/>
        <w:ind w:left="0" w:leftChars="0" w:firstLine="0" w:firstLineChars="0"/>
        <w:jc w:val="left"/>
        <w:rPr>
          <w:color w:val="auto"/>
          <w:kern w:val="0"/>
        </w:rPr>
      </w:pPr>
      <w:r>
        <w:rPr>
          <w:rFonts w:hint="eastAsia"/>
          <w:color w:val="auto"/>
          <w:sz w:val="20"/>
          <w:szCs w:val="20"/>
        </w:rPr>
        <w:t xml:space="preserve">        </w:t>
      </w:r>
      <w:r>
        <w:rPr>
          <w:rFonts w:hint="eastAsia"/>
          <w:color w:val="auto"/>
        </w:rPr>
        <w:t xml:space="preserve">                                               </w:t>
      </w:r>
    </w:p>
    <w:tbl>
      <w:tblPr>
        <w:tblStyle w:val="17"/>
        <w:tblW w:w="9529" w:type="dxa"/>
        <w:tblInd w:w="0" w:type="dxa"/>
        <w:tblLayout w:type="fixed"/>
        <w:tblCellMar>
          <w:top w:w="0" w:type="dxa"/>
          <w:left w:w="0" w:type="dxa"/>
          <w:bottom w:w="0" w:type="dxa"/>
          <w:right w:w="0" w:type="dxa"/>
        </w:tblCellMar>
      </w:tblPr>
      <w:tblGrid>
        <w:gridCol w:w="804"/>
        <w:gridCol w:w="1450"/>
        <w:gridCol w:w="1587"/>
        <w:gridCol w:w="825"/>
        <w:gridCol w:w="738"/>
        <w:gridCol w:w="1447"/>
        <w:gridCol w:w="1307"/>
        <w:gridCol w:w="1371"/>
      </w:tblGrid>
      <w:tr w14:paraId="0A5E3B6D">
        <w:tblPrEx>
          <w:tblCellMar>
            <w:top w:w="0" w:type="dxa"/>
            <w:left w:w="0" w:type="dxa"/>
            <w:bottom w:w="0" w:type="dxa"/>
            <w:right w:w="0" w:type="dxa"/>
          </w:tblCellMar>
        </w:tblPrEx>
        <w:trPr>
          <w:trHeight w:val="480" w:hRule="atLeast"/>
          <w:tblHeader/>
        </w:trPr>
        <w:tc>
          <w:tcPr>
            <w:tcW w:w="804"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widowControl/>
              <w:jc w:val="center"/>
              <w:textAlignment w:val="center"/>
              <w:rPr>
                <w:rFonts w:ascii="宋体" w:hAnsi="宋体" w:eastAsia="宋体" w:cs="宋体"/>
                <w:b/>
                <w:color w:val="auto"/>
                <w:sz w:val="18"/>
                <w:szCs w:val="18"/>
              </w:rPr>
            </w:pPr>
            <w:r>
              <w:rPr>
                <w:rFonts w:hint="eastAsia" w:ascii="宋体" w:hAnsi="宋体" w:cs="宋体"/>
                <w:b/>
                <w:bCs/>
                <w:color w:val="auto"/>
                <w:kern w:val="0"/>
                <w:sz w:val="18"/>
                <w:szCs w:val="18"/>
                <w:lang w:bidi="ar"/>
              </w:rPr>
              <w:t>编号</w:t>
            </w:r>
          </w:p>
        </w:tc>
        <w:tc>
          <w:tcPr>
            <w:tcW w:w="145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widowControl/>
              <w:jc w:val="center"/>
              <w:textAlignment w:val="center"/>
              <w:rPr>
                <w:rFonts w:ascii="宋体" w:hAnsi="宋体" w:eastAsia="宋体" w:cs="宋体"/>
                <w:b/>
                <w:color w:val="auto"/>
                <w:sz w:val="18"/>
                <w:szCs w:val="18"/>
              </w:rPr>
            </w:pPr>
            <w:r>
              <w:rPr>
                <w:rFonts w:hint="eastAsia" w:ascii="宋体" w:hAnsi="宋体" w:cs="宋体"/>
                <w:b/>
                <w:bCs/>
                <w:color w:val="auto"/>
                <w:kern w:val="0"/>
                <w:sz w:val="18"/>
                <w:szCs w:val="18"/>
                <w:lang w:bidi="ar"/>
              </w:rPr>
              <w:t>服务名称</w:t>
            </w:r>
          </w:p>
        </w:tc>
        <w:tc>
          <w:tcPr>
            <w:tcW w:w="1587"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widowControl/>
              <w:jc w:val="center"/>
              <w:textAlignment w:val="center"/>
              <w:rPr>
                <w:rFonts w:ascii="宋体" w:hAnsi="宋体" w:eastAsia="宋体" w:cs="宋体"/>
                <w:b/>
                <w:color w:val="auto"/>
                <w:kern w:val="0"/>
                <w:sz w:val="18"/>
                <w:szCs w:val="18"/>
                <w:lang w:bidi="ar"/>
              </w:rPr>
            </w:pPr>
            <w:r>
              <w:rPr>
                <w:rFonts w:hint="eastAsia" w:ascii="宋体" w:hAnsi="宋体" w:cs="宋体"/>
                <w:b/>
                <w:bCs/>
                <w:color w:val="auto"/>
                <w:kern w:val="0"/>
                <w:sz w:val="18"/>
                <w:szCs w:val="18"/>
                <w:lang w:bidi="ar"/>
              </w:rPr>
              <w:t>服务内容</w:t>
            </w:r>
          </w:p>
        </w:tc>
        <w:tc>
          <w:tcPr>
            <w:tcW w:w="825"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widowControl/>
              <w:jc w:val="center"/>
              <w:textAlignment w:val="center"/>
              <w:rPr>
                <w:rFonts w:ascii="宋体" w:hAnsi="宋体" w:eastAsia="宋体" w:cs="宋体"/>
                <w:b/>
                <w:color w:val="auto"/>
                <w:sz w:val="18"/>
                <w:szCs w:val="18"/>
              </w:rPr>
            </w:pPr>
            <w:r>
              <w:rPr>
                <w:rFonts w:hint="eastAsia" w:ascii="宋体" w:hAnsi="宋体" w:eastAsia="宋体" w:cs="宋体"/>
                <w:b/>
                <w:bCs/>
                <w:color w:val="auto"/>
                <w:kern w:val="0"/>
                <w:sz w:val="18"/>
                <w:szCs w:val="18"/>
                <w:lang w:bidi="ar"/>
              </w:rPr>
              <w:t>单位</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widowControl/>
              <w:jc w:val="center"/>
              <w:textAlignment w:val="center"/>
              <w:rPr>
                <w:rFonts w:ascii="宋体" w:hAnsi="宋体" w:eastAsia="宋体" w:cs="宋体"/>
                <w:b/>
                <w:color w:val="auto"/>
                <w:sz w:val="18"/>
                <w:szCs w:val="18"/>
              </w:rPr>
            </w:pPr>
            <w:r>
              <w:rPr>
                <w:rFonts w:hint="eastAsia" w:ascii="宋体" w:hAnsi="宋体" w:cs="宋体"/>
                <w:b/>
                <w:bCs/>
                <w:color w:val="auto"/>
                <w:kern w:val="0"/>
                <w:sz w:val="18"/>
                <w:szCs w:val="18"/>
                <w:lang w:bidi="ar"/>
              </w:rPr>
              <w:t>数量</w:t>
            </w:r>
          </w:p>
        </w:tc>
        <w:tc>
          <w:tcPr>
            <w:tcW w:w="275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widowControl/>
              <w:jc w:val="center"/>
              <w:textAlignment w:val="center"/>
              <w:rPr>
                <w:rFonts w:ascii="宋体" w:hAnsi="宋体" w:eastAsia="宋体" w:cs="宋体"/>
                <w:b/>
                <w:color w:val="auto"/>
                <w:sz w:val="18"/>
                <w:szCs w:val="18"/>
              </w:rPr>
            </w:pPr>
            <w:r>
              <w:rPr>
                <w:rFonts w:hint="eastAsia" w:ascii="宋体" w:hAnsi="宋体" w:eastAsia="宋体" w:cs="宋体"/>
                <w:b/>
                <w:bCs/>
                <w:color w:val="auto"/>
                <w:kern w:val="0"/>
                <w:sz w:val="18"/>
                <w:szCs w:val="18"/>
                <w:lang w:bidi="ar"/>
              </w:rPr>
              <w:t>投标报价</w:t>
            </w:r>
          </w:p>
        </w:tc>
        <w:tc>
          <w:tcPr>
            <w:tcW w:w="1371"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widowControl/>
              <w:jc w:val="center"/>
              <w:textAlignment w:val="center"/>
              <w:rPr>
                <w:rFonts w:ascii="宋体" w:hAnsi="宋体" w:eastAsia="宋体" w:cs="宋体"/>
                <w:b/>
                <w:color w:val="auto"/>
                <w:sz w:val="18"/>
                <w:szCs w:val="18"/>
              </w:rPr>
            </w:pPr>
            <w:r>
              <w:rPr>
                <w:rFonts w:hint="eastAsia" w:ascii="宋体" w:hAnsi="宋体" w:eastAsia="宋体" w:cs="宋体"/>
                <w:b/>
                <w:bCs/>
                <w:color w:val="auto"/>
                <w:kern w:val="0"/>
                <w:sz w:val="18"/>
                <w:szCs w:val="18"/>
                <w:lang w:bidi="ar"/>
              </w:rPr>
              <w:t>备注</w:t>
            </w:r>
          </w:p>
        </w:tc>
      </w:tr>
      <w:tr w14:paraId="56DCD391">
        <w:tblPrEx>
          <w:tblCellMar>
            <w:top w:w="0" w:type="dxa"/>
            <w:left w:w="0" w:type="dxa"/>
            <w:bottom w:w="0" w:type="dxa"/>
            <w:right w:w="0" w:type="dxa"/>
          </w:tblCellMar>
        </w:tblPrEx>
        <w:trPr>
          <w:trHeight w:val="584" w:hRule="atLeast"/>
          <w:tblHeader/>
        </w:trPr>
        <w:tc>
          <w:tcPr>
            <w:tcW w:w="804"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ascii="宋体" w:hAnsi="宋体" w:eastAsia="宋体" w:cs="宋体"/>
                <w:b/>
                <w:color w:val="auto"/>
                <w:sz w:val="18"/>
                <w:szCs w:val="18"/>
              </w:rPr>
            </w:pPr>
          </w:p>
        </w:tc>
        <w:tc>
          <w:tcPr>
            <w:tcW w:w="145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ascii="宋体" w:hAnsi="宋体" w:eastAsia="宋体" w:cs="宋体"/>
                <w:b/>
                <w:color w:val="auto"/>
                <w:sz w:val="18"/>
                <w:szCs w:val="18"/>
              </w:rPr>
            </w:pPr>
          </w:p>
        </w:tc>
        <w:tc>
          <w:tcPr>
            <w:tcW w:w="1587"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ascii="宋体" w:hAnsi="宋体" w:eastAsia="宋体" w:cs="宋体"/>
                <w:b/>
                <w:color w:val="auto"/>
                <w:sz w:val="18"/>
                <w:szCs w:val="18"/>
              </w:rPr>
            </w:pPr>
          </w:p>
        </w:tc>
        <w:tc>
          <w:tcPr>
            <w:tcW w:w="825"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ascii="宋体" w:hAnsi="宋体" w:eastAsia="宋体" w:cs="宋体"/>
                <w:b/>
                <w:color w:val="auto"/>
                <w:sz w:val="18"/>
                <w:szCs w:val="18"/>
              </w:rPr>
            </w:pPr>
          </w:p>
        </w:tc>
        <w:tc>
          <w:tcPr>
            <w:tcW w:w="738"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ascii="宋体" w:hAnsi="宋体" w:eastAsia="宋体" w:cs="宋体"/>
                <w:b/>
                <w:color w:val="auto"/>
                <w:sz w:val="18"/>
                <w:szCs w:val="18"/>
              </w:rPr>
            </w:pPr>
          </w:p>
        </w:tc>
        <w:tc>
          <w:tcPr>
            <w:tcW w:w="144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含税单价（元）</w:t>
            </w:r>
          </w:p>
        </w:tc>
        <w:tc>
          <w:tcPr>
            <w:tcW w:w="13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合价（元）</w:t>
            </w:r>
          </w:p>
        </w:tc>
        <w:tc>
          <w:tcPr>
            <w:tcW w:w="1371"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ascii="宋体" w:hAnsi="宋体" w:eastAsia="宋体" w:cs="宋体"/>
                <w:b/>
                <w:color w:val="auto"/>
                <w:sz w:val="18"/>
                <w:szCs w:val="18"/>
              </w:rPr>
            </w:pPr>
          </w:p>
        </w:tc>
      </w:tr>
      <w:tr w14:paraId="1073037E">
        <w:tblPrEx>
          <w:tblCellMar>
            <w:top w:w="0" w:type="dxa"/>
            <w:left w:w="0" w:type="dxa"/>
            <w:bottom w:w="0" w:type="dxa"/>
            <w:right w:w="0" w:type="dxa"/>
          </w:tblCellMar>
        </w:tblPrEx>
        <w:trPr>
          <w:trHeight w:val="654" w:hRule="atLeast"/>
        </w:trPr>
        <w:tc>
          <w:tcPr>
            <w:tcW w:w="804"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widowControl/>
              <w:jc w:val="center"/>
              <w:textAlignment w:val="center"/>
              <w:rPr>
                <w:rFonts w:hint="eastAsia" w:ascii="宋体" w:hAnsi="宋体" w:eastAsia="宋体" w:cs="宋体"/>
                <w:color w:val="auto"/>
                <w:kern w:val="0"/>
                <w:sz w:val="16"/>
                <w:szCs w:val="16"/>
                <w:lang w:val="en-US" w:eastAsia="zh-CN" w:bidi="ar"/>
              </w:rPr>
            </w:pPr>
            <w:r>
              <w:rPr>
                <w:rFonts w:hint="eastAsia" w:ascii="宋体" w:hAnsi="宋体" w:eastAsia="宋体" w:cs="宋体"/>
                <w:color w:val="auto"/>
                <w:kern w:val="0"/>
                <w:sz w:val="16"/>
                <w:szCs w:val="16"/>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ascii="宋体" w:hAnsi="宋体" w:eastAsia="宋体" w:cs="宋体"/>
                <w:color w:val="auto"/>
                <w:kern w:val="0"/>
                <w:sz w:val="16"/>
                <w:szCs w:val="16"/>
                <w:lang w:bidi="ar"/>
              </w:rPr>
            </w:pPr>
            <w:r>
              <w:rPr>
                <w:rFonts w:hint="eastAsia" w:ascii="宋体" w:hAnsi="宋体" w:eastAsia="宋体" w:cs="宋体"/>
                <w:color w:val="auto"/>
                <w:kern w:val="0"/>
                <w:sz w:val="16"/>
                <w:szCs w:val="16"/>
                <w:lang w:bidi="ar"/>
              </w:rPr>
              <w:t>宏达股份什邡磷化工分公司分厂办公楼专项安全评价（抗爆计算）服务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ascii="宋体" w:hAnsi="宋体" w:eastAsia="宋体" w:cs="宋体"/>
                <w:color w:val="auto"/>
                <w:sz w:val="18"/>
                <w:szCs w:val="18"/>
              </w:rPr>
            </w:pPr>
            <w:r>
              <w:rPr>
                <w:rFonts w:hint="eastAsia" w:ascii="宋体" w:hAnsi="宋体" w:eastAsia="宋体" w:cs="宋体"/>
                <w:color w:val="auto"/>
                <w:kern w:val="0"/>
                <w:sz w:val="16"/>
                <w:szCs w:val="16"/>
                <w:lang w:val="en-US" w:eastAsia="zh-CN" w:bidi="ar"/>
              </w:rPr>
              <w:t>开展分厂办公楼专项安全评价工作，编制分厂办公楼抗爆计算报告书，并通过评审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ascii="宋体" w:hAnsi="宋体" w:eastAsia="宋体" w:cs="宋体"/>
                <w:color w:val="auto"/>
                <w:sz w:val="18"/>
                <w:szCs w:val="18"/>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ascii="宋体" w:hAnsi="宋体" w:eastAsia="宋体" w:cs="宋体"/>
                <w:color w:val="auto"/>
                <w:sz w:val="18"/>
                <w:szCs w:val="18"/>
              </w:rPr>
            </w:pPr>
          </w:p>
        </w:tc>
        <w:tc>
          <w:tcPr>
            <w:tcW w:w="137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ascii="宋体" w:hAnsi="宋体" w:eastAsia="宋体" w:cs="宋体"/>
                <w:color w:val="auto"/>
                <w:sz w:val="18"/>
                <w:szCs w:val="18"/>
              </w:rPr>
            </w:pPr>
            <w:r>
              <w:rPr>
                <w:rFonts w:hint="eastAsia" w:ascii="宋体" w:hAnsi="宋体" w:eastAsia="宋体" w:cs="宋体"/>
                <w:color w:val="auto"/>
                <w:sz w:val="18"/>
                <w:szCs w:val="18"/>
              </w:rPr>
              <w:t>费用包括报告编制费、劳务费、监测费、评审费和税费等为完成抗暴计算报告的所有费用</w:t>
            </w:r>
          </w:p>
        </w:tc>
      </w:tr>
    </w:tbl>
    <w:p w14:paraId="557AC160">
      <w:pPr>
        <w:tabs>
          <w:tab w:val="left" w:pos="6120"/>
          <w:tab w:val="left" w:pos="6510"/>
          <w:tab w:val="left" w:pos="12495"/>
        </w:tabs>
        <w:spacing w:line="360" w:lineRule="auto"/>
        <w:ind w:firstLine="420" w:firstLineChars="200"/>
        <w:jc w:val="left"/>
        <w:rPr>
          <w:rFonts w:ascii="宋体" w:hAnsi="宋体"/>
          <w:color w:val="auto"/>
          <w:szCs w:val="21"/>
        </w:rPr>
      </w:pPr>
      <w:r>
        <w:rPr>
          <w:rFonts w:hint="eastAsia" w:ascii="宋体" w:hAnsi="宋体"/>
          <w:color w:val="auto"/>
          <w:szCs w:val="21"/>
        </w:rPr>
        <w:t>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spacing w:line="360" w:lineRule="auto"/>
        <w:ind w:firstLine="420" w:firstLineChars="200"/>
        <w:jc w:val="left"/>
        <w:rPr>
          <w:rFonts w:ascii="宋体" w:hAnsi="宋体"/>
          <w:color w:val="auto"/>
          <w:szCs w:val="21"/>
        </w:rPr>
      </w:pPr>
      <w:r>
        <w:rPr>
          <w:rFonts w:hint="eastAsia" w:ascii="宋体" w:hAnsi="宋体"/>
          <w:color w:val="auto"/>
          <w:szCs w:val="21"/>
        </w:rPr>
        <w:t xml:space="preserve">供应商名称（加盖单位公章）：                       </w:t>
      </w:r>
    </w:p>
    <w:p w14:paraId="303BD212">
      <w:pPr>
        <w:pStyle w:val="36"/>
        <w:spacing w:before="120" w:line="500" w:lineRule="exact"/>
        <w:rPr>
          <w:rFonts w:eastAsiaTheme="minorEastAsia" w:cstheme="minorBidi"/>
          <w:color w:val="auto"/>
          <w:kern w:val="2"/>
          <w:sz w:val="21"/>
          <w:szCs w:val="21"/>
        </w:rPr>
      </w:pPr>
      <w:r>
        <w:rPr>
          <w:rFonts w:hint="eastAsia" w:eastAsiaTheme="minorEastAsia" w:cstheme="minorBidi"/>
          <w:color w:val="auto"/>
          <w:kern w:val="2"/>
          <w:sz w:val="21"/>
          <w:szCs w:val="21"/>
        </w:rPr>
        <w:t>付款方式：</w:t>
      </w:r>
      <w:r>
        <w:rPr>
          <w:rFonts w:hint="eastAsia" w:eastAsiaTheme="minorEastAsia" w:cstheme="minorBidi"/>
          <w:color w:val="auto"/>
          <w:kern w:val="2"/>
          <w:sz w:val="21"/>
          <w:szCs w:val="21"/>
          <w:u w:val="single"/>
        </w:rPr>
        <w:t xml:space="preserve">                                                </w:t>
      </w:r>
      <w:r>
        <w:rPr>
          <w:rFonts w:hint="eastAsia" w:eastAsiaTheme="minorEastAsia" w:cstheme="minorBidi"/>
          <w:color w:val="auto"/>
          <w:kern w:val="2"/>
          <w:sz w:val="21"/>
          <w:szCs w:val="21"/>
        </w:rPr>
        <w:t xml:space="preserve">  </w:t>
      </w:r>
    </w:p>
    <w:p w14:paraId="582E7211">
      <w:pPr>
        <w:pStyle w:val="36"/>
        <w:spacing w:before="120" w:line="500" w:lineRule="exact"/>
        <w:rPr>
          <w:rFonts w:eastAsiaTheme="minorEastAsia" w:cstheme="minorBidi"/>
          <w:color w:val="auto"/>
          <w:kern w:val="2"/>
          <w:sz w:val="21"/>
          <w:szCs w:val="21"/>
        </w:rPr>
      </w:pPr>
      <w:r>
        <w:rPr>
          <w:rFonts w:hint="eastAsia" w:eastAsiaTheme="minorEastAsia" w:cstheme="minorBidi"/>
          <w:color w:val="auto"/>
          <w:kern w:val="2"/>
          <w:sz w:val="21"/>
          <w:szCs w:val="21"/>
        </w:rPr>
        <w:t xml:space="preserve">交货期： </w:t>
      </w:r>
      <w:r>
        <w:rPr>
          <w:rFonts w:hint="eastAsia" w:eastAsiaTheme="minorEastAsia" w:cstheme="minorBidi"/>
          <w:color w:val="auto"/>
          <w:kern w:val="2"/>
          <w:sz w:val="21"/>
          <w:szCs w:val="21"/>
          <w:u w:val="single"/>
        </w:rPr>
        <w:t xml:space="preserve">                                                </w:t>
      </w:r>
      <w:r>
        <w:rPr>
          <w:rFonts w:hint="eastAsia" w:eastAsiaTheme="minorEastAsia" w:cstheme="minorBidi"/>
          <w:color w:val="auto"/>
          <w:kern w:val="2"/>
          <w:sz w:val="21"/>
          <w:szCs w:val="21"/>
        </w:rPr>
        <w:t xml:space="preserve">                                               </w:t>
      </w:r>
    </w:p>
    <w:p w14:paraId="11A5ACF6">
      <w:pPr>
        <w:pStyle w:val="36"/>
        <w:spacing w:before="120" w:line="500" w:lineRule="exact"/>
        <w:rPr>
          <w:rFonts w:eastAsiaTheme="minorEastAsia" w:cstheme="minorBidi"/>
          <w:color w:val="auto"/>
          <w:kern w:val="2"/>
          <w:sz w:val="21"/>
          <w:szCs w:val="21"/>
        </w:rPr>
      </w:pPr>
      <w:r>
        <w:rPr>
          <w:rFonts w:hint="eastAsia" w:eastAsiaTheme="minorEastAsia" w:cstheme="minorBidi"/>
          <w:color w:val="auto"/>
          <w:kern w:val="2"/>
          <w:sz w:val="21"/>
          <w:szCs w:val="21"/>
        </w:rPr>
        <w:t xml:space="preserve">税率：   </w:t>
      </w:r>
      <w:r>
        <w:rPr>
          <w:rFonts w:hint="eastAsia" w:eastAsiaTheme="minorEastAsia" w:cstheme="minorBidi"/>
          <w:color w:val="auto"/>
          <w:kern w:val="2"/>
          <w:sz w:val="21"/>
          <w:szCs w:val="21"/>
          <w:u w:val="single"/>
        </w:rPr>
        <w:t xml:space="preserve">                                                </w:t>
      </w:r>
      <w:r>
        <w:rPr>
          <w:rFonts w:hint="eastAsia" w:eastAsiaTheme="minorEastAsia" w:cstheme="minorBidi"/>
          <w:color w:val="auto"/>
          <w:kern w:val="2"/>
          <w:sz w:val="21"/>
          <w:szCs w:val="21"/>
        </w:rPr>
        <w:t xml:space="preserve">                                                       </w:t>
      </w:r>
    </w:p>
    <w:p w14:paraId="170BF42B">
      <w:pPr>
        <w:pStyle w:val="36"/>
        <w:spacing w:before="120" w:line="480" w:lineRule="exact"/>
        <w:rPr>
          <w:rFonts w:eastAsiaTheme="minorEastAsia" w:cstheme="minorBidi"/>
          <w:color w:val="auto"/>
          <w:kern w:val="2"/>
          <w:sz w:val="21"/>
          <w:szCs w:val="21"/>
          <w:u w:val="single"/>
        </w:rPr>
      </w:pPr>
      <w:r>
        <w:rPr>
          <w:rFonts w:hint="eastAsia" w:eastAsiaTheme="minorEastAsia" w:cstheme="minorBidi"/>
          <w:color w:val="auto"/>
          <w:kern w:val="2"/>
          <w:sz w:val="21"/>
          <w:szCs w:val="21"/>
        </w:rPr>
        <w:t>备注：</w:t>
      </w:r>
      <w:r>
        <w:rPr>
          <w:rFonts w:hint="eastAsia" w:eastAsiaTheme="minorEastAsia" w:cstheme="minorBidi"/>
          <w:color w:val="auto"/>
          <w:kern w:val="2"/>
          <w:sz w:val="21"/>
          <w:szCs w:val="21"/>
          <w:u w:val="single"/>
        </w:rPr>
        <w:t xml:space="preserve">                                                </w:t>
      </w:r>
    </w:p>
    <w:p w14:paraId="4F20553F">
      <w:pPr>
        <w:pStyle w:val="36"/>
        <w:spacing w:before="120" w:line="480" w:lineRule="exact"/>
        <w:rPr>
          <w:color w:val="auto"/>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spacing w:line="360" w:lineRule="auto"/>
        <w:rPr>
          <w:color w:val="auto"/>
        </w:rPr>
      </w:pPr>
    </w:p>
    <w:p w14:paraId="55F3F5AD">
      <w:pPr>
        <w:spacing w:line="360" w:lineRule="auto"/>
        <w:ind w:firstLine="562" w:firstLineChars="200"/>
        <w:jc w:val="center"/>
        <w:rPr>
          <w:rFonts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spacing w:line="360" w:lineRule="auto"/>
        <w:ind w:firstLine="420" w:firstLineChars="200"/>
        <w:rPr>
          <w:rFonts w:ascii="宋体" w:hAnsi="宋体"/>
          <w:color w:val="auto"/>
        </w:rPr>
      </w:pPr>
      <w:r>
        <w:rPr>
          <w:rFonts w:hint="eastAsia" w:ascii="宋体" w:hAnsi="宋体"/>
          <w:color w:val="auto"/>
        </w:rPr>
        <w:t>致：四川宏达股份有限公司</w:t>
      </w:r>
    </w:p>
    <w:p w14:paraId="19BD65C6">
      <w:pPr>
        <w:spacing w:line="360" w:lineRule="auto"/>
        <w:ind w:firstLine="420" w:firstLineChars="200"/>
        <w:rPr>
          <w:rFonts w:ascii="宋体" w:hAnsi="宋体"/>
          <w:color w:val="auto"/>
        </w:rPr>
      </w:pPr>
      <w:r>
        <w:rPr>
          <w:rFonts w:hint="eastAsia" w:ascii="宋体" w:hAnsi="宋体"/>
          <w:color w:val="auto"/>
        </w:rPr>
        <w:t>我公司自愿参与四川宏达股份有限公司</w:t>
      </w:r>
      <w:r>
        <w:rPr>
          <w:rFonts w:hint="eastAsia" w:ascii="宋体" w:hAnsi="宋体"/>
          <w:color w:val="auto"/>
          <w:lang w:val="en-US" w:eastAsia="zh-CN"/>
        </w:rPr>
        <w:t>宏达股份什邡磷化工分公司分厂办公楼专项安全评价（抗爆计算）服务</w:t>
      </w:r>
      <w:r>
        <w:rPr>
          <w:rFonts w:hint="eastAsia" w:ascii="宋体" w:hAnsi="宋体"/>
          <w:color w:val="auto"/>
        </w:rPr>
        <w:t>的</w:t>
      </w:r>
      <w:r>
        <w:rPr>
          <w:rFonts w:hint="eastAsia" w:ascii="宋体" w:hAnsi="宋体"/>
          <w:color w:val="auto"/>
          <w:lang w:val="en-US" w:eastAsia="zh-CN"/>
        </w:rPr>
        <w:t>投选</w:t>
      </w:r>
      <w:r>
        <w:rPr>
          <w:rFonts w:hint="eastAsia" w:ascii="宋体" w:hAnsi="宋体"/>
          <w:color w:val="auto"/>
        </w:rPr>
        <w:t>，现郑重作出以下承诺：</w:t>
      </w:r>
    </w:p>
    <w:p w14:paraId="724D006C">
      <w:pPr>
        <w:spacing w:line="360" w:lineRule="auto"/>
        <w:ind w:left="420" w:leftChars="200"/>
        <w:rPr>
          <w:rFonts w:ascii="宋体" w:hAnsi="宋体"/>
          <w:color w:val="auto"/>
        </w:rPr>
      </w:pPr>
      <w:r>
        <w:rPr>
          <w:rFonts w:hint="eastAsia" w:ascii="宋体" w:hAnsi="宋体"/>
          <w:color w:val="auto"/>
        </w:rPr>
        <w:t>⑴我公司具有良好的信誉、企业处于正常生产经营状态；</w:t>
      </w:r>
    </w:p>
    <w:p w14:paraId="3F14A862">
      <w:pPr>
        <w:spacing w:line="360" w:lineRule="auto"/>
        <w:ind w:left="420" w:leftChars="200"/>
        <w:rPr>
          <w:rFonts w:hint="eastAsia" w:ascii="宋体" w:hAnsi="宋体"/>
          <w:color w:val="auto"/>
        </w:rPr>
      </w:pPr>
      <w:r>
        <w:rPr>
          <w:rFonts w:hint="eastAsia" w:ascii="宋体" w:hAnsi="宋体"/>
          <w:color w:val="auto"/>
        </w:rPr>
        <w:t>⑵我公司完全按报价文件严格执行。</w:t>
      </w:r>
    </w:p>
    <w:p w14:paraId="1D9D61FC">
      <w:pPr>
        <w:spacing w:line="360" w:lineRule="auto"/>
        <w:ind w:left="420" w:leftChars="200"/>
        <w:rPr>
          <w:rFonts w:ascii="宋体" w:hAnsi="宋体"/>
          <w:color w:val="auto"/>
        </w:rPr>
      </w:pPr>
      <w:r>
        <w:rPr>
          <w:rFonts w:hint="eastAsia" w:ascii="宋体" w:hAnsi="宋体"/>
          <w:color w:val="auto"/>
        </w:rPr>
        <w:t>⑶我公司将严格遵守投标的各项法律法规和程序，若有违规行为，愿意承担相应法律责任。</w:t>
      </w:r>
    </w:p>
    <w:p w14:paraId="6F2BCF8F">
      <w:pPr>
        <w:spacing w:line="360" w:lineRule="auto"/>
        <w:ind w:firstLine="420" w:firstLineChars="200"/>
        <w:rPr>
          <w:rFonts w:ascii="宋体" w:hAnsi="宋体"/>
          <w:color w:val="auto"/>
        </w:rPr>
      </w:pPr>
      <w:r>
        <w:rPr>
          <w:rFonts w:hint="eastAsia" w:ascii="宋体" w:hAnsi="宋体"/>
          <w:color w:val="auto"/>
        </w:rPr>
        <w:t>⑷若中标，我公司将按照合同约定的时间、地点和方式交付物资，确保项目顺利推进。</w:t>
      </w:r>
    </w:p>
    <w:p w14:paraId="4D67B731">
      <w:pPr>
        <w:spacing w:line="360" w:lineRule="auto"/>
        <w:ind w:firstLine="420" w:firstLineChars="200"/>
        <w:rPr>
          <w:rFonts w:ascii="宋体" w:hAnsi="宋体"/>
          <w:color w:val="auto"/>
        </w:rPr>
      </w:pPr>
      <w:r>
        <w:rPr>
          <w:rFonts w:hint="eastAsia" w:ascii="宋体" w:hAnsi="宋体"/>
          <w:color w:val="auto"/>
        </w:rPr>
        <w:t>⑸我公司保证所提供的所有资料真实、准确、有效，如有虚假，愿意接受相应处罚。 一旦我方中标，愿意按照招标文件和招标人的规定和要求签订购销合同，并信守合同、保证质量、如期交货。</w:t>
      </w:r>
    </w:p>
    <w:p w14:paraId="7EDB8D25">
      <w:pPr>
        <w:spacing w:line="360" w:lineRule="auto"/>
        <w:ind w:firstLine="420" w:firstLineChars="200"/>
        <w:rPr>
          <w:rFonts w:ascii="宋体" w:hAnsi="宋体"/>
          <w:color w:val="auto"/>
        </w:rPr>
      </w:pPr>
    </w:p>
    <w:p w14:paraId="693B3106">
      <w:pPr>
        <w:spacing w:line="360" w:lineRule="auto"/>
        <w:ind w:left="420" w:leftChars="200"/>
        <w:rPr>
          <w:rFonts w:ascii="宋体" w:hAnsi="宋体"/>
          <w:color w:val="auto"/>
        </w:rPr>
      </w:pPr>
    </w:p>
    <w:p w14:paraId="1B7420F3">
      <w:pPr>
        <w:spacing w:line="360" w:lineRule="auto"/>
        <w:ind w:firstLine="420" w:firstLineChars="200"/>
        <w:rPr>
          <w:rFonts w:ascii="宋体" w:hAnsi="宋体"/>
          <w:color w:val="auto"/>
        </w:rPr>
      </w:pPr>
      <w:r>
        <w:rPr>
          <w:rFonts w:hint="eastAsia" w:ascii="宋体" w:hAnsi="宋体"/>
          <w:color w:val="auto"/>
        </w:rPr>
        <w:t xml:space="preserve">                                      </w:t>
      </w:r>
      <w:r>
        <w:rPr>
          <w:rFonts w:hint="eastAsia" w:ascii="宋体" w:hAnsi="宋体"/>
          <w:color w:val="auto"/>
          <w:szCs w:val="21"/>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spacing w:line="360" w:lineRule="auto"/>
        <w:ind w:firstLine="420" w:firstLineChars="200"/>
        <w:rPr>
          <w:rFonts w:ascii="宋体" w:hAnsi="宋体"/>
          <w:color w:val="auto"/>
        </w:rPr>
      </w:pPr>
      <w:r>
        <w:rPr>
          <w:rFonts w:hint="eastAsia" w:ascii="宋体" w:hAnsi="宋体"/>
          <w:color w:val="auto"/>
        </w:rPr>
        <w:t xml:space="preserve">                                     </w:t>
      </w:r>
    </w:p>
    <w:p w14:paraId="20DB0404">
      <w:pPr>
        <w:spacing w:line="360" w:lineRule="auto"/>
        <w:ind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ind w:firstLine="562" w:firstLineChars="200"/>
        <w:rPr>
          <w:rFonts w:ascii="宋体" w:hAnsi="宋体" w:cs="宋体"/>
          <w:b/>
          <w:bCs/>
          <w:color w:val="auto"/>
          <w:sz w:val="28"/>
          <w:szCs w:val="28"/>
        </w:rPr>
      </w:pPr>
    </w:p>
    <w:p w14:paraId="3D6A57E0">
      <w:pPr>
        <w:pStyle w:val="5"/>
        <w:ind w:firstLine="562"/>
        <w:rPr>
          <w:b/>
          <w:bCs/>
          <w:color w:val="auto"/>
          <w:sz w:val="28"/>
          <w:szCs w:val="28"/>
        </w:rPr>
      </w:pPr>
    </w:p>
    <w:p w14:paraId="5EAC2CBF">
      <w:pPr>
        <w:pStyle w:val="11"/>
        <w:ind w:firstLine="562" w:firstLineChars="200"/>
        <w:rPr>
          <w:rFonts w:ascii="宋体" w:hAnsi="宋体" w:cs="宋体"/>
          <w:b/>
          <w:bCs/>
          <w:color w:val="auto"/>
          <w:sz w:val="28"/>
          <w:szCs w:val="28"/>
        </w:rPr>
      </w:pPr>
    </w:p>
    <w:p w14:paraId="35735EAF">
      <w:pPr>
        <w:ind w:firstLine="420" w:firstLineChars="200"/>
        <w:rPr>
          <w:color w:val="auto"/>
        </w:rPr>
      </w:pPr>
    </w:p>
    <w:p w14:paraId="23E5136A">
      <w:pPr>
        <w:snapToGrid w:val="0"/>
        <w:spacing w:line="360" w:lineRule="auto"/>
        <w:ind w:firstLine="482" w:firstLineChars="200"/>
        <w:jc w:val="left"/>
        <w:rPr>
          <w:rFonts w:hAnsi="宋体" w:cs="宋体"/>
          <w:b/>
          <w:color w:val="auto"/>
          <w:sz w:val="24"/>
        </w:rPr>
      </w:pPr>
    </w:p>
    <w:p w14:paraId="2775FEFD">
      <w:pPr>
        <w:spacing w:line="360" w:lineRule="exact"/>
        <w:rPr>
          <w:rFonts w:ascii="黑体" w:hAnsi="黑体" w:eastAsia="黑体" w:cs="宋体"/>
          <w:b/>
          <w:color w:val="auto"/>
          <w:kern w:val="0"/>
          <w:sz w:val="28"/>
          <w:szCs w:val="28"/>
        </w:rPr>
      </w:pPr>
    </w:p>
    <w:p w14:paraId="071078EC">
      <w:pPr>
        <w:spacing w:line="360" w:lineRule="exact"/>
        <w:rPr>
          <w:rFonts w:ascii="黑体" w:hAnsi="黑体" w:eastAsia="黑体" w:cs="宋体"/>
          <w:b/>
          <w:color w:val="auto"/>
          <w:kern w:val="0"/>
          <w:sz w:val="28"/>
          <w:szCs w:val="28"/>
        </w:rPr>
      </w:pPr>
    </w:p>
    <w:p w14:paraId="445E8863">
      <w:pPr>
        <w:spacing w:line="360" w:lineRule="exact"/>
        <w:rPr>
          <w:rFonts w:ascii="黑体" w:hAnsi="黑体" w:eastAsia="黑体" w:cs="宋体"/>
          <w:b/>
          <w:color w:val="auto"/>
          <w:kern w:val="0"/>
          <w:sz w:val="28"/>
          <w:szCs w:val="28"/>
        </w:rPr>
      </w:pPr>
    </w:p>
    <w:p w14:paraId="26F89609">
      <w:pPr>
        <w:spacing w:line="360" w:lineRule="exact"/>
        <w:rPr>
          <w:rFonts w:ascii="黑体" w:hAnsi="黑体" w:eastAsia="黑体" w:cs="宋体"/>
          <w:b/>
          <w:color w:val="auto"/>
          <w:kern w:val="0"/>
          <w:sz w:val="28"/>
          <w:szCs w:val="28"/>
        </w:rPr>
      </w:pPr>
    </w:p>
    <w:p w14:paraId="2316C6D9">
      <w:pPr>
        <w:spacing w:line="360" w:lineRule="exact"/>
        <w:rPr>
          <w:rFonts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ZWFjMTgxOWJmNDI0NWM4NTcxOGEyZGFiNDdhYWE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16918"/>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0A4"/>
    <w:rsid w:val="009E7305"/>
    <w:rsid w:val="009F2FCD"/>
    <w:rsid w:val="00A01C7B"/>
    <w:rsid w:val="00A20F8B"/>
    <w:rsid w:val="00A2500C"/>
    <w:rsid w:val="00A30F6D"/>
    <w:rsid w:val="00A44276"/>
    <w:rsid w:val="00A52FB5"/>
    <w:rsid w:val="00A70652"/>
    <w:rsid w:val="00A82099"/>
    <w:rsid w:val="00A945A7"/>
    <w:rsid w:val="00A9571D"/>
    <w:rsid w:val="00AA2C4C"/>
    <w:rsid w:val="00AA49B8"/>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256C6"/>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F87648"/>
    <w:rsid w:val="03621E2E"/>
    <w:rsid w:val="036463B6"/>
    <w:rsid w:val="037E6BB8"/>
    <w:rsid w:val="038F62BE"/>
    <w:rsid w:val="03A80897"/>
    <w:rsid w:val="03BC1030"/>
    <w:rsid w:val="041E3808"/>
    <w:rsid w:val="043B2184"/>
    <w:rsid w:val="0475718F"/>
    <w:rsid w:val="0485137E"/>
    <w:rsid w:val="04C66C1A"/>
    <w:rsid w:val="04D1736D"/>
    <w:rsid w:val="05573D16"/>
    <w:rsid w:val="057443B4"/>
    <w:rsid w:val="05C017FD"/>
    <w:rsid w:val="05EA06E6"/>
    <w:rsid w:val="0687687D"/>
    <w:rsid w:val="06F2489E"/>
    <w:rsid w:val="070268E6"/>
    <w:rsid w:val="076636BD"/>
    <w:rsid w:val="094A00EB"/>
    <w:rsid w:val="094D7C7A"/>
    <w:rsid w:val="097507C7"/>
    <w:rsid w:val="097D22E2"/>
    <w:rsid w:val="09AD2157"/>
    <w:rsid w:val="0A3C4D43"/>
    <w:rsid w:val="0A992CD2"/>
    <w:rsid w:val="0B6C6FDB"/>
    <w:rsid w:val="0C5F0F6E"/>
    <w:rsid w:val="0D004BE0"/>
    <w:rsid w:val="0D6635DC"/>
    <w:rsid w:val="0E7E0566"/>
    <w:rsid w:val="0EC51CF1"/>
    <w:rsid w:val="0EDB508D"/>
    <w:rsid w:val="0F783207"/>
    <w:rsid w:val="0F797A29"/>
    <w:rsid w:val="0FBB34F5"/>
    <w:rsid w:val="0FFD54BA"/>
    <w:rsid w:val="10525110"/>
    <w:rsid w:val="110E7C3C"/>
    <w:rsid w:val="1167027B"/>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BB13D28"/>
    <w:rsid w:val="1C160957"/>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B83EA0"/>
    <w:rsid w:val="240E783E"/>
    <w:rsid w:val="246966F1"/>
    <w:rsid w:val="2470465E"/>
    <w:rsid w:val="24F6510A"/>
    <w:rsid w:val="24FA55ED"/>
    <w:rsid w:val="25CA49CD"/>
    <w:rsid w:val="25CC5B88"/>
    <w:rsid w:val="26933E36"/>
    <w:rsid w:val="26BC19A6"/>
    <w:rsid w:val="277512FE"/>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2F361DF3"/>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9210878"/>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A70502C"/>
    <w:rsid w:val="4B964C95"/>
    <w:rsid w:val="4BDF7931"/>
    <w:rsid w:val="4D477799"/>
    <w:rsid w:val="4DCF4AEB"/>
    <w:rsid w:val="4E0D1159"/>
    <w:rsid w:val="4E5A52AA"/>
    <w:rsid w:val="4E99264F"/>
    <w:rsid w:val="4EE10E98"/>
    <w:rsid w:val="4EE97C85"/>
    <w:rsid w:val="4F203C16"/>
    <w:rsid w:val="4F234ED1"/>
    <w:rsid w:val="4FE70DC0"/>
    <w:rsid w:val="502E581F"/>
    <w:rsid w:val="50CC06E1"/>
    <w:rsid w:val="50F46497"/>
    <w:rsid w:val="514328A4"/>
    <w:rsid w:val="51875472"/>
    <w:rsid w:val="51F577C4"/>
    <w:rsid w:val="52884ADC"/>
    <w:rsid w:val="52A80CDA"/>
    <w:rsid w:val="533212A1"/>
    <w:rsid w:val="53EE72C6"/>
    <w:rsid w:val="54887ACF"/>
    <w:rsid w:val="548B2661"/>
    <w:rsid w:val="54AA722A"/>
    <w:rsid w:val="55A16D1C"/>
    <w:rsid w:val="55BE4F5F"/>
    <w:rsid w:val="55E22755"/>
    <w:rsid w:val="56151249"/>
    <w:rsid w:val="57193C9E"/>
    <w:rsid w:val="57541431"/>
    <w:rsid w:val="576C2775"/>
    <w:rsid w:val="586048F0"/>
    <w:rsid w:val="588549CE"/>
    <w:rsid w:val="58AE7DA1"/>
    <w:rsid w:val="58DD7D9A"/>
    <w:rsid w:val="598C3ABE"/>
    <w:rsid w:val="59AD4E28"/>
    <w:rsid w:val="5B1D65E8"/>
    <w:rsid w:val="5C8C341B"/>
    <w:rsid w:val="5D2F2B1E"/>
    <w:rsid w:val="5DEF5A0F"/>
    <w:rsid w:val="5DF72B16"/>
    <w:rsid w:val="5ECA3D86"/>
    <w:rsid w:val="5F4D50E3"/>
    <w:rsid w:val="60303C60"/>
    <w:rsid w:val="6045557C"/>
    <w:rsid w:val="6058106F"/>
    <w:rsid w:val="60EC13C9"/>
    <w:rsid w:val="61E15FB7"/>
    <w:rsid w:val="626B0ACC"/>
    <w:rsid w:val="626F728B"/>
    <w:rsid w:val="62A42563"/>
    <w:rsid w:val="63210307"/>
    <w:rsid w:val="633B16F7"/>
    <w:rsid w:val="63613BBD"/>
    <w:rsid w:val="64132ACB"/>
    <w:rsid w:val="661512EF"/>
    <w:rsid w:val="66A77D57"/>
    <w:rsid w:val="66C75014"/>
    <w:rsid w:val="672B6AD9"/>
    <w:rsid w:val="67CD5013"/>
    <w:rsid w:val="68E42148"/>
    <w:rsid w:val="68F9171A"/>
    <w:rsid w:val="693A47A3"/>
    <w:rsid w:val="69B61D6F"/>
    <w:rsid w:val="69C1618A"/>
    <w:rsid w:val="6AB2229E"/>
    <w:rsid w:val="6AFB2A69"/>
    <w:rsid w:val="6B0861E1"/>
    <w:rsid w:val="6B3E4F40"/>
    <w:rsid w:val="6B4C26F3"/>
    <w:rsid w:val="6B73407C"/>
    <w:rsid w:val="6C465631"/>
    <w:rsid w:val="6C6400AB"/>
    <w:rsid w:val="6C8B590C"/>
    <w:rsid w:val="6D343A27"/>
    <w:rsid w:val="6DCF182B"/>
    <w:rsid w:val="6F712728"/>
    <w:rsid w:val="6FF06CE8"/>
    <w:rsid w:val="70493743"/>
    <w:rsid w:val="71710FBA"/>
    <w:rsid w:val="72F9402A"/>
    <w:rsid w:val="733A4279"/>
    <w:rsid w:val="74125240"/>
    <w:rsid w:val="74D06143"/>
    <w:rsid w:val="75284014"/>
    <w:rsid w:val="75D4756D"/>
    <w:rsid w:val="75E36E5B"/>
    <w:rsid w:val="76E61C4D"/>
    <w:rsid w:val="775744D2"/>
    <w:rsid w:val="77E24ED1"/>
    <w:rsid w:val="789E730E"/>
    <w:rsid w:val="79042BD4"/>
    <w:rsid w:val="7A450456"/>
    <w:rsid w:val="7AC516D6"/>
    <w:rsid w:val="7ACE1C54"/>
    <w:rsid w:val="7AF02591"/>
    <w:rsid w:val="7B66653C"/>
    <w:rsid w:val="7BBE5F26"/>
    <w:rsid w:val="7D902913"/>
    <w:rsid w:val="7DA00113"/>
    <w:rsid w:val="7DB65755"/>
    <w:rsid w:val="7E6B5FAF"/>
    <w:rsid w:val="7EB81A50"/>
    <w:rsid w:val="7EB92D8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字符"/>
    <w:basedOn w:val="19"/>
    <w:link w:val="10"/>
    <w:qFormat/>
    <w:uiPriority w:val="99"/>
    <w:rPr>
      <w:rFonts w:asciiTheme="minorHAnsi" w:hAnsiTheme="minorHAnsi" w:eastAsiaTheme="minorEastAsia" w:cstheme="minorBidi"/>
      <w:kern w:val="2"/>
      <w:sz w:val="18"/>
      <w:szCs w:val="18"/>
    </w:rPr>
  </w:style>
  <w:style w:type="character" w:customStyle="1" w:styleId="40">
    <w:name w:val="页脚 字符"/>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字符"/>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1550</Words>
  <Characters>1687</Characters>
  <Lines>49</Lines>
  <Paragraphs>13</Paragraphs>
  <TotalTime>35</TotalTime>
  <ScaleCrop>false</ScaleCrop>
  <LinksUpToDate>false</LinksUpToDate>
  <CharactersWithSpaces>2542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2026-01-07T08:56:03Z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eyJoZGlkIjoiYWE4ZmIyYWNkMjk0NWIzZDZiMTJkYjg1ODg2ODc0YjAiLCJ1c2VySWQiOiI2ODcyODI3ODQifQ==</vt:lpwstr>
  </property>
  <property fmtid="{D5CDD505-2E9C-101B-9397-08002B2CF9AE}" pid="3" name="KSOProductBuildVer">
    <vt:lpwstr>2052-12.1.0.24034</vt:lpwstr>
  </property>
  <property fmtid="{D5CDD505-2E9C-101B-9397-08002B2CF9AE}" pid="4" name="ICV">
    <vt:lpwstr>638278A91B6247A3A14F33886A0DB3EB_13</vt:lpwstr>
  </property>
</Properties>
</file>