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A19FE">
      <w:pPr>
        <w:autoSpaceDE w:val="0"/>
        <w:autoSpaceDN w:val="0"/>
        <w:adjustRightInd w:val="0"/>
        <w:spacing w:before="100" w:after="100"/>
        <w:jc w:val="center"/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  <w:lang w:val="zh-CN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  <w:lang w:val="en-US" w:eastAsia="zh-CN"/>
        </w:rPr>
        <w:t>四川宏达股份有限公司复膜机组采购</w:t>
      </w:r>
    </w:p>
    <w:p w14:paraId="1FAE45D5">
      <w:pPr>
        <w:autoSpaceDE w:val="0"/>
        <w:autoSpaceDN w:val="0"/>
        <w:adjustRightInd w:val="0"/>
        <w:spacing w:before="100" w:after="100"/>
        <w:jc w:val="center"/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  <w:lang w:val="en-US" w:eastAsia="zh-CN"/>
        </w:rPr>
      </w:pPr>
    </w:p>
    <w:p w14:paraId="538E90AF">
      <w:pPr>
        <w:pStyle w:val="6"/>
        <w:rPr>
          <w:rFonts w:hint="eastAsia" w:asciiTheme="minorEastAsia" w:hAnsiTheme="minorEastAsia" w:eastAsiaTheme="minorEastAsia"/>
          <w:b w:val="0"/>
          <w:bCs/>
          <w:color w:val="auto"/>
          <w:kern w:val="0"/>
          <w:sz w:val="72"/>
          <w:szCs w:val="72"/>
          <w:highlight w:val="none"/>
        </w:rPr>
      </w:pPr>
    </w:p>
    <w:p w14:paraId="33D068A5">
      <w:pPr>
        <w:pStyle w:val="13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highlight w:val="none"/>
        </w:rPr>
      </w:pPr>
    </w:p>
    <w:p w14:paraId="7C29320C">
      <w:pPr>
        <w:pStyle w:val="13"/>
        <w:rPr>
          <w:rFonts w:hint="eastAsia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  <w:t>比选文件</w:t>
      </w:r>
    </w:p>
    <w:p w14:paraId="14F67AD3">
      <w:pPr>
        <w:pStyle w:val="6"/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</w:p>
    <w:p w14:paraId="4C7901ED">
      <w:pPr>
        <w:pStyle w:val="6"/>
        <w:jc w:val="center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编号：SFLHG-GKBX-2025-HW153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FF0000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12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24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3C2905FA">
      <w:pPr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Segoe UI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Segoe UI"/>
          <w:b/>
          <w:bCs/>
          <w:color w:val="000000"/>
          <w:kern w:val="0"/>
          <w:sz w:val="32"/>
          <w:szCs w:val="32"/>
          <w:lang w:val="en-US" w:eastAsia="zh-CN"/>
        </w:rPr>
        <w:t>复膜机组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文件</w:t>
      </w:r>
    </w:p>
    <w:p w14:paraId="4D403B75">
      <w:pPr>
        <w:pStyle w:val="6"/>
        <w:jc w:val="center"/>
        <w:rPr>
          <w:rFonts w:hint="default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 xml:space="preserve">                      编号：SFLHG-GKBX-2025-HW153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keepNext w:val="0"/>
        <w:keepLines w:val="0"/>
        <w:widowControl/>
        <w:suppressLineNumbers w:val="0"/>
        <w:ind w:firstLine="560" w:firstLineChars="20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四川宏达股份有限公司什邡磷化工分公司</w:t>
      </w:r>
      <w:r>
        <w:rPr>
          <w:rFonts w:hint="eastAsia" w:ascii="黑体" w:hAnsi="黑体" w:eastAsia="黑体" w:cs="Segoe UI"/>
          <w:b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复膜机组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采购，于2025年11月21日在蜀</w:t>
      </w:r>
      <w:r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道投资集团有限责任公司集中招标采购平台</w:t>
      </w:r>
      <w:r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完成公开招标，评标委员会通过评审已推荐中标候选人，本着“公开、公平、公正”的原则，现邀请3名中标候选人在宏达股份集采平台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补报详细资料，由招标单位进行综合评审，</w:t>
      </w:r>
      <w:r>
        <w:rPr>
          <w:rFonts w:hint="eastAsia" w:ascii="黑体" w:hAnsi="黑体" w:eastAsia="黑体" w:cs="宋体"/>
          <w:kern w:val="0"/>
          <w:sz w:val="28"/>
          <w:szCs w:val="28"/>
        </w:rPr>
        <w:t>现将相关事项公告如下：</w:t>
      </w:r>
    </w:p>
    <w:p w14:paraId="1E9CD92D">
      <w:pPr>
        <w:pStyle w:val="15"/>
        <w:spacing w:before="0" w:beforeAutospacing="0" w:after="0" w:afterAutospacing="0" w:line="460" w:lineRule="exact"/>
        <w:rPr>
          <w:rFonts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复膜机组1套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3189E225">
      <w:pPr>
        <w:numPr>
          <w:ilvl w:val="0"/>
          <w:numId w:val="0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二、比选人：四川宏达股份有限公司  </w:t>
      </w:r>
    </w:p>
    <w:p w14:paraId="67EB3B3D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78BA9BEF">
      <w:pPr>
        <w:pStyle w:val="15"/>
        <w:spacing w:before="0" w:beforeAutospacing="0" w:after="0" w:afterAutospacing="0"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黑体"/>
          <w:sz w:val="28"/>
          <w:szCs w:val="28"/>
        </w:rPr>
        <w:t>标的物技术要求：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962"/>
        <w:gridCol w:w="5118"/>
        <w:gridCol w:w="1560"/>
      </w:tblGrid>
      <w:tr w14:paraId="2224A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67" w:type="dxa"/>
            <w:vAlign w:val="center"/>
          </w:tcPr>
          <w:p w14:paraId="6F325826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62" w:type="dxa"/>
            <w:vAlign w:val="center"/>
          </w:tcPr>
          <w:p w14:paraId="7AF631DF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5118" w:type="dxa"/>
            <w:vAlign w:val="center"/>
          </w:tcPr>
          <w:p w14:paraId="12010F90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1560" w:type="dxa"/>
            <w:vAlign w:val="center"/>
          </w:tcPr>
          <w:p w14:paraId="69C4090D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</w:tr>
      <w:tr w14:paraId="7A5F8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067" w:type="dxa"/>
            <w:vAlign w:val="center"/>
          </w:tcPr>
          <w:p w14:paraId="37C1F30B">
            <w:pPr>
              <w:autoSpaceDE/>
              <w:autoSpaceDN/>
              <w:spacing w:line="360" w:lineRule="auto"/>
              <w:ind w:firstLine="0" w:firstLineChars="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962" w:type="dxa"/>
            <w:vAlign w:val="center"/>
          </w:tcPr>
          <w:p w14:paraId="5E90A654">
            <w:pPr>
              <w:autoSpaceDE/>
              <w:autoSpaceDN/>
              <w:spacing w:line="360" w:lineRule="auto"/>
              <w:ind w:firstLine="0" w:firstLineChar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sz w:val="28"/>
                <w:szCs w:val="28"/>
                <w:lang w:eastAsia="zh-CN"/>
              </w:rPr>
              <w:t>复膜机组</w:t>
            </w:r>
          </w:p>
        </w:tc>
        <w:tc>
          <w:tcPr>
            <w:tcW w:w="5118" w:type="dxa"/>
            <w:vAlign w:val="center"/>
          </w:tcPr>
          <w:p w14:paraId="702B1350">
            <w:pPr>
              <w:pStyle w:val="18"/>
              <w:ind w:left="0" w:leftChars="0" w:firstLine="0" w:firstLineChars="0"/>
              <w:rPr>
                <w:rFonts w:hint="default" w:ascii="黑体" w:hAnsi="黑体" w:eastAsia="黑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Segoe UI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900型双模头塑料挤出复膜机组</w:t>
            </w:r>
          </w:p>
        </w:tc>
        <w:tc>
          <w:tcPr>
            <w:tcW w:w="1560" w:type="dxa"/>
            <w:vAlign w:val="center"/>
          </w:tcPr>
          <w:p w14:paraId="1597C120">
            <w:pPr>
              <w:autoSpaceDE/>
              <w:autoSpaceDN/>
              <w:spacing w:line="360" w:lineRule="auto"/>
              <w:ind w:firstLine="0" w:firstLineChars="0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1套</w:t>
            </w:r>
          </w:p>
        </w:tc>
      </w:tr>
    </w:tbl>
    <w:p w14:paraId="1967F71A">
      <w:pPr>
        <w:spacing w:line="36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009329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2.交货</w:t>
      </w:r>
      <w:r>
        <w:rPr>
          <w:rFonts w:hint="eastAsia" w:ascii="黑体" w:hAnsi="黑体" w:eastAsia="黑体" w:cs="宋体"/>
          <w:kern w:val="0"/>
          <w:sz w:val="28"/>
          <w:szCs w:val="28"/>
        </w:rPr>
        <w:t>地点：四川宏达股份有限公司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师古镇。</w:t>
      </w:r>
    </w:p>
    <w:p w14:paraId="4611913C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交货期：</w:t>
      </w:r>
      <w:r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合同生效之日起</w:t>
      </w:r>
      <w:r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60-80</w:t>
      </w:r>
      <w:r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个自然日内。</w:t>
      </w:r>
      <w:r>
        <w:rPr>
          <w:rFonts w:hint="eastAsia" w:ascii="黑体" w:hAnsi="黑体" w:eastAsia="黑体" w:cs="宋体"/>
          <w:color w:val="auto"/>
          <w:sz w:val="28"/>
          <w:szCs w:val="28"/>
          <w:lang w:val="en-US" w:eastAsia="zh-CN"/>
        </w:rPr>
        <w:t>。</w:t>
      </w:r>
    </w:p>
    <w:p w14:paraId="318C94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付款方式及发票： </w:t>
      </w:r>
    </w:p>
    <w:p w14:paraId="506037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default" w:ascii="黑体" w:hAnsi="黑体" w:eastAsia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Segoe UI"/>
          <w:sz w:val="28"/>
          <w:szCs w:val="28"/>
        </w:rPr>
        <w:t>以现汇支付。合同签订后招标方向中标方预付合同总金额的30%，货到招标方验收合格，中标方出具全额增值税专用发票后，招标方支付合同总金额的6</w:t>
      </w:r>
      <w:r>
        <w:rPr>
          <w:rFonts w:ascii="黑体" w:hAnsi="黑体" w:eastAsia="黑体" w:cs="Segoe UI"/>
          <w:sz w:val="28"/>
          <w:szCs w:val="28"/>
        </w:rPr>
        <w:t>0</w:t>
      </w:r>
      <w:r>
        <w:rPr>
          <w:rFonts w:hint="eastAsia" w:ascii="黑体" w:hAnsi="黑体" w:eastAsia="黑体" w:cs="Segoe UI"/>
          <w:sz w:val="28"/>
          <w:szCs w:val="28"/>
        </w:rPr>
        <w:t>%，余1</w:t>
      </w:r>
      <w:r>
        <w:rPr>
          <w:rFonts w:ascii="黑体" w:hAnsi="黑体" w:eastAsia="黑体" w:cs="Segoe UI"/>
          <w:sz w:val="28"/>
          <w:szCs w:val="28"/>
        </w:rPr>
        <w:t>0</w:t>
      </w:r>
      <w:r>
        <w:rPr>
          <w:rFonts w:hint="eastAsia" w:ascii="黑体" w:hAnsi="黑体" w:eastAsia="黑体" w:cs="Segoe UI"/>
          <w:sz w:val="28"/>
          <w:szCs w:val="28"/>
        </w:rPr>
        <w:t>%质保金待质保期满且无质量异议后支付</w:t>
      </w:r>
      <w:r>
        <w:rPr>
          <w:rFonts w:hint="eastAsia" w:ascii="黑体" w:hAnsi="黑体" w:eastAsia="黑体" w:cs="Segoe UI"/>
          <w:kern w:val="0"/>
          <w:sz w:val="30"/>
          <w:szCs w:val="30"/>
        </w:rPr>
        <w:t>。</w:t>
      </w:r>
    </w:p>
    <w:p w14:paraId="3914BA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一票制，供应商开具全额增值税专用发票(税率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 13 </w:t>
      </w:r>
      <w:r>
        <w:rPr>
          <w:rFonts w:hint="eastAsia" w:ascii="黑体" w:hAnsi="黑体" w:eastAsia="黑体" w:cs="宋体"/>
          <w:kern w:val="0"/>
          <w:sz w:val="28"/>
          <w:szCs w:val="28"/>
        </w:rPr>
        <w:t>%)。</w:t>
      </w:r>
    </w:p>
    <w:p w14:paraId="57D2B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5.</w:t>
      </w:r>
      <w:r>
        <w:rPr>
          <w:rFonts w:hint="eastAsia" w:ascii="黑体" w:hAnsi="黑体" w:eastAsia="黑体" w:cs="宋体"/>
          <w:kern w:val="0"/>
          <w:sz w:val="28"/>
          <w:szCs w:val="28"/>
        </w:rPr>
        <w:t>质保期：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1年</w:t>
      </w:r>
    </w:p>
    <w:p w14:paraId="6F2018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比选文件的获取</w:t>
      </w:r>
    </w:p>
    <w:p w14:paraId="2AE6E5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Chars="0"/>
        <w:textAlignment w:val="auto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 xml:space="preserve">获取方式为通过四川宏达股份有限公司集采中心招投标平台(以下简称“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0" w:firstLineChars="0"/>
        <w:textAlignment w:val="auto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响应性文件的递交</w:t>
      </w:r>
    </w:p>
    <w:p w14:paraId="03D00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递交截止时间：2025年 12月25日 13时 0 分。</w:t>
      </w:r>
    </w:p>
    <w:p w14:paraId="0E7C9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kern w:val="0"/>
          <w:sz w:val="28"/>
          <w:szCs w:val="28"/>
        </w:rPr>
        <w:t>人按本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</w:t>
      </w:r>
      <w:r>
        <w:rPr>
          <w:rFonts w:hint="eastAsia" w:ascii="黑体" w:hAnsi="黑体" w:eastAsia="黑体" w:cs="黑体"/>
          <w:kern w:val="0"/>
          <w:sz w:val="28"/>
          <w:szCs w:val="28"/>
        </w:rPr>
        <w:t>文件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第三章响应性文件</w:t>
      </w:r>
      <w:r>
        <w:rPr>
          <w:rFonts w:hint="eastAsia" w:ascii="黑体" w:hAnsi="黑体" w:eastAsia="黑体" w:cs="黑体"/>
          <w:kern w:val="0"/>
          <w:sz w:val="28"/>
          <w:szCs w:val="28"/>
        </w:rPr>
        <w:t>格式制作报价文件，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sz w:val="28"/>
          <w:szCs w:val="28"/>
        </w:rPr>
        <w:t>规格型号、数量、单价（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到厂含</w:t>
      </w:r>
      <w:r>
        <w:rPr>
          <w:rFonts w:hint="eastAsia" w:ascii="黑体" w:hAnsi="黑体" w:eastAsia="黑体" w:cs="黑体"/>
          <w:sz w:val="28"/>
          <w:szCs w:val="28"/>
        </w:rPr>
        <w:t>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价</w:t>
      </w:r>
      <w:r>
        <w:rPr>
          <w:rFonts w:hint="eastAsia" w:ascii="黑体" w:hAnsi="黑体" w:eastAsia="黑体" w:cs="黑体"/>
          <w:sz w:val="28"/>
          <w:szCs w:val="28"/>
        </w:rPr>
        <w:t>）、合计金额、交货期、付款方式等（若询价约定的标的物交货期、付款方式、质保期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所有上述资料组成响应性文件，比选申请人需将响应性文件打印盖章后，以电子文件方式（PDF、扫描文件等）上传至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。</w:t>
      </w:r>
    </w:p>
    <w:p w14:paraId="0BDA6A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Chars="0"/>
        <w:textAlignment w:val="auto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8.响应性文件的要求</w:t>
      </w:r>
    </w:p>
    <w:p w14:paraId="5C2DC8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Chars="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①比选申请人需提供</w:t>
      </w:r>
      <w:bookmarkStart w:id="0" w:name="OLE_LINK4"/>
      <w:bookmarkStart w:id="1" w:name="OLE_LINK3"/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营业执照（三证合一）</w:t>
      </w:r>
      <w:bookmarkEnd w:id="0"/>
      <w:bookmarkEnd w:id="1"/>
    </w:p>
    <w:p w14:paraId="7FC42B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Chars="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②报价</w:t>
      </w:r>
    </w:p>
    <w:p w14:paraId="232725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③</w: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  <w:t>易损件清单及价格（后期配件清单）</w:t>
      </w:r>
    </w:p>
    <w:p w14:paraId="43166E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  <w:t>④业绩</w:t>
      </w:r>
      <w:bookmarkStart w:id="19" w:name="_GoBack"/>
      <w:bookmarkEnd w:id="19"/>
    </w:p>
    <w:p w14:paraId="3A97C4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  <w:t>⑤随机配件清单</w:t>
      </w:r>
    </w:p>
    <w:p w14:paraId="54DDC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评审</w:t>
      </w:r>
      <w:r>
        <w:rPr>
          <w:rFonts w:hint="eastAsia" w:ascii="黑体" w:hAnsi="黑体" w:eastAsia="黑体" w:cs="Times New Roman"/>
          <w:sz w:val="28"/>
          <w:szCs w:val="28"/>
        </w:rPr>
        <w:t>时不保证最低价中选，但充分注意合理的最低报价。</w:t>
      </w:r>
    </w:p>
    <w:p w14:paraId="56674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0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交送报价文件前，供应商方可自愿前来我公司进行实地考查、技术交流或咨询。</w:t>
      </w:r>
    </w:p>
    <w:p w14:paraId="440F1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联系人：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侯先生  13881082126</w:t>
      </w:r>
    </w:p>
    <w:p w14:paraId="6ED43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20636B2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</w:pPr>
    </w:p>
    <w:p w14:paraId="7F114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5460" w:firstLineChars="1950"/>
        <w:jc w:val="left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17071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880" w:firstLineChars="2100"/>
        <w:textAlignment w:val="auto"/>
        <w:rPr>
          <w:rFonts w:hint="eastAsia"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24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329BA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337" w:firstLineChars="1200"/>
        <w:jc w:val="both"/>
        <w:textAlignment w:val="auto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  <w:bookmarkStart w:id="2" w:name="_Toc303149804"/>
      <w:bookmarkStart w:id="3" w:name="_Toc238552273"/>
      <w:bookmarkStart w:id="4" w:name="_Toc275019836"/>
      <w:bookmarkStart w:id="5" w:name="_Hlk155791057"/>
      <w:bookmarkStart w:id="6" w:name="_Toc268793030"/>
      <w:bookmarkStart w:id="7" w:name="_Toc269113527"/>
      <w:bookmarkStart w:id="8" w:name="_Toc275019684"/>
      <w:bookmarkStart w:id="9" w:name="_Toc318986166"/>
      <w:bookmarkStart w:id="10" w:name="_Toc275014947"/>
      <w:bookmarkStart w:id="11" w:name="_Toc274596702"/>
      <w:bookmarkStart w:id="12" w:name="_Toc238797630"/>
      <w:bookmarkStart w:id="13" w:name="_Toc274236999"/>
      <w:bookmarkStart w:id="14" w:name="_Toc16684"/>
      <w:bookmarkStart w:id="15" w:name="_Toc275019290"/>
    </w:p>
    <w:p w14:paraId="78637A7A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3758C900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244B9658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61121081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44E66596">
      <w:pPr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5EE89FF4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/>
          <w:color w:val="auto"/>
          <w:kern w:val="0"/>
          <w:szCs w:val="21"/>
          <w:lang w:val="en-US" w:eastAsia="zh-CN"/>
        </w:rPr>
        <w:t xml:space="preserve"> </w:t>
      </w:r>
    </w:p>
    <w:p w14:paraId="1616DC4C">
      <w:pPr>
        <w:pStyle w:val="2"/>
        <w:spacing w:before="156" w:after="156"/>
        <w:jc w:val="center"/>
        <w:rPr>
          <w:rFonts w:hint="eastAsia"/>
          <w:sz w:val="36"/>
          <w:szCs w:val="52"/>
        </w:rPr>
      </w:pPr>
      <w:r>
        <w:rPr>
          <w:rFonts w:hint="eastAsia"/>
          <w:sz w:val="36"/>
          <w:szCs w:val="52"/>
          <w:lang w:val="en-US" w:eastAsia="zh-CN"/>
        </w:rPr>
        <w:t xml:space="preserve">  </w:t>
      </w:r>
      <w:r>
        <w:rPr>
          <w:rFonts w:hint="eastAsia"/>
          <w:sz w:val="36"/>
          <w:szCs w:val="52"/>
        </w:rPr>
        <w:t>四川宏达股份有限公司</w:t>
      </w:r>
    </w:p>
    <w:p w14:paraId="01F27BD2">
      <w:pPr>
        <w:ind w:firstLine="2520" w:firstLineChars="900"/>
        <w:jc w:val="both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双主机塑料挤出复膜机组900型</w:t>
      </w:r>
    </w:p>
    <w:p w14:paraId="02D50D3C">
      <w:pPr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一、</w:t>
      </w:r>
      <w:r>
        <w:rPr>
          <w:rFonts w:asciiTheme="minorEastAsia" w:hAnsiTheme="minorEastAsia" w:eastAsiaTheme="minorEastAsia"/>
          <w:sz w:val="28"/>
          <w:szCs w:val="28"/>
        </w:rPr>
        <w:t>技术标准及要求：</w:t>
      </w:r>
    </w:p>
    <w:tbl>
      <w:tblPr>
        <w:tblStyle w:val="19"/>
        <w:tblW w:w="8855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0"/>
        <w:gridCol w:w="4095"/>
        <w:gridCol w:w="1630"/>
      </w:tblGrid>
      <w:tr w14:paraId="46EAB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47D23">
            <w:pPr>
              <w:spacing w:line="420" w:lineRule="exact"/>
              <w:jc w:val="center"/>
              <w:rPr>
                <w:rFonts w:cs="仿宋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仿宋" w:asciiTheme="minorEastAsia" w:hAnsiTheme="minorEastAsia" w:eastAsiaTheme="minorEastAsia"/>
                <w:sz w:val="22"/>
                <w:szCs w:val="22"/>
              </w:rPr>
              <w:t>规格要求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471E9">
            <w:pPr>
              <w:spacing w:line="420" w:lineRule="exact"/>
              <w:jc w:val="center"/>
              <w:rPr>
                <w:rFonts w:cs="仿宋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仿宋" w:asciiTheme="minorEastAsia" w:hAnsiTheme="minorEastAsia" w:eastAsiaTheme="minorEastAsia"/>
                <w:sz w:val="22"/>
                <w:szCs w:val="22"/>
              </w:rPr>
              <w:t>参数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FD4ECA0">
            <w:pPr>
              <w:spacing w:line="420" w:lineRule="exact"/>
              <w:jc w:val="center"/>
              <w:rPr>
                <w:rFonts w:cs="仿宋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仿宋" w:asciiTheme="minorEastAsia" w:hAnsiTheme="minorEastAsia" w:eastAsiaTheme="minorEastAsia"/>
                <w:sz w:val="22"/>
                <w:szCs w:val="22"/>
              </w:rPr>
              <w:t>备注</w:t>
            </w:r>
          </w:p>
        </w:tc>
      </w:tr>
      <w:tr w14:paraId="642DC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82E08">
            <w:pPr>
              <w:spacing w:line="420" w:lineRule="exact"/>
              <w:jc w:val="left"/>
              <w:rPr>
                <w:rFonts w:cs="仿宋" w:asciiTheme="minorEastAsia" w:hAnsiTheme="minorEastAsia" w:eastAsiaTheme="minorEastAsia"/>
                <w:sz w:val="22"/>
                <w:szCs w:val="22"/>
              </w:rPr>
            </w:pPr>
            <w:r>
              <w:rPr>
                <w:rFonts w:cs="仿宋" w:asciiTheme="minorEastAsia" w:hAnsiTheme="minorEastAsia" w:eastAsiaTheme="minorEastAsia"/>
                <w:sz w:val="22"/>
                <w:szCs w:val="22"/>
              </w:rPr>
              <w:t>规格型号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EA3C0">
            <w:pPr>
              <w:spacing w:line="420" w:lineRule="exact"/>
              <w:rPr>
                <w:rFonts w:cs="仿宋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仿宋" w:asciiTheme="minorEastAsia" w:hAnsiTheme="minorEastAsia" w:eastAsiaTheme="minorEastAsia"/>
                <w:sz w:val="22"/>
                <w:szCs w:val="22"/>
              </w:rPr>
              <w:t>900型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920CFF3">
            <w:pPr>
              <w:spacing w:line="420" w:lineRule="exact"/>
              <w:jc w:val="center"/>
              <w:rPr>
                <w:rFonts w:cs="仿宋" w:asciiTheme="minorEastAsia" w:hAnsiTheme="minorEastAsia" w:eastAsiaTheme="minorEastAsia"/>
                <w:sz w:val="22"/>
                <w:szCs w:val="22"/>
              </w:rPr>
            </w:pPr>
          </w:p>
        </w:tc>
      </w:tr>
      <w:tr w14:paraId="222F2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E8FB3">
            <w:pPr>
              <w:spacing w:line="420" w:lineRule="exact"/>
              <w:jc w:val="left"/>
              <w:rPr>
                <w:rFonts w:cs="仿宋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仿宋" w:asciiTheme="minorEastAsia" w:hAnsiTheme="minorEastAsia" w:eastAsiaTheme="minorEastAsia"/>
                <w:sz w:val="22"/>
                <w:szCs w:val="22"/>
              </w:rPr>
              <w:t>覆膜产品宽度(mm)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46E18">
            <w:pPr>
              <w:spacing w:line="420" w:lineRule="exact"/>
              <w:rPr>
                <w:rFonts w:hint="default" w:cs="仿宋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2"/>
                <w:szCs w:val="22"/>
                <w:lang w:val="en-US" w:eastAsia="zh-CN"/>
              </w:rPr>
              <w:t>300</w:t>
            </w:r>
            <w:r>
              <w:rPr>
                <w:rFonts w:hint="eastAsia" w:cs="仿宋" w:asciiTheme="minorEastAsia" w:hAnsiTheme="minorEastAsia" w:eastAsiaTheme="minorEastAsia"/>
                <w:sz w:val="22"/>
                <w:szCs w:val="22"/>
              </w:rPr>
              <w:t>-</w:t>
            </w:r>
            <w:r>
              <w:rPr>
                <w:rFonts w:hint="eastAsia" w:cs="仿宋" w:asciiTheme="minorEastAsia" w:hAnsiTheme="minorEastAsia" w:eastAsiaTheme="minorEastAsia"/>
                <w:sz w:val="22"/>
                <w:szCs w:val="22"/>
                <w:lang w:val="en-US" w:eastAsia="zh-CN"/>
              </w:rPr>
              <w:t>750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9C0DF5B">
            <w:pPr>
              <w:spacing w:line="420" w:lineRule="exact"/>
              <w:jc w:val="center"/>
              <w:rPr>
                <w:rFonts w:cs="仿宋" w:asciiTheme="minorEastAsia" w:hAnsiTheme="minorEastAsia" w:eastAsiaTheme="minorEastAsia"/>
                <w:sz w:val="22"/>
                <w:szCs w:val="22"/>
              </w:rPr>
            </w:pPr>
          </w:p>
        </w:tc>
      </w:tr>
      <w:tr w14:paraId="093F7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08805">
            <w:pPr>
              <w:spacing w:line="420" w:lineRule="exact"/>
              <w:jc w:val="left"/>
              <w:rPr>
                <w:rFonts w:cs="仿宋" w:asciiTheme="minorEastAsia" w:hAnsiTheme="minorEastAsia" w:eastAsiaTheme="minorEastAsia"/>
                <w:sz w:val="22"/>
                <w:szCs w:val="22"/>
              </w:rPr>
            </w:pPr>
            <w:r>
              <w:rPr>
                <w:rFonts w:cs="仿宋" w:asciiTheme="minorEastAsia" w:hAnsiTheme="minorEastAsia" w:eastAsiaTheme="minorEastAsia"/>
                <w:sz w:val="22"/>
                <w:szCs w:val="22"/>
              </w:rPr>
              <w:t>覆膜厚度（</w:t>
            </w:r>
            <w:r>
              <w:rPr>
                <w:rFonts w:hint="eastAsia" w:cs="仿宋" w:asciiTheme="minorEastAsia" w:hAnsiTheme="minorEastAsia" w:eastAsiaTheme="minorEastAsia"/>
                <w:sz w:val="22"/>
                <w:szCs w:val="22"/>
              </w:rPr>
              <w:t>mm</w:t>
            </w:r>
            <w:r>
              <w:rPr>
                <w:rFonts w:cs="仿宋" w:asciiTheme="minorEastAsia" w:hAnsiTheme="minorEastAsia" w:eastAsiaTheme="minorEastAsia"/>
                <w:sz w:val="22"/>
                <w:szCs w:val="22"/>
              </w:rPr>
              <w:t>）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9711A">
            <w:pPr>
              <w:spacing w:line="420" w:lineRule="exact"/>
              <w:rPr>
                <w:rFonts w:cs="仿宋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仿宋" w:asciiTheme="minorEastAsia" w:hAnsiTheme="minorEastAsia" w:eastAsiaTheme="minorEastAsia"/>
                <w:sz w:val="22"/>
                <w:szCs w:val="22"/>
              </w:rPr>
              <w:t>0.008-0.04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559EF25">
            <w:pPr>
              <w:spacing w:line="420" w:lineRule="exact"/>
              <w:jc w:val="center"/>
              <w:rPr>
                <w:rFonts w:cs="仿宋" w:asciiTheme="minorEastAsia" w:hAnsiTheme="minorEastAsia" w:eastAsiaTheme="minorEastAsia"/>
                <w:sz w:val="22"/>
                <w:szCs w:val="22"/>
              </w:rPr>
            </w:pPr>
          </w:p>
        </w:tc>
      </w:tr>
      <w:tr w14:paraId="12EDF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87531">
            <w:pPr>
              <w:spacing w:line="420" w:lineRule="exact"/>
              <w:jc w:val="left"/>
              <w:rPr>
                <w:rFonts w:cs="仿宋" w:asciiTheme="minorEastAsia" w:hAnsiTheme="minorEastAsia" w:eastAsiaTheme="minorEastAsia"/>
                <w:sz w:val="22"/>
                <w:szCs w:val="22"/>
              </w:rPr>
            </w:pPr>
            <w:r>
              <w:rPr>
                <w:rFonts w:cs="仿宋" w:asciiTheme="minorEastAsia" w:hAnsiTheme="minorEastAsia" w:eastAsiaTheme="minorEastAsia"/>
                <w:sz w:val="22"/>
                <w:szCs w:val="22"/>
              </w:rPr>
              <w:t>覆膜</w:t>
            </w:r>
            <w:r>
              <w:rPr>
                <w:rFonts w:hint="eastAsia" w:cs="仿宋" w:asciiTheme="minorEastAsia" w:hAnsiTheme="minorEastAsia" w:eastAsiaTheme="minorEastAsia"/>
                <w:sz w:val="22"/>
                <w:szCs w:val="22"/>
                <w:lang w:val="en-US" w:eastAsia="zh-CN"/>
              </w:rPr>
              <w:t>设计</w:t>
            </w:r>
            <w:r>
              <w:rPr>
                <w:rFonts w:cs="仿宋" w:asciiTheme="minorEastAsia" w:hAnsiTheme="minorEastAsia" w:eastAsiaTheme="minorEastAsia"/>
                <w:sz w:val="22"/>
                <w:szCs w:val="22"/>
              </w:rPr>
              <w:t>机</w:t>
            </w:r>
            <w:r>
              <w:rPr>
                <w:rFonts w:hint="eastAsia" w:cs="仿宋" w:asciiTheme="minorEastAsia" w:hAnsiTheme="minorEastAsia" w:eastAsiaTheme="minorEastAsia"/>
                <w:sz w:val="22"/>
                <w:szCs w:val="22"/>
              </w:rPr>
              <w:t>械线速度（m/min）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8674B">
            <w:pPr>
              <w:spacing w:line="420" w:lineRule="exact"/>
              <w:rPr>
                <w:rFonts w:cs="仿宋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仿宋" w:asciiTheme="minorEastAsia" w:hAnsiTheme="minorEastAsia" w:eastAsiaTheme="minorEastAsia"/>
                <w:sz w:val="22"/>
                <w:szCs w:val="22"/>
              </w:rPr>
              <w:t>20</w:t>
            </w:r>
            <w:r>
              <w:rPr>
                <w:rFonts w:hint="eastAsia" w:cs="仿宋" w:asciiTheme="minorEastAsia" w:hAnsiTheme="minorEastAsia" w:eastAsiaTheme="minorEastAsia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cs="仿宋" w:asciiTheme="minorEastAsia" w:hAnsiTheme="minorEastAsia" w:eastAsiaTheme="minorEastAsia"/>
                <w:sz w:val="22"/>
                <w:szCs w:val="22"/>
              </w:rPr>
              <w:t>-230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FA80117">
            <w:pPr>
              <w:spacing w:line="420" w:lineRule="exact"/>
              <w:jc w:val="center"/>
              <w:rPr>
                <w:rFonts w:cs="仿宋" w:asciiTheme="minorEastAsia" w:hAnsiTheme="minorEastAsia" w:eastAsiaTheme="minorEastAsia"/>
                <w:sz w:val="22"/>
                <w:szCs w:val="22"/>
              </w:rPr>
            </w:pPr>
          </w:p>
        </w:tc>
      </w:tr>
      <w:tr w14:paraId="5E913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B6112">
            <w:pPr>
              <w:spacing w:line="420" w:lineRule="exact"/>
              <w:jc w:val="left"/>
              <w:rPr>
                <w:rFonts w:cs="仿宋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仿宋" w:asciiTheme="minorEastAsia" w:hAnsiTheme="minorEastAsia" w:eastAsiaTheme="minorEastAsia"/>
                <w:sz w:val="22"/>
                <w:szCs w:val="22"/>
              </w:rPr>
              <w:t>覆膜生产速度(m/min)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F69E1">
            <w:pPr>
              <w:spacing w:line="420" w:lineRule="exact"/>
              <w:rPr>
                <w:rFonts w:hint="eastAsia" w:cs="仿宋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2"/>
                <w:szCs w:val="22"/>
                <w:lang w:val="en-US" w:eastAsia="zh-CN"/>
              </w:rPr>
              <w:t>180</w:t>
            </w:r>
            <w:r>
              <w:rPr>
                <w:rFonts w:hint="eastAsia" w:cs="仿宋" w:asciiTheme="minorEastAsia" w:hAnsiTheme="minorEastAsia" w:eastAsiaTheme="minorEastAsia"/>
                <w:sz w:val="22"/>
                <w:szCs w:val="22"/>
              </w:rPr>
              <w:t>-22</w:t>
            </w:r>
            <w:r>
              <w:rPr>
                <w:rFonts w:hint="eastAsia" w:cs="仿宋" w:asciiTheme="minorEastAsia" w:hAnsiTheme="minorEastAsia" w:eastAsiaTheme="minor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90E9E99">
            <w:pPr>
              <w:spacing w:line="420" w:lineRule="exact"/>
              <w:jc w:val="center"/>
              <w:rPr>
                <w:rFonts w:cs="仿宋" w:asciiTheme="minorEastAsia" w:hAnsiTheme="minorEastAsia" w:eastAsiaTheme="minorEastAsia"/>
                <w:sz w:val="22"/>
                <w:szCs w:val="22"/>
              </w:rPr>
            </w:pPr>
          </w:p>
        </w:tc>
      </w:tr>
      <w:tr w14:paraId="1B89D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F710F">
            <w:pPr>
              <w:spacing w:line="420" w:lineRule="exact"/>
              <w:jc w:val="left"/>
              <w:rPr>
                <w:rFonts w:cs="仿宋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仿宋" w:asciiTheme="minorEastAsia" w:hAnsiTheme="minorEastAsia" w:eastAsiaTheme="minorEastAsia"/>
                <w:sz w:val="22"/>
                <w:szCs w:val="22"/>
              </w:rPr>
              <w:t>螺杆转速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4AE84">
            <w:pPr>
              <w:spacing w:line="420" w:lineRule="exact"/>
              <w:rPr>
                <w:rFonts w:cs="仿宋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仿宋" w:asciiTheme="minorEastAsia" w:hAnsiTheme="minorEastAsia" w:eastAsiaTheme="minorEastAsia"/>
                <w:sz w:val="22"/>
                <w:szCs w:val="22"/>
              </w:rPr>
              <w:t>10</w:t>
            </w:r>
            <w:r>
              <w:rPr>
                <w:rFonts w:hint="eastAsia" w:cs="仿宋" w:asciiTheme="minorEastAsia" w:hAnsiTheme="minorEastAsia" w:eastAsiaTheme="minorEastAsia"/>
                <w:sz w:val="22"/>
                <w:szCs w:val="22"/>
                <w:lang w:val="en-US" w:eastAsia="zh-CN"/>
              </w:rPr>
              <w:t>0-105</w:t>
            </w:r>
            <w:r>
              <w:rPr>
                <w:rFonts w:hint="eastAsia" w:cs="仿宋" w:asciiTheme="minorEastAsia" w:hAnsiTheme="minorEastAsia" w:eastAsiaTheme="minorEastAsia"/>
                <w:sz w:val="22"/>
                <w:szCs w:val="22"/>
              </w:rPr>
              <w:t>r/min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1E6504B">
            <w:pPr>
              <w:spacing w:line="420" w:lineRule="exact"/>
              <w:jc w:val="center"/>
              <w:rPr>
                <w:rFonts w:cs="仿宋" w:asciiTheme="minorEastAsia" w:hAnsiTheme="minorEastAsia" w:eastAsiaTheme="minorEastAsia"/>
                <w:sz w:val="22"/>
                <w:szCs w:val="22"/>
              </w:rPr>
            </w:pPr>
          </w:p>
        </w:tc>
      </w:tr>
      <w:tr w14:paraId="575AA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34CF4">
            <w:pPr>
              <w:spacing w:line="420" w:lineRule="exact"/>
              <w:jc w:val="left"/>
              <w:rPr>
                <w:rFonts w:cs="仿宋" w:asciiTheme="minorEastAsia" w:hAnsiTheme="minorEastAsia" w:eastAsiaTheme="minorEastAsia"/>
                <w:sz w:val="22"/>
                <w:szCs w:val="22"/>
              </w:rPr>
            </w:pPr>
            <w:r>
              <w:rPr>
                <w:rFonts w:cs="仿宋" w:asciiTheme="minorEastAsia" w:hAnsiTheme="minorEastAsia" w:eastAsiaTheme="minorEastAsia"/>
                <w:sz w:val="22"/>
                <w:szCs w:val="22"/>
              </w:rPr>
              <w:t>最大挤出量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D9617">
            <w:pPr>
              <w:spacing w:line="420" w:lineRule="exact"/>
              <w:rPr>
                <w:rFonts w:cs="仿宋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仿宋" w:asciiTheme="minorEastAsia" w:hAnsiTheme="minorEastAsia" w:eastAsiaTheme="minorEastAsia"/>
                <w:sz w:val="22"/>
                <w:szCs w:val="22"/>
                <w:lang w:val="en-US" w:eastAsia="zh-CN"/>
              </w:rPr>
              <w:t>100-</w:t>
            </w:r>
            <w:r>
              <w:rPr>
                <w:rFonts w:hint="eastAsia" w:cs="仿宋" w:asciiTheme="minorEastAsia" w:hAnsiTheme="minorEastAsia" w:eastAsiaTheme="minorEastAsia"/>
                <w:sz w:val="22"/>
                <w:szCs w:val="22"/>
              </w:rPr>
              <w:t>135kg/h(单机)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8FEB157">
            <w:pPr>
              <w:spacing w:line="420" w:lineRule="exact"/>
              <w:jc w:val="center"/>
              <w:rPr>
                <w:rFonts w:cs="仿宋" w:asciiTheme="minorEastAsia" w:hAnsiTheme="minorEastAsia" w:eastAsiaTheme="minorEastAsia"/>
                <w:sz w:val="22"/>
                <w:szCs w:val="22"/>
              </w:rPr>
            </w:pPr>
          </w:p>
        </w:tc>
      </w:tr>
      <w:tr w14:paraId="00CCE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F6640">
            <w:pPr>
              <w:spacing w:line="420" w:lineRule="exact"/>
              <w:jc w:val="left"/>
              <w:rPr>
                <w:rFonts w:cs="仿宋" w:asciiTheme="minorEastAsia" w:hAnsiTheme="minorEastAsia" w:eastAsiaTheme="minorEastAsia"/>
                <w:sz w:val="22"/>
                <w:szCs w:val="22"/>
              </w:rPr>
            </w:pPr>
            <w:r>
              <w:rPr>
                <w:rFonts w:cs="仿宋" w:asciiTheme="minorEastAsia" w:hAnsiTheme="minorEastAsia" w:eastAsiaTheme="minorEastAsia"/>
                <w:sz w:val="22"/>
                <w:szCs w:val="22"/>
              </w:rPr>
              <w:t>模头宽度（</w:t>
            </w:r>
            <w:r>
              <w:rPr>
                <w:rFonts w:hint="eastAsia" w:cs="仿宋" w:asciiTheme="minorEastAsia" w:hAnsiTheme="minorEastAsia" w:eastAsiaTheme="minorEastAsia"/>
                <w:sz w:val="22"/>
                <w:szCs w:val="22"/>
              </w:rPr>
              <w:t>mm</w:t>
            </w:r>
            <w:r>
              <w:rPr>
                <w:rFonts w:cs="仿宋" w:asciiTheme="minorEastAsia" w:hAnsiTheme="minorEastAsia" w:eastAsiaTheme="minorEastAsia"/>
                <w:sz w:val="22"/>
                <w:szCs w:val="22"/>
              </w:rPr>
              <w:t>）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D1172">
            <w:pPr>
              <w:spacing w:line="420" w:lineRule="exact"/>
              <w:rPr>
                <w:rFonts w:cs="仿宋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仿宋" w:asciiTheme="minorEastAsia" w:hAnsiTheme="minorEastAsia" w:eastAsiaTheme="minorEastAsia"/>
                <w:sz w:val="22"/>
                <w:szCs w:val="22"/>
              </w:rPr>
              <w:t>1000-1050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7E7BFA9">
            <w:pPr>
              <w:spacing w:line="420" w:lineRule="exact"/>
              <w:jc w:val="center"/>
              <w:rPr>
                <w:rFonts w:cs="仿宋" w:asciiTheme="minorEastAsia" w:hAnsiTheme="minorEastAsia" w:eastAsiaTheme="minorEastAsia"/>
                <w:sz w:val="22"/>
                <w:szCs w:val="22"/>
              </w:rPr>
            </w:pPr>
          </w:p>
        </w:tc>
      </w:tr>
      <w:tr w14:paraId="3149B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282C3">
            <w:pPr>
              <w:spacing w:line="420" w:lineRule="exact"/>
              <w:jc w:val="left"/>
              <w:rPr>
                <w:rFonts w:cs="仿宋" w:asciiTheme="minorEastAsia" w:hAnsiTheme="minorEastAsia" w:eastAsiaTheme="minorEastAsia"/>
                <w:sz w:val="22"/>
                <w:szCs w:val="22"/>
              </w:rPr>
            </w:pPr>
            <w:r>
              <w:rPr>
                <w:rFonts w:cs="仿宋" w:asciiTheme="minorEastAsia" w:hAnsiTheme="minorEastAsia" w:eastAsiaTheme="minorEastAsia"/>
                <w:sz w:val="22"/>
                <w:szCs w:val="22"/>
              </w:rPr>
              <w:t>收放卷最大直径（</w:t>
            </w:r>
            <w:r>
              <w:rPr>
                <w:rFonts w:hint="eastAsia" w:cs="仿宋" w:asciiTheme="minorEastAsia" w:hAnsiTheme="minorEastAsia" w:eastAsiaTheme="minorEastAsia"/>
                <w:sz w:val="22"/>
                <w:szCs w:val="22"/>
              </w:rPr>
              <w:t>mm</w:t>
            </w:r>
            <w:r>
              <w:rPr>
                <w:rFonts w:cs="仿宋" w:asciiTheme="minorEastAsia" w:hAnsiTheme="minorEastAsia" w:eastAsiaTheme="minorEastAsia"/>
                <w:sz w:val="22"/>
                <w:szCs w:val="22"/>
              </w:rPr>
              <w:t>）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44AF3">
            <w:pPr>
              <w:spacing w:line="420" w:lineRule="exact"/>
              <w:rPr>
                <w:rFonts w:hint="eastAsia" w:cs="仿宋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2"/>
                <w:szCs w:val="22"/>
              </w:rPr>
              <w:t>φ1</w:t>
            </w:r>
            <w:r>
              <w:rPr>
                <w:rFonts w:hint="eastAsia" w:cs="仿宋" w:asciiTheme="minorEastAsia" w:hAnsiTheme="minorEastAsia" w:eastAsiaTheme="minorEastAsia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cs="仿宋" w:asciiTheme="minorEastAsia" w:hAnsiTheme="minorEastAsia" w:eastAsiaTheme="minorEastAsia"/>
                <w:sz w:val="22"/>
                <w:szCs w:val="22"/>
              </w:rPr>
              <w:t>00</w:t>
            </w:r>
            <w:r>
              <w:rPr>
                <w:rFonts w:hint="eastAsia" w:cs="仿宋" w:asciiTheme="minorEastAsia" w:hAnsiTheme="minorEastAsia" w:eastAsiaTheme="minorEastAsia"/>
                <w:sz w:val="22"/>
                <w:szCs w:val="22"/>
                <w:lang w:val="en-US" w:eastAsia="zh-CN"/>
              </w:rPr>
              <w:t>+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2AB7888">
            <w:pPr>
              <w:spacing w:line="420" w:lineRule="exact"/>
              <w:jc w:val="center"/>
              <w:rPr>
                <w:rFonts w:cs="仿宋" w:asciiTheme="minorEastAsia" w:hAnsiTheme="minorEastAsia" w:eastAsiaTheme="minorEastAsia"/>
                <w:sz w:val="22"/>
                <w:szCs w:val="22"/>
              </w:rPr>
            </w:pPr>
          </w:p>
        </w:tc>
      </w:tr>
      <w:tr w14:paraId="31F4C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54635">
            <w:pPr>
              <w:spacing w:line="420" w:lineRule="exact"/>
              <w:jc w:val="left"/>
              <w:rPr>
                <w:rFonts w:cs="仿宋" w:asciiTheme="minorEastAsia" w:hAnsiTheme="minorEastAsia" w:eastAsiaTheme="minorEastAsia"/>
                <w:sz w:val="22"/>
                <w:szCs w:val="22"/>
              </w:rPr>
            </w:pPr>
            <w:r>
              <w:rPr>
                <w:rFonts w:cs="仿宋" w:asciiTheme="minorEastAsia" w:hAnsiTheme="minorEastAsia" w:eastAsiaTheme="minorEastAsia"/>
                <w:sz w:val="22"/>
                <w:szCs w:val="22"/>
              </w:rPr>
              <w:t>放卷</w:t>
            </w:r>
            <w:r>
              <w:rPr>
                <w:rFonts w:hint="eastAsia" w:cs="仿宋" w:asciiTheme="minorEastAsia" w:hAnsiTheme="minorEastAsia" w:eastAsiaTheme="minorEastAsia"/>
                <w:sz w:val="22"/>
                <w:szCs w:val="22"/>
              </w:rPr>
              <w:t>EPC自动纠偏行程（mm）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643AE">
            <w:pPr>
              <w:spacing w:line="420" w:lineRule="exact"/>
              <w:rPr>
                <w:rFonts w:cs="仿宋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仿宋" w:asciiTheme="minorEastAsia" w:hAnsiTheme="minorEastAsia" w:eastAsiaTheme="minorEastAsia"/>
                <w:sz w:val="22"/>
                <w:szCs w:val="22"/>
              </w:rPr>
              <w:t>±100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24F6E1A">
            <w:pPr>
              <w:spacing w:line="420" w:lineRule="exact"/>
              <w:jc w:val="center"/>
              <w:rPr>
                <w:rFonts w:cs="仿宋" w:asciiTheme="minorEastAsia" w:hAnsiTheme="minorEastAsia" w:eastAsiaTheme="minorEastAsia"/>
                <w:sz w:val="22"/>
                <w:szCs w:val="22"/>
              </w:rPr>
            </w:pPr>
          </w:p>
        </w:tc>
      </w:tr>
      <w:tr w14:paraId="51029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1C151">
            <w:pPr>
              <w:spacing w:line="420" w:lineRule="exact"/>
              <w:jc w:val="left"/>
              <w:rPr>
                <w:rFonts w:cs="仿宋" w:asciiTheme="minorEastAsia" w:hAnsiTheme="minorEastAsia" w:eastAsiaTheme="minorEastAsia"/>
                <w:sz w:val="22"/>
                <w:szCs w:val="22"/>
              </w:rPr>
            </w:pPr>
            <w:r>
              <w:rPr>
                <w:rFonts w:cs="仿宋" w:asciiTheme="minorEastAsia" w:hAnsiTheme="minorEastAsia" w:eastAsiaTheme="minorEastAsia"/>
                <w:sz w:val="22"/>
                <w:szCs w:val="22"/>
              </w:rPr>
              <w:t>高速横切刀</w:t>
            </w:r>
            <w:r>
              <w:rPr>
                <w:rFonts w:hint="eastAsia" w:cs="仿宋" w:asciiTheme="minorEastAsia" w:hAnsiTheme="minorEastAsia" w:eastAsiaTheme="minorEastAsia"/>
                <w:sz w:val="22"/>
                <w:szCs w:val="22"/>
              </w:rPr>
              <w:t>装置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EA70E">
            <w:pPr>
              <w:spacing w:line="420" w:lineRule="exact"/>
              <w:rPr>
                <w:rFonts w:cs="仿宋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仿宋" w:asciiTheme="minorEastAsia" w:hAnsiTheme="minorEastAsia" w:eastAsiaTheme="minorEastAsia"/>
                <w:sz w:val="22"/>
                <w:szCs w:val="22"/>
              </w:rPr>
              <w:t>120/m/min保证</w:t>
            </w:r>
            <w:r>
              <w:rPr>
                <w:rFonts w:hint="eastAsia" w:cs="仿宋" w:asciiTheme="minorEastAsia" w:hAnsiTheme="minorEastAsia" w:eastAsiaTheme="minorEastAsia"/>
                <w:sz w:val="22"/>
                <w:szCs w:val="22"/>
                <w:lang w:eastAsia="zh-CN"/>
              </w:rPr>
              <w:t>一次</w:t>
            </w:r>
            <w:r>
              <w:rPr>
                <w:rFonts w:hint="eastAsia" w:cs="仿宋" w:asciiTheme="minorEastAsia" w:hAnsiTheme="minorEastAsia" w:eastAsiaTheme="minorEastAsia"/>
                <w:sz w:val="22"/>
                <w:szCs w:val="22"/>
              </w:rPr>
              <w:t>切断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0CD7191">
            <w:pPr>
              <w:spacing w:line="420" w:lineRule="exact"/>
              <w:jc w:val="center"/>
              <w:rPr>
                <w:rFonts w:cs="仿宋" w:asciiTheme="minorEastAsia" w:hAnsiTheme="minorEastAsia" w:eastAsiaTheme="minorEastAsia"/>
                <w:sz w:val="22"/>
                <w:szCs w:val="22"/>
              </w:rPr>
            </w:pPr>
          </w:p>
        </w:tc>
      </w:tr>
      <w:tr w14:paraId="04DF6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AF365">
            <w:pPr>
              <w:tabs>
                <w:tab w:val="center" w:pos="1457"/>
              </w:tabs>
              <w:spacing w:line="420" w:lineRule="exact"/>
              <w:jc w:val="left"/>
              <w:rPr>
                <w:rFonts w:hint="eastAsia" w:cs="仿宋" w:asciiTheme="minorEastAsia" w:hAnsiTheme="minorEastAsia" w:eastAsiaTheme="minorEastAsia"/>
                <w:sz w:val="22"/>
                <w:szCs w:val="22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sz w:val="22"/>
                <w:szCs w:val="22"/>
              </w:rPr>
              <w:t>冷水机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B326C">
            <w:pPr>
              <w:spacing w:line="420" w:lineRule="exact"/>
              <w:rPr>
                <w:rFonts w:cs="仿宋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67B3D30">
            <w:pPr>
              <w:spacing w:line="420" w:lineRule="exact"/>
              <w:jc w:val="center"/>
              <w:rPr>
                <w:rFonts w:cs="仿宋" w:asciiTheme="minorEastAsia" w:hAnsiTheme="minorEastAsia" w:eastAsiaTheme="minorEastAsia"/>
                <w:sz w:val="22"/>
                <w:szCs w:val="22"/>
              </w:rPr>
            </w:pPr>
          </w:p>
        </w:tc>
      </w:tr>
      <w:tr w14:paraId="6C515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17D40">
            <w:pPr>
              <w:spacing w:line="420" w:lineRule="exact"/>
              <w:jc w:val="left"/>
              <w:rPr>
                <w:rFonts w:hint="eastAsia" w:cs="仿宋" w:asciiTheme="minorEastAsia" w:hAnsiTheme="minor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2"/>
                <w:szCs w:val="22"/>
                <w:lang w:eastAsia="zh-CN"/>
              </w:rPr>
              <w:t>边料回收系统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9B2C1">
            <w:pPr>
              <w:spacing w:line="420" w:lineRule="exact"/>
              <w:jc w:val="center"/>
              <w:rPr>
                <w:rFonts w:cs="仿宋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F5C3E80">
            <w:pPr>
              <w:spacing w:line="420" w:lineRule="exact"/>
              <w:jc w:val="center"/>
              <w:rPr>
                <w:rFonts w:cs="仿宋" w:asciiTheme="minorEastAsia" w:hAnsiTheme="minorEastAsia" w:eastAsiaTheme="minorEastAsia"/>
                <w:sz w:val="22"/>
                <w:szCs w:val="22"/>
              </w:rPr>
            </w:pPr>
          </w:p>
        </w:tc>
      </w:tr>
      <w:tr w14:paraId="5D048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D6766">
            <w:pPr>
              <w:spacing w:line="420" w:lineRule="exact"/>
              <w:jc w:val="left"/>
              <w:rPr>
                <w:rFonts w:cs="仿宋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CAF9D">
            <w:pPr>
              <w:spacing w:line="420" w:lineRule="exact"/>
              <w:rPr>
                <w:rFonts w:cs="仿宋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826933A">
            <w:pPr>
              <w:spacing w:line="420" w:lineRule="exact"/>
              <w:jc w:val="center"/>
              <w:rPr>
                <w:rFonts w:cs="仿宋" w:asciiTheme="minorEastAsia" w:hAnsiTheme="minorEastAsia" w:eastAsiaTheme="minorEastAsia"/>
                <w:sz w:val="22"/>
                <w:szCs w:val="22"/>
              </w:rPr>
            </w:pPr>
          </w:p>
        </w:tc>
      </w:tr>
    </w:tbl>
    <w:p w14:paraId="427CD234">
      <w:pPr>
        <w:numPr>
          <w:ilvl w:val="0"/>
          <w:numId w:val="0"/>
        </w:numPr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二、</w:t>
      </w:r>
      <w:r>
        <w:rPr>
          <w:rFonts w:hint="eastAsia" w:asciiTheme="minorEastAsia" w:hAnsiTheme="minorEastAsia" w:eastAsiaTheme="minorEastAsia"/>
          <w:sz w:val="28"/>
          <w:szCs w:val="28"/>
        </w:rPr>
        <w:t>设备技术性能:</w:t>
      </w:r>
    </w:p>
    <w:p w14:paraId="262CE365">
      <w:pPr>
        <w:jc w:val="left"/>
        <w:rPr>
          <w:rFonts w:cs="华文仿宋"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cs="华文仿宋" w:asciiTheme="minorEastAsia" w:hAnsiTheme="minorEastAsia" w:eastAsiaTheme="minorEastAsia"/>
          <w:color w:val="000000"/>
          <w:sz w:val="28"/>
          <w:szCs w:val="28"/>
        </w:rPr>
        <w:t>1、</w:t>
      </w:r>
      <w:r>
        <w:rPr>
          <w:rFonts w:hint="eastAsia" w:cs="华文仿宋" w:asciiTheme="minorEastAsia" w:hAnsiTheme="minorEastAsia" w:eastAsiaTheme="minorEastAsia"/>
          <w:color w:val="000000"/>
          <w:sz w:val="28"/>
          <w:szCs w:val="28"/>
          <w:lang w:val="zh-CN"/>
        </w:rPr>
        <w:t>挤出机调速系统、复合机调速系统、收卷机调速系统采用变频器驱动，控制系统采用</w:t>
      </w:r>
      <w:r>
        <w:rPr>
          <w:rFonts w:hint="eastAsia" w:cs="华文仿宋" w:asciiTheme="minorEastAsia" w:hAnsiTheme="minorEastAsia" w:eastAsiaTheme="minorEastAsia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西门子</w:t>
      </w:r>
      <w:r>
        <w:rPr>
          <w:rFonts w:hint="eastAsia" w:cs="华文仿宋" w:asciiTheme="minorEastAsia" w:hAnsiTheme="minorEastAsia" w:eastAsiaTheme="minorEastAsia"/>
          <w:color w:val="000000"/>
          <w:sz w:val="28"/>
          <w:szCs w:val="28"/>
        </w:rPr>
        <w:t>PLC</w:t>
      </w:r>
      <w:r>
        <w:rPr>
          <w:rFonts w:hint="eastAsia" w:cs="华文仿宋" w:asciiTheme="minorEastAsia" w:hAnsiTheme="minorEastAsia" w:eastAsiaTheme="minorEastAsia"/>
          <w:color w:val="000000"/>
          <w:sz w:val="28"/>
          <w:szCs w:val="28"/>
          <w:lang w:val="zh-CN"/>
        </w:rPr>
        <w:t>和中文触摸屏同步控制器系统来实现挤出机、复合机、</w:t>
      </w:r>
      <w:r>
        <w:rPr>
          <w:rFonts w:hint="eastAsia" w:cs="华文仿宋" w:asciiTheme="minorEastAsia" w:hAnsiTheme="minorEastAsia" w:eastAsiaTheme="minorEastAsia"/>
          <w:color w:val="000000"/>
          <w:sz w:val="28"/>
          <w:szCs w:val="28"/>
        </w:rPr>
        <w:t>BOPP</w:t>
      </w:r>
      <w:r>
        <w:rPr>
          <w:rFonts w:hint="eastAsia" w:cs="华文仿宋" w:asciiTheme="minorEastAsia" w:hAnsiTheme="minorEastAsia" w:eastAsiaTheme="minorEastAsia"/>
          <w:color w:val="000000"/>
          <w:sz w:val="28"/>
          <w:szCs w:val="28"/>
          <w:lang w:val="zh-CN"/>
        </w:rPr>
        <w:t>彩膜双面对色和收卷机的同步操作；操作人员通过友好的人机界面完成对整机的速度、班组生产记录、出错记录等在线检测功能，机组完全智能化，腹膜平方米克重可以在触摸屏直接输入，使腹膜克重更加准确，操作更加简单。</w:t>
      </w:r>
    </w:p>
    <w:p w14:paraId="027B67BF"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cs="华文仿宋" w:asciiTheme="minorEastAsia" w:hAnsiTheme="minorEastAsia" w:eastAsiaTheme="minorEastAsia"/>
          <w:color w:val="000000"/>
          <w:sz w:val="28"/>
          <w:szCs w:val="28"/>
        </w:rPr>
        <w:t>2、覆膜机组采用</w:t>
      </w:r>
      <w:r>
        <w:rPr>
          <w:rFonts w:hint="eastAsia" w:cs="华文仿宋" w:asciiTheme="minorEastAsia" w:hAnsiTheme="minorEastAsia" w:eastAsiaTheme="minorEastAsia"/>
          <w:color w:val="000000"/>
          <w:sz w:val="28"/>
          <w:szCs w:val="28"/>
          <w:lang w:eastAsia="zh-CN"/>
        </w:rPr>
        <w:t>双</w:t>
      </w:r>
      <w:r>
        <w:rPr>
          <w:rFonts w:hint="eastAsia" w:cs="华文仿宋" w:asciiTheme="minorEastAsia" w:hAnsiTheme="minorEastAsia" w:eastAsiaTheme="minorEastAsia"/>
          <w:color w:val="000000"/>
          <w:sz w:val="28"/>
          <w:szCs w:val="28"/>
        </w:rPr>
        <w:t>主机、双模头、</w:t>
      </w:r>
      <w:r>
        <w:rPr>
          <w:rFonts w:hint="eastAsia" w:cs="华文仿宋" w:asciiTheme="minorEastAsia" w:hAnsiTheme="minorEastAsia" w:eastAsiaTheme="minorEastAsia"/>
          <w:color w:val="000000"/>
          <w:sz w:val="28"/>
          <w:szCs w:val="28"/>
          <w:lang w:eastAsia="zh-CN"/>
        </w:rPr>
        <w:t>双</w:t>
      </w:r>
      <w:r>
        <w:rPr>
          <w:rFonts w:hint="eastAsia" w:cs="华文仿宋" w:asciiTheme="minorEastAsia" w:hAnsiTheme="minorEastAsia" w:eastAsiaTheme="minorEastAsia"/>
          <w:color w:val="000000"/>
          <w:sz w:val="28"/>
          <w:szCs w:val="28"/>
        </w:rPr>
        <w:t>复合辊、四工位BOPP彩膜放卷装置，</w:t>
      </w:r>
      <w:r>
        <w:rPr>
          <w:rFonts w:hint="eastAsia" w:cs="华文仿宋" w:asciiTheme="minorEastAsia" w:hAnsiTheme="minorEastAsia" w:eastAsiaTheme="minorEastAsia"/>
          <w:color w:val="000000"/>
          <w:sz w:val="28"/>
          <w:szCs w:val="28"/>
          <w:lang w:val="zh-CN"/>
        </w:rPr>
        <w:t>自动张力控制，</w:t>
      </w:r>
      <w:r>
        <w:rPr>
          <w:rFonts w:hint="eastAsia" w:cs="华文仿宋" w:asciiTheme="minorEastAsia" w:hAnsiTheme="minorEastAsia" w:eastAsiaTheme="minorEastAsia"/>
          <w:color w:val="000000"/>
          <w:sz w:val="28"/>
          <w:szCs w:val="28"/>
        </w:rPr>
        <w:t>可实现在一个生产流程中完成对圆织基布和彩膜 覆合在一次完成双面覆膜。</w:t>
      </w:r>
    </w:p>
    <w:p w14:paraId="38B19882"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3、双面彩膜对版自动换卷接膜系统，采用最先进相机视觉拍照系统，满足不同彩膜的双面图案自动对版要求。</w:t>
      </w:r>
      <w:r>
        <w:rPr>
          <w:rFonts w:hint="eastAsia" w:cs="华文仿宋" w:asciiTheme="minorEastAsia" w:hAnsiTheme="minorEastAsia" w:eastAsiaTheme="minorEastAsia"/>
          <w:color w:val="000000"/>
          <w:sz w:val="28"/>
          <w:szCs w:val="28"/>
          <w:lang w:val="zh-CN"/>
        </w:rPr>
        <w:t>相机对点根据</w:t>
      </w:r>
      <w:r>
        <w:rPr>
          <w:rFonts w:hint="eastAsia" w:cs="华文仿宋" w:asciiTheme="minorEastAsia" w:hAnsiTheme="minorEastAsia" w:eastAsiaTheme="minorEastAsia"/>
          <w:color w:val="000000"/>
          <w:sz w:val="28"/>
          <w:szCs w:val="28"/>
        </w:rPr>
        <w:t>BOPP</w:t>
      </w:r>
      <w:r>
        <w:rPr>
          <w:rFonts w:hint="eastAsia" w:cs="华文仿宋" w:asciiTheme="minorEastAsia" w:hAnsiTheme="minorEastAsia" w:eastAsiaTheme="minorEastAsia"/>
          <w:color w:val="000000"/>
          <w:sz w:val="28"/>
          <w:szCs w:val="28"/>
          <w:lang w:val="zh-CN"/>
        </w:rPr>
        <w:t>彩膜图案，任意挑选所要印刷颜色，复膜机保证双面复膜</w:t>
      </w:r>
      <w:r>
        <w:rPr>
          <w:rFonts w:hint="eastAsia" w:cs="华文仿宋" w:asciiTheme="minorEastAsia" w:hAnsiTheme="minorEastAsia" w:eastAsiaTheme="minorEastAsia"/>
          <w:color w:val="000000"/>
          <w:sz w:val="28"/>
          <w:szCs w:val="28"/>
        </w:rPr>
        <w:t>BOPP</w:t>
      </w:r>
      <w:r>
        <w:rPr>
          <w:rFonts w:hint="eastAsia" w:cs="华文仿宋" w:asciiTheme="minorEastAsia" w:hAnsiTheme="minorEastAsia" w:eastAsiaTheme="minorEastAsia"/>
          <w:color w:val="000000"/>
          <w:sz w:val="28"/>
          <w:szCs w:val="28"/>
          <w:lang w:val="zh-CN"/>
        </w:rPr>
        <w:t>彩膜对位误差小于</w:t>
      </w:r>
      <w:r>
        <w:rPr>
          <w:rFonts w:hint="eastAsia" w:cs="华文仿宋" w:asciiTheme="minorEastAsia" w:hAnsiTheme="minorEastAsia" w:eastAsiaTheme="minorEastAsia"/>
          <w:color w:val="000000"/>
          <w:sz w:val="28"/>
          <w:szCs w:val="28"/>
        </w:rPr>
        <w:t xml:space="preserve"> ±5mm,配膜卷吊装系统</w:t>
      </w:r>
      <w:r>
        <w:rPr>
          <w:rFonts w:hint="eastAsia" w:cs="华文仿宋" w:asciiTheme="minorEastAsia" w:hAnsiTheme="minorEastAsia" w:eastAsiaTheme="minorEastAsia"/>
          <w:color w:val="000000"/>
          <w:sz w:val="28"/>
          <w:szCs w:val="28"/>
          <w:lang w:val="zh-CN"/>
        </w:rPr>
        <w:t>。</w:t>
      </w:r>
    </w:p>
    <w:p w14:paraId="48330DFB">
      <w:pPr>
        <w:ind w:firstLine="560" w:firstLineChars="200"/>
        <w:jc w:val="left"/>
        <w:rPr>
          <w:rFonts w:cs="华文仿宋" w:asciiTheme="minorEastAsia" w:hAnsiTheme="minorEastAsia" w:eastAsiaTheme="minorEastAsia"/>
          <w:sz w:val="28"/>
          <w:szCs w:val="28"/>
        </w:rPr>
      </w:pPr>
      <w:r>
        <w:rPr>
          <w:rFonts w:hint="eastAsia" w:cs="华文仿宋" w:asciiTheme="minorEastAsia" w:hAnsiTheme="minorEastAsia" w:eastAsiaTheme="minorEastAsia"/>
          <w:sz w:val="28"/>
          <w:szCs w:val="28"/>
        </w:rPr>
        <w:t>4、自动修边系统，采用自动跟踪测厚技术，解决不透边袋子（如彩膜满版、盖光袋子）的自动跟边功能，修边</w:t>
      </w:r>
      <w:r>
        <w:rPr>
          <w:rFonts w:hint="eastAsia" w:cs="华文仿宋" w:asciiTheme="minorEastAsia" w:hAnsiTheme="minorEastAsia" w:eastAsiaTheme="minorEastAsia"/>
          <w:color w:val="000000"/>
          <w:sz w:val="28"/>
          <w:szCs w:val="28"/>
          <w:lang w:val="zh-CN"/>
        </w:rPr>
        <w:t>误差小于</w:t>
      </w:r>
      <w:r>
        <w:rPr>
          <w:rFonts w:hint="eastAsia" w:cs="华文仿宋" w:asciiTheme="minorEastAsia" w:hAnsiTheme="minorEastAsia" w:eastAsiaTheme="minorEastAsia"/>
          <w:color w:val="000000"/>
          <w:sz w:val="28"/>
          <w:szCs w:val="28"/>
        </w:rPr>
        <w:t xml:space="preserve"> ±5mm</w:t>
      </w:r>
      <w:r>
        <w:rPr>
          <w:rFonts w:hint="eastAsia" w:cs="华文仿宋" w:asciiTheme="minorEastAsia" w:hAnsiTheme="minorEastAsia" w:eastAsiaTheme="minorEastAsia"/>
          <w:color w:val="000000"/>
          <w:sz w:val="28"/>
          <w:szCs w:val="28"/>
          <w:lang w:val="zh-CN"/>
        </w:rPr>
        <w:t>。配边料吹边装置。</w:t>
      </w:r>
    </w:p>
    <w:p w14:paraId="3509C8FE"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5、设备采用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西门子</w:t>
      </w:r>
      <w:r>
        <w:rPr>
          <w:rFonts w:hint="eastAsia" w:asciiTheme="minorEastAsia" w:hAnsiTheme="minorEastAsia" w:eastAsiaTheme="minorEastAsia"/>
          <w:sz w:val="28"/>
          <w:szCs w:val="28"/>
        </w:rPr>
        <w:t>PLC和触摸屏，完成设备各部分的同步操作功能。</w:t>
      </w:r>
      <w:r>
        <w:rPr>
          <w:rFonts w:hint="eastAsia" w:asciiTheme="minorEastAsia" w:hAnsiTheme="minorEastAsia" w:eastAsiaTheme="minorEastAsia"/>
          <w:sz w:val="28"/>
          <w:szCs w:val="28"/>
          <w:lang w:val="zh-CN"/>
        </w:rPr>
        <w:t>连续跟踪错误报警：但连续5个信号出现错误时产生报警，或者5——10条袋子误差大于5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mm</w:t>
      </w:r>
      <w:r>
        <w:rPr>
          <w:rFonts w:hint="eastAsia" w:asciiTheme="minorEastAsia" w:hAnsiTheme="minorEastAsia" w:eastAsiaTheme="minorEastAsia"/>
          <w:sz w:val="28"/>
          <w:szCs w:val="28"/>
          <w:lang w:val="zh-CN"/>
        </w:rPr>
        <w:t>会产生报警，提示你自动有误差，要对偏差量进行修改。自动张力放膜，使生产过程中基布和BOPP膜速度同步，位置同步，减少产生积累误差，使对膜更准确。</w:t>
      </w:r>
    </w:p>
    <w:p w14:paraId="759D5F86">
      <w:pPr>
        <w:ind w:firstLine="560" w:firstLineChars="200"/>
        <w:jc w:val="left"/>
        <w:rPr>
          <w:rFonts w:cs="华文仿宋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6、挤出机组、复合系统、收卷系统采用变频器控制，可对电机进行变频调速。可根据不同的客户要求或不同的加工工艺的灵活调节膜的挤出速度。</w:t>
      </w:r>
    </w:p>
    <w:p w14:paraId="7A6DAF4A">
      <w:pPr>
        <w:ind w:firstLine="56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8"/>
          <w:szCs w:val="28"/>
        </w:rPr>
        <w:t>、机器采用两次定型装置，全自动张力控制，有效控制生产过程中对基布的拉伸，使产品更稳定，更平整。定型装置确保产品得到更好的冷却、定型，能有效控制因冷却不够而产生的烫伤和收缩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，配冷水机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 w14:paraId="0DE058AD">
      <w:pPr>
        <w:ind w:firstLine="56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8"/>
          <w:szCs w:val="28"/>
        </w:rPr>
        <w:t>、排烟装置：模头配排烟罩，伸缩排烟管（与我公司排烟相连接）。</w:t>
      </w:r>
    </w:p>
    <w:p w14:paraId="331442D2">
      <w:pPr>
        <w:ind w:firstLine="560"/>
        <w:jc w:val="left"/>
        <w:rPr>
          <w:rFonts w:hint="eastAsia" w:cs="仿宋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8"/>
          <w:szCs w:val="28"/>
        </w:rPr>
        <w:t>、收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、放</w:t>
      </w:r>
      <w:r>
        <w:rPr>
          <w:rFonts w:hint="eastAsia" w:asciiTheme="minorEastAsia" w:hAnsiTheme="minorEastAsia" w:eastAsiaTheme="minorEastAsia"/>
          <w:sz w:val="28"/>
          <w:szCs w:val="28"/>
        </w:rPr>
        <w:t>卷自动不停机换卸卷。放卷放膜配吊装装置上下，不停机换卷全自动张力控制。</w:t>
      </w:r>
    </w:p>
    <w:p w14:paraId="38970A59">
      <w:pPr>
        <w:widowControl w:val="0"/>
        <w:spacing w:line="360" w:lineRule="auto"/>
        <w:ind w:right="-693" w:rightChars="-330" w:firstLine="560" w:firstLineChars="200"/>
        <w:rPr>
          <w:rFonts w:hint="default" w:cs="仿宋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仿宋" w:asciiTheme="minorEastAsia" w:hAnsiTheme="minorEastAsia" w:eastAsiaTheme="minorEastAsia"/>
          <w:color w:val="auto"/>
          <w:sz w:val="28"/>
          <w:szCs w:val="28"/>
          <w:lang w:eastAsia="zh-CN"/>
        </w:rPr>
        <w:t>备注：出现参数虚标，达不到要求，验收为不合格</w:t>
      </w:r>
      <w:r>
        <w:rPr>
          <w:rFonts w:hint="eastAsia" w:cs="仿宋" w:asciiTheme="minorEastAsia" w:hAnsiTheme="minorEastAsia"/>
          <w:color w:val="auto"/>
          <w:sz w:val="28"/>
          <w:szCs w:val="28"/>
          <w:lang w:eastAsia="zh-CN"/>
        </w:rPr>
        <w:t>。</w:t>
      </w:r>
    </w:p>
    <w:p w14:paraId="039CB27A">
      <w:pPr>
        <w:pStyle w:val="6"/>
        <w:widowControl/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262CD071">
      <w:pPr>
        <w:widowControl/>
        <w:shd w:val="clear" w:color="auto" w:fill="FFFFFF"/>
        <w:spacing w:line="460" w:lineRule="exact"/>
        <w:ind w:firstLine="3360" w:firstLineChars="1200"/>
        <w:jc w:val="left"/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6C35CE2">
      <w:pPr>
        <w:widowControl/>
        <w:shd w:val="clear" w:color="auto" w:fill="FFFFFF"/>
        <w:spacing w:line="460" w:lineRule="exact"/>
        <w:ind w:firstLine="3360" w:firstLineChars="1200"/>
        <w:jc w:val="left"/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097A499">
      <w:pPr>
        <w:widowControl/>
        <w:shd w:val="clear" w:color="auto" w:fill="FFFFFF"/>
        <w:spacing w:line="460" w:lineRule="exact"/>
        <w:ind w:firstLine="3360" w:firstLineChars="1200"/>
        <w:jc w:val="left"/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FC4712C">
      <w:pPr>
        <w:widowControl/>
        <w:shd w:val="clear" w:color="auto" w:fill="FFFFFF"/>
        <w:spacing w:line="460" w:lineRule="exact"/>
        <w:ind w:firstLine="3360" w:firstLineChars="1200"/>
        <w:jc w:val="left"/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428CCF0">
      <w:pPr>
        <w:widowControl/>
        <w:shd w:val="clear" w:color="auto" w:fill="FFFFFF"/>
        <w:spacing w:line="460" w:lineRule="exact"/>
        <w:ind w:firstLine="3360" w:firstLineChars="1200"/>
        <w:jc w:val="left"/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E3C5628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050BF395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31C07194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2245F327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2DD8A395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232DEA43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423EE655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7417A14E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40CC3C9E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35982576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6CE47CA5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61CBAC8D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39C39D5C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50CE0522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3710E5B6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3B73FE60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7C0BBFF6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58E32A24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0C3332DA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3E887262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16DFE2E5">
      <w:pPr>
        <w:kinsoku/>
        <w:overflowPunct/>
        <w:topLinePunct w:val="0"/>
        <w:bidi w:val="0"/>
        <w:ind w:right="0" w:rightChars="0"/>
        <w:jc w:val="both"/>
        <w:rPr>
          <w:rFonts w:hint="eastAsia" w:ascii="黑体" w:hAnsi="宋体" w:eastAsia="黑体"/>
          <w:color w:val="auto"/>
          <w:sz w:val="48"/>
          <w:szCs w:val="48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黑体" w:hAnsi="宋体" w:eastAsia="黑体"/>
          <w:color w:val="auto"/>
          <w:sz w:val="48"/>
          <w:szCs w:val="48"/>
          <w:lang w:val="en-US" w:eastAsia="zh-CN"/>
        </w:rPr>
        <w:t xml:space="preserve">  第二章 </w:t>
      </w:r>
    </w:p>
    <w:p w14:paraId="711C438E">
      <w:pPr>
        <w:kinsoku/>
        <w:overflowPunct/>
        <w:topLinePunct w:val="0"/>
        <w:bidi w:val="0"/>
        <w:ind w:right="0" w:rightChars="0" w:firstLine="3360" w:firstLineChars="700"/>
        <w:jc w:val="both"/>
        <w:rPr>
          <w:rFonts w:hint="eastAsia" w:ascii="黑体" w:hAnsi="宋体" w:eastAsia="黑体"/>
          <w:color w:val="auto"/>
          <w:sz w:val="48"/>
          <w:szCs w:val="48"/>
          <w:lang w:val="zh-CN"/>
        </w:rPr>
      </w:pPr>
      <w:r>
        <w:rPr>
          <w:rFonts w:hint="eastAsia" w:ascii="黑体" w:hAnsi="宋体" w:eastAsia="黑体"/>
          <w:color w:val="auto"/>
          <w:sz w:val="48"/>
          <w:szCs w:val="48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48"/>
          <w:szCs w:val="48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96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8"/>
          <w:szCs w:val="48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right="0" w:rightChars="0" w:firstLine="3360" w:firstLineChars="700"/>
        <w:jc w:val="both"/>
        <w:textAlignment w:val="bottom"/>
        <w:rPr>
          <w:rFonts w:hint="eastAsia" w:ascii="黑体" w:hAnsi="黑体" w:eastAsia="黑体" w:cs="宋体"/>
          <w:color w:val="auto"/>
          <w:sz w:val="48"/>
          <w:szCs w:val="48"/>
        </w:rPr>
      </w:pPr>
      <w:r>
        <w:rPr>
          <w:rFonts w:hint="eastAsia" w:ascii="黑体" w:hAnsi="黑体" w:eastAsia="黑体" w:cs="宋体"/>
          <w:color w:val="auto"/>
          <w:sz w:val="48"/>
          <w:szCs w:val="48"/>
          <w:lang w:val="en-US" w:eastAsia="zh-CN"/>
        </w:rPr>
        <w:t>复膜机组</w:t>
      </w:r>
      <w:r>
        <w:rPr>
          <w:rFonts w:hint="eastAsia" w:ascii="黑体" w:hAnsi="黑体" w:eastAsia="黑体" w:cs="宋体"/>
          <w:color w:val="auto"/>
          <w:sz w:val="48"/>
          <w:szCs w:val="48"/>
        </w:rPr>
        <w:t>采购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65B7478D">
      <w:pPr>
        <w:kinsoku/>
        <w:overflowPunct/>
        <w:topLinePunct w:val="0"/>
        <w:bidi w:val="0"/>
        <w:ind w:right="0" w:rightChars="0"/>
        <w:jc w:val="both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供应商名称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91A756">
      <w:pPr>
        <w:kinsoku/>
        <w:overflowPunct/>
        <w:topLinePunct w:val="0"/>
        <w:bidi w:val="0"/>
        <w:ind w:left="0" w:leftChars="0" w:right="0" w:rightChars="0" w:firstLine="1285" w:firstLineChars="400"/>
        <w:rPr>
          <w:rFonts w:hint="eastAsia" w:ascii="新宋体" w:hAnsi="新宋体" w:eastAsia="楷体_GB2312" w:cs="新宋体"/>
          <w:b/>
          <w:color w:val="auto"/>
          <w:sz w:val="32"/>
          <w:u w:val="single"/>
          <w:lang w:val="en-US" w:eastAsia="zh-CN"/>
        </w:rPr>
      </w:pPr>
    </w:p>
    <w:p w14:paraId="25B4D47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8B8268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A4FAAF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6FEA065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4C56783F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ind w:firstLine="0" w:firstLineChars="0"/>
        <w:jc w:val="both"/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  <w:bookmarkStart w:id="16" w:name="_Toc4384"/>
      <w:bookmarkStart w:id="17" w:name="_Toc9978"/>
      <w:bookmarkStart w:id="18" w:name="_Toc30198"/>
    </w:p>
    <w:p w14:paraId="29AA5B08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ind w:firstLine="0" w:firstLineChars="0"/>
        <w:jc w:val="both"/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</w:p>
    <w:p w14:paraId="44AE7253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ind w:firstLine="0" w:firstLineChars="0"/>
        <w:jc w:val="both"/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</w:p>
    <w:p w14:paraId="4DB035F0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ind w:firstLine="0" w:firstLineChars="0"/>
        <w:jc w:val="both"/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</w:p>
    <w:p w14:paraId="213674FC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ind w:firstLine="0" w:firstLineChars="0"/>
        <w:jc w:val="both"/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</w:p>
    <w:p w14:paraId="3CA7912A">
      <w:pPr>
        <w:keepNext/>
        <w:keepLines/>
        <w:pageBreakBefore w:val="0"/>
        <w:widowControl w:val="0"/>
        <w:tabs>
          <w:tab w:val="left" w:pos="215"/>
          <w:tab w:val="center" w:pos="453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jc w:val="both"/>
        <w:textAlignment w:val="auto"/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</w:p>
    <w:bookmarkEnd w:id="16"/>
    <w:bookmarkEnd w:id="17"/>
    <w:bookmarkEnd w:id="18"/>
    <w:p w14:paraId="35C25E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jc w:val="both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 xml:space="preserve">     </w:t>
      </w:r>
    </w:p>
    <w:p w14:paraId="08B90545">
      <w:pPr>
        <w:keepNext/>
        <w:keepLines/>
        <w:pageBreakBefore w:val="0"/>
        <w:widowControl w:val="0"/>
        <w:tabs>
          <w:tab w:val="left" w:pos="215"/>
          <w:tab w:val="center" w:pos="453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jc w:val="both"/>
        <w:textAlignment w:val="auto"/>
        <w:rPr>
          <w:rFonts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  <w:r>
        <w:rPr>
          <w:rFonts w:hint="eastAsia"/>
          <w:color w:val="auto"/>
        </w:rPr>
        <w:t xml:space="preserve">  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（一）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en-US" w:eastAsia="zh-CN"/>
        </w:rPr>
        <w:t>报价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函</w:t>
      </w:r>
    </w:p>
    <w:p w14:paraId="1E9D81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(比选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申请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人名称)</w:t>
      </w:r>
      <w:r>
        <w:rPr>
          <w:rFonts w:hint="eastAsia" w:asciiTheme="minorEastAsia" w:hAnsiTheme="minorEastAsia" w:eastAsiaTheme="minorEastAsia"/>
          <w:szCs w:val="21"/>
          <w:highlight w:val="none"/>
        </w:rPr>
        <w:t>：</w:t>
      </w:r>
    </w:p>
    <w:p w14:paraId="3DBF5770">
      <w:pPr>
        <w:pStyle w:val="54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我方已仔细研究了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(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 ) 比选文件</w:t>
      </w:r>
      <w:r>
        <w:rPr>
          <w:rFonts w:hint="eastAsia" w:asciiTheme="minorEastAsia" w:hAnsiTheme="minorEastAsia"/>
          <w:color w:val="auto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包括补充通知的全部内容，按比选文件规定的条件和要求承担合同规定的全部工作，并承担相关的责任，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含税</w:t>
      </w:r>
      <w:r>
        <w:rPr>
          <w:rFonts w:hint="eastAsia" w:cs="Arial" w:asciiTheme="minorEastAsia" w:hAnsiTheme="minorEastAsia"/>
          <w:bCs/>
          <w:color w:val="auto"/>
          <w:szCs w:val="21"/>
          <w:highlight w:val="none"/>
          <w:lang w:val="en-US" w:eastAsia="zh-CN"/>
        </w:rPr>
        <w:t>报价如下：</w:t>
      </w:r>
    </w:p>
    <w:tbl>
      <w:tblPr>
        <w:tblStyle w:val="19"/>
        <w:tblW w:w="930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538"/>
        <w:gridCol w:w="2312"/>
        <w:gridCol w:w="650"/>
        <w:gridCol w:w="840"/>
        <w:gridCol w:w="960"/>
        <w:gridCol w:w="900"/>
        <w:gridCol w:w="1350"/>
      </w:tblGrid>
      <w:tr w14:paraId="26D8F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0C0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0A8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B2B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规格型号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0D3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2B9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F84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单价（元）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2FB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合计金额（元）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F51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6FB5F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4D1A5">
            <w:pPr>
              <w:widowControl/>
              <w:ind w:firstLine="210" w:firstLineChars="100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47ED">
            <w:pPr>
              <w:widowControl/>
              <w:ind w:firstLine="210" w:firstLineChars="100"/>
              <w:jc w:val="both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sz w:val="21"/>
                <w:szCs w:val="21"/>
                <w:lang w:eastAsia="zh-CN"/>
              </w:rPr>
              <w:t>复膜机组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9B8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20D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0B14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CCB74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7B53226"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E3ADF9C"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 w14:paraId="4FB3F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D29E5">
            <w:pPr>
              <w:widowControl/>
              <w:jc w:val="left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总价大写：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                     （小写：                ）</w:t>
            </w:r>
          </w:p>
        </w:tc>
      </w:tr>
    </w:tbl>
    <w:p w14:paraId="56ECFC7B">
      <w:pPr>
        <w:pStyle w:val="3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120" w:line="360" w:lineRule="auto"/>
        <w:textAlignment w:val="auto"/>
        <w:rPr>
          <w:rFonts w:hint="eastAsia" w:ascii="黑体" w:hAnsi="黑体" w:eastAsia="黑体" w:cs="Segoe UI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Segoe UI"/>
          <w:b w:val="0"/>
          <w:bCs w:val="0"/>
          <w:color w:val="auto"/>
          <w:sz w:val="24"/>
          <w:szCs w:val="24"/>
          <w:u w:val="none"/>
          <w:lang w:val="en-US" w:eastAsia="zh-CN"/>
        </w:rPr>
        <w:t>注</w:t>
      </w:r>
    </w:p>
    <w:p w14:paraId="7702CA09">
      <w:pPr>
        <w:pStyle w:val="3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120" w:line="360" w:lineRule="auto"/>
        <w:textAlignment w:val="auto"/>
        <w:rPr>
          <w:rFonts w:hint="eastAsia" w:ascii="黑体" w:hAnsi="黑体" w:eastAsia="黑体" w:cs="Segoe UI"/>
          <w:sz w:val="24"/>
          <w:szCs w:val="24"/>
        </w:rPr>
      </w:pPr>
      <w:r>
        <w:rPr>
          <w:rFonts w:hint="eastAsia" w:ascii="黑体" w:hAnsi="黑体" w:eastAsia="黑体" w:cs="Segoe UI"/>
          <w:b w:val="0"/>
          <w:bCs w:val="0"/>
          <w:color w:val="auto"/>
          <w:sz w:val="24"/>
          <w:szCs w:val="24"/>
          <w:u w:val="none"/>
          <w:lang w:val="en-US" w:eastAsia="zh-CN"/>
        </w:rPr>
        <w:t>1:报价包含投标人完成本项目工作所需的一切费用，包括但不限于设备、运输、保险、安装、调试、培训、验收、税费和招标文件规定的其它费用等全部内容的含税价（税率13%）。</w:t>
      </w:r>
    </w:p>
    <w:p w14:paraId="71100E4A">
      <w:pPr>
        <w:pStyle w:val="3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line="240" w:lineRule="auto"/>
        <w:textAlignment w:val="auto"/>
        <w:rPr>
          <w:rFonts w:hint="default" w:ascii="黑体" w:hAnsi="黑体" w:eastAsia="黑体" w:cs="Segoe UI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Segoe UI"/>
          <w:sz w:val="24"/>
          <w:szCs w:val="24"/>
          <w:lang w:val="en-US" w:eastAsia="zh-CN"/>
        </w:rPr>
        <w:t>2</w:t>
      </w:r>
      <w:r>
        <w:rPr>
          <w:rFonts w:hint="eastAsia" w:ascii="黑体" w:hAnsi="黑体" w:eastAsia="黑体" w:cs="Segoe UI"/>
          <w:b w:val="0"/>
          <w:bCs w:val="0"/>
          <w:sz w:val="24"/>
          <w:szCs w:val="24"/>
        </w:rPr>
        <w:t>：</w:t>
      </w:r>
      <w:r>
        <w:rPr>
          <w:rFonts w:hint="eastAsia" w:ascii="黑体" w:hAnsi="黑体" w:eastAsia="黑体" w:cs="Segoe UI"/>
          <w:b w:val="0"/>
          <w:bCs w:val="0"/>
          <w:sz w:val="24"/>
          <w:szCs w:val="24"/>
          <w:lang w:val="en-US" w:eastAsia="zh-CN"/>
        </w:rPr>
        <w:t>商务响应条款</w:t>
      </w:r>
    </w:p>
    <w:p w14:paraId="3FA56E98">
      <w:pPr>
        <w:pStyle w:val="3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line="240" w:lineRule="auto"/>
        <w:textAlignment w:val="auto"/>
        <w:rPr>
          <w:rFonts w:ascii="黑体" w:hAnsi="黑体" w:eastAsia="黑体" w:cs="Segoe UI"/>
          <w:sz w:val="24"/>
          <w:szCs w:val="24"/>
          <w:u w:val="single"/>
        </w:rPr>
      </w:pPr>
      <w:r>
        <w:rPr>
          <w:rFonts w:hint="eastAsia" w:ascii="黑体" w:hAnsi="黑体" w:eastAsia="黑体" w:cs="Segoe UI"/>
          <w:sz w:val="24"/>
          <w:szCs w:val="24"/>
          <w:lang w:val="en-US" w:eastAsia="zh-CN"/>
        </w:rPr>
        <w:t>1.</w:t>
      </w:r>
      <w:r>
        <w:rPr>
          <w:rFonts w:ascii="黑体" w:hAnsi="黑体" w:eastAsia="黑体" w:cs="Segoe UI"/>
          <w:sz w:val="24"/>
          <w:szCs w:val="24"/>
        </w:rPr>
        <w:t>报价总金额</w:t>
      </w:r>
      <w:r>
        <w:rPr>
          <w:rFonts w:hint="eastAsia" w:ascii="黑体" w:hAnsi="黑体" w:eastAsia="黑体" w:cs="Segoe UI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Segoe UI"/>
          <w:sz w:val="24"/>
          <w:szCs w:val="24"/>
          <w:lang w:val="en-US" w:eastAsia="zh-CN"/>
        </w:rPr>
        <w:t>含13%税</w:t>
      </w:r>
      <w:r>
        <w:rPr>
          <w:rFonts w:hint="eastAsia" w:ascii="黑体" w:hAnsi="黑体" w:eastAsia="黑体" w:cs="Segoe UI"/>
          <w:sz w:val="24"/>
          <w:szCs w:val="24"/>
          <w:lang w:eastAsia="zh-CN"/>
        </w:rPr>
        <w:t>）</w:t>
      </w:r>
      <w:r>
        <w:rPr>
          <w:rFonts w:ascii="黑体" w:hAnsi="黑体" w:eastAsia="黑体" w:cs="Segoe UI"/>
          <w:sz w:val="24"/>
          <w:szCs w:val="24"/>
        </w:rPr>
        <w:t>：</w:t>
      </w:r>
      <w:r>
        <w:rPr>
          <w:rFonts w:hint="eastAsia" w:ascii="黑体" w:hAnsi="黑体" w:eastAsia="黑体" w:cs="Segoe UI"/>
          <w:sz w:val="24"/>
          <w:szCs w:val="24"/>
          <w:u w:val="single"/>
        </w:rPr>
        <w:t xml:space="preserve">                                               </w:t>
      </w:r>
    </w:p>
    <w:p w14:paraId="403AC29E">
      <w:pPr>
        <w:pStyle w:val="3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line="240" w:lineRule="auto"/>
        <w:textAlignment w:val="auto"/>
        <w:rPr>
          <w:rFonts w:ascii="黑体" w:hAnsi="黑体" w:eastAsia="黑体" w:cs="Segoe UI"/>
          <w:sz w:val="24"/>
          <w:szCs w:val="24"/>
          <w:u w:val="single"/>
        </w:rPr>
      </w:pPr>
      <w:r>
        <w:rPr>
          <w:rFonts w:hint="eastAsia" w:ascii="黑体" w:hAnsi="黑体" w:eastAsia="黑体" w:cs="Segoe UI"/>
          <w:sz w:val="24"/>
          <w:szCs w:val="24"/>
          <w:lang w:val="en-US" w:eastAsia="zh-CN"/>
        </w:rPr>
        <w:t>2</w:t>
      </w:r>
      <w:r>
        <w:rPr>
          <w:rFonts w:hint="eastAsia" w:ascii="黑体" w:hAnsi="黑体" w:eastAsia="黑体" w:cs="Segoe UI"/>
          <w:sz w:val="24"/>
          <w:szCs w:val="24"/>
        </w:rPr>
        <w:t>付款方式：</w:t>
      </w:r>
      <w:r>
        <w:rPr>
          <w:rFonts w:hint="eastAsia" w:ascii="黑体" w:hAnsi="黑体" w:eastAsia="黑体" w:cs="Segoe UI"/>
          <w:sz w:val="24"/>
          <w:szCs w:val="24"/>
          <w:u w:val="single"/>
        </w:rPr>
        <w:t xml:space="preserve">              </w:t>
      </w:r>
      <w:r>
        <w:rPr>
          <w:rFonts w:hint="eastAsia" w:ascii="黑体" w:hAnsi="黑体" w:eastAsia="黑体" w:cs="Segoe UI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黑体" w:hAnsi="黑体" w:eastAsia="黑体" w:cs="Segoe UI"/>
          <w:sz w:val="24"/>
          <w:szCs w:val="24"/>
          <w:u w:val="single"/>
        </w:rPr>
        <w:t xml:space="preserve">                                   </w:t>
      </w:r>
    </w:p>
    <w:p w14:paraId="65692755">
      <w:pPr>
        <w:pStyle w:val="3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line="240" w:lineRule="auto"/>
        <w:textAlignment w:val="auto"/>
        <w:rPr>
          <w:rFonts w:ascii="黑体" w:hAnsi="黑体" w:eastAsia="黑体" w:cs="Segoe UI"/>
          <w:sz w:val="24"/>
          <w:szCs w:val="24"/>
          <w:u w:val="single"/>
        </w:rPr>
      </w:pPr>
      <w:r>
        <w:rPr>
          <w:rFonts w:hint="eastAsia" w:ascii="黑体" w:hAnsi="黑体" w:eastAsia="黑体" w:cs="Segoe UI"/>
          <w:sz w:val="24"/>
          <w:szCs w:val="24"/>
          <w:lang w:val="en-US" w:eastAsia="zh-CN"/>
        </w:rPr>
        <w:t>3</w:t>
      </w:r>
      <w:r>
        <w:rPr>
          <w:rFonts w:hint="eastAsia" w:ascii="黑体" w:hAnsi="黑体" w:eastAsia="黑体" w:cs="Segoe UI"/>
          <w:color w:val="FF0000"/>
          <w:sz w:val="24"/>
          <w:szCs w:val="24"/>
          <w:lang w:val="en-US" w:eastAsia="zh-CN"/>
        </w:rPr>
        <w:t>.</w:t>
      </w:r>
      <w:r>
        <w:rPr>
          <w:rFonts w:hint="eastAsia" w:ascii="黑体" w:hAnsi="黑体" w:eastAsia="黑体" w:cs="Segoe UI"/>
          <w:color w:val="auto"/>
          <w:sz w:val="24"/>
          <w:szCs w:val="24"/>
          <w:lang w:val="en-US" w:eastAsia="zh-CN"/>
        </w:rPr>
        <w:t>交货期</w:t>
      </w:r>
      <w:r>
        <w:rPr>
          <w:rFonts w:hint="eastAsia" w:ascii="黑体" w:hAnsi="黑体" w:eastAsia="黑体" w:cs="Segoe UI"/>
          <w:color w:val="auto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Segoe UI"/>
          <w:color w:val="auto"/>
          <w:sz w:val="24"/>
          <w:szCs w:val="24"/>
          <w:u w:val="single"/>
          <w:lang w:eastAsia="zh-CN"/>
        </w:rPr>
        <w:t>：</w:t>
      </w:r>
      <w:r>
        <w:rPr>
          <w:rFonts w:hint="eastAsia" w:ascii="黑体" w:hAnsi="黑体" w:eastAsia="黑体" w:cs="Segoe UI"/>
          <w:color w:val="auto"/>
          <w:sz w:val="24"/>
          <w:szCs w:val="24"/>
          <w:u w:val="single"/>
        </w:rPr>
        <w:t xml:space="preserve">  </w:t>
      </w:r>
      <w:r>
        <w:rPr>
          <w:rFonts w:hint="eastAsia" w:ascii="黑体" w:hAnsi="黑体" w:eastAsia="黑体" w:cs="Segoe UI"/>
          <w:sz w:val="24"/>
          <w:szCs w:val="24"/>
          <w:u w:val="single"/>
        </w:rPr>
        <w:t xml:space="preserve">                   </w:t>
      </w:r>
      <w:r>
        <w:rPr>
          <w:rFonts w:hint="eastAsia" w:ascii="黑体" w:hAnsi="黑体" w:eastAsia="黑体" w:cs="Segoe UI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 w:cs="Segoe UI"/>
          <w:sz w:val="24"/>
          <w:szCs w:val="24"/>
          <w:u w:val="single"/>
        </w:rPr>
        <w:t xml:space="preserve">                             </w:t>
      </w:r>
    </w:p>
    <w:p w14:paraId="7DB72C05">
      <w:pPr>
        <w:pStyle w:val="3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line="240" w:lineRule="auto"/>
        <w:textAlignment w:val="auto"/>
        <w:rPr>
          <w:rFonts w:ascii="黑体" w:hAnsi="黑体" w:eastAsia="黑体" w:cs="Segoe UI"/>
          <w:sz w:val="24"/>
          <w:szCs w:val="24"/>
          <w:u w:val="single"/>
        </w:rPr>
      </w:pPr>
      <w:r>
        <w:rPr>
          <w:rFonts w:hint="eastAsia" w:ascii="黑体" w:hAnsi="黑体" w:eastAsia="黑体" w:cs="Segoe UI"/>
          <w:sz w:val="24"/>
          <w:szCs w:val="24"/>
          <w:lang w:val="en-US" w:eastAsia="zh-CN"/>
        </w:rPr>
        <w:t>4.</w:t>
      </w:r>
      <w:r>
        <w:rPr>
          <w:rFonts w:ascii="黑体" w:hAnsi="黑体" w:eastAsia="黑体" w:cs="Segoe UI"/>
          <w:sz w:val="24"/>
          <w:szCs w:val="24"/>
        </w:rPr>
        <w:t>质保期：</w:t>
      </w:r>
      <w:r>
        <w:rPr>
          <w:rFonts w:hint="eastAsia" w:ascii="黑体" w:hAnsi="黑体" w:eastAsia="黑体" w:cs="Segoe UI"/>
          <w:sz w:val="24"/>
          <w:szCs w:val="24"/>
          <w:u w:val="single"/>
        </w:rPr>
        <w:t xml:space="preserve">                            </w:t>
      </w:r>
      <w:r>
        <w:rPr>
          <w:rFonts w:hint="eastAsia" w:ascii="黑体" w:hAnsi="黑体" w:eastAsia="黑体" w:cs="Segoe UI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黑体" w:hAnsi="黑体" w:eastAsia="黑体" w:cs="Segoe UI"/>
          <w:sz w:val="24"/>
          <w:szCs w:val="24"/>
          <w:u w:val="single"/>
        </w:rPr>
        <w:t xml:space="preserve">                       </w:t>
      </w:r>
    </w:p>
    <w:p w14:paraId="56E47A3D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textAlignment w:val="auto"/>
        <w:rPr>
          <w:rFonts w:hint="eastAsia" w:ascii="黑体" w:hAnsi="黑体" w:eastAsia="黑体" w:cs="Segoe UI"/>
          <w:sz w:val="24"/>
          <w:szCs w:val="24"/>
        </w:rPr>
      </w:pPr>
      <w:r>
        <w:rPr>
          <w:rFonts w:hint="eastAsia" w:ascii="黑体" w:hAnsi="黑体" w:eastAsia="黑体" w:cs="Segoe UI"/>
          <w:sz w:val="24"/>
          <w:szCs w:val="24"/>
        </w:rPr>
        <w:t>投标人承诺：</w:t>
      </w:r>
    </w:p>
    <w:p w14:paraId="690AF987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textAlignment w:val="auto"/>
        <w:rPr>
          <w:rFonts w:ascii="黑体" w:hAnsi="黑体" w:eastAsia="黑体" w:cs="Segoe UI"/>
          <w:sz w:val="24"/>
          <w:szCs w:val="24"/>
        </w:rPr>
      </w:pPr>
      <w:r>
        <w:rPr>
          <w:rFonts w:hint="eastAsia" w:ascii="黑体" w:hAnsi="黑体" w:eastAsia="黑体" w:cs="Segoe UI"/>
          <w:sz w:val="24"/>
          <w:szCs w:val="24"/>
        </w:rPr>
        <w:t>（1）一旦中标，我</w:t>
      </w:r>
      <w:r>
        <w:rPr>
          <w:rFonts w:hint="eastAsia" w:ascii="黑体" w:hAnsi="黑体" w:eastAsia="黑体" w:cs="Segoe UI"/>
          <w:sz w:val="24"/>
          <w:szCs w:val="24"/>
          <w:lang w:val="en-US" w:eastAsia="zh-CN"/>
        </w:rPr>
        <w:t>司</w:t>
      </w:r>
      <w:r>
        <w:rPr>
          <w:rFonts w:hint="eastAsia" w:ascii="黑体" w:hAnsi="黑体" w:eastAsia="黑体" w:cs="Segoe UI"/>
          <w:sz w:val="24"/>
          <w:szCs w:val="24"/>
        </w:rPr>
        <w:t>愿意按照招标文件和招标</w:t>
      </w:r>
      <w:r>
        <w:rPr>
          <w:rFonts w:hint="eastAsia" w:ascii="黑体" w:hAnsi="黑体" w:eastAsia="黑体" w:cs="Segoe UI"/>
          <w:sz w:val="24"/>
          <w:szCs w:val="24"/>
          <w:lang w:val="en-US" w:eastAsia="zh-CN"/>
        </w:rPr>
        <w:t>人</w:t>
      </w:r>
      <w:r>
        <w:rPr>
          <w:rFonts w:hint="eastAsia" w:ascii="黑体" w:hAnsi="黑体" w:eastAsia="黑体" w:cs="Segoe UI"/>
          <w:sz w:val="24"/>
          <w:szCs w:val="24"/>
        </w:rPr>
        <w:t>的规定和要求签订</w:t>
      </w:r>
      <w:r>
        <w:rPr>
          <w:rFonts w:hint="eastAsia" w:ascii="黑体" w:hAnsi="黑体" w:eastAsia="黑体" w:cs="黑体"/>
          <w:b w:val="0"/>
          <w:bCs w:val="0"/>
          <w:snapToGrid w:val="0"/>
          <w:sz w:val="24"/>
          <w:szCs w:val="24"/>
          <w:lang w:eastAsia="zh-CN"/>
        </w:rPr>
        <w:t>复膜机组</w:t>
      </w:r>
      <w:r>
        <w:rPr>
          <w:rFonts w:hint="eastAsia" w:ascii="黑体" w:hAnsi="黑体" w:eastAsia="黑体" w:cs="Segoe UI"/>
          <w:color w:val="auto"/>
          <w:sz w:val="24"/>
          <w:szCs w:val="24"/>
        </w:rPr>
        <w:t>购</w:t>
      </w:r>
      <w:r>
        <w:rPr>
          <w:rFonts w:hint="eastAsia" w:ascii="黑体" w:hAnsi="黑体" w:eastAsia="黑体" w:cs="Segoe UI"/>
          <w:sz w:val="24"/>
          <w:szCs w:val="24"/>
        </w:rPr>
        <w:t>销合同，并信守合同</w:t>
      </w:r>
      <w:r>
        <w:rPr>
          <w:rFonts w:hint="eastAsia" w:ascii="黑体" w:hAnsi="黑体" w:eastAsia="黑体" w:cs="Segoe UI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Segoe UI"/>
          <w:sz w:val="24"/>
          <w:szCs w:val="24"/>
        </w:rPr>
        <w:t>保证质量</w:t>
      </w:r>
      <w:r>
        <w:rPr>
          <w:rFonts w:hint="eastAsia" w:ascii="黑体" w:hAnsi="黑体" w:eastAsia="黑体" w:cs="Segoe UI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Segoe UI"/>
          <w:sz w:val="24"/>
          <w:szCs w:val="24"/>
        </w:rPr>
        <w:t>如期交货。</w:t>
      </w:r>
    </w:p>
    <w:p w14:paraId="44A75F8A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textAlignment w:val="auto"/>
        <w:rPr>
          <w:rFonts w:ascii="黑体" w:hAnsi="黑体" w:eastAsia="黑体" w:cs="Segoe UI"/>
          <w:sz w:val="24"/>
          <w:szCs w:val="24"/>
        </w:rPr>
      </w:pPr>
      <w:r>
        <w:rPr>
          <w:rFonts w:hint="eastAsia" w:ascii="黑体" w:hAnsi="黑体" w:eastAsia="黑体" w:cs="Segoe UI"/>
          <w:sz w:val="24"/>
          <w:szCs w:val="24"/>
        </w:rPr>
        <w:t>（2）投标人同意按照招标方的要求，严格遵守招标纪律，恪守招标方的各项规定，保证投标工作的顺利进行。</w:t>
      </w:r>
    </w:p>
    <w:p w14:paraId="6E91341F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textAlignment w:val="auto"/>
        <w:rPr>
          <w:rFonts w:ascii="黑体" w:hAnsi="黑体" w:eastAsia="黑体" w:cs="Segoe UI"/>
          <w:sz w:val="24"/>
          <w:szCs w:val="24"/>
        </w:rPr>
      </w:pPr>
      <w:r>
        <w:rPr>
          <w:rFonts w:hint="eastAsia" w:ascii="黑体" w:hAnsi="黑体" w:eastAsia="黑体" w:cs="Segoe UI"/>
          <w:sz w:val="24"/>
          <w:szCs w:val="24"/>
        </w:rPr>
        <w:t xml:space="preserve">（3）我方已经审查全部的招标文件，包括修改文件，以及全部的参考资料和有关附件，我方完全理解同意放弃对这方面有不明和误解的权利。        </w:t>
      </w:r>
    </w:p>
    <w:p w14:paraId="723A3CC9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ind w:firstLine="4080" w:firstLineChars="1700"/>
        <w:textAlignment w:val="auto"/>
        <w:rPr>
          <w:rFonts w:ascii="黑体" w:hAnsi="黑体" w:eastAsia="黑体" w:cs="Segoe UI"/>
          <w:sz w:val="24"/>
          <w:szCs w:val="24"/>
        </w:rPr>
      </w:pPr>
    </w:p>
    <w:p w14:paraId="32FE4B9D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ind w:firstLine="4080" w:firstLineChars="1700"/>
        <w:jc w:val="right"/>
        <w:textAlignment w:val="auto"/>
        <w:rPr>
          <w:rFonts w:ascii="黑体" w:hAnsi="黑体" w:eastAsia="黑体" w:cs="Segoe UI"/>
          <w:sz w:val="24"/>
          <w:szCs w:val="24"/>
        </w:rPr>
      </w:pPr>
      <w:r>
        <w:rPr>
          <w:rFonts w:hint="eastAsia" w:ascii="黑体" w:hAnsi="黑体" w:eastAsia="黑体" w:cs="Segoe UI"/>
          <w:sz w:val="24"/>
          <w:szCs w:val="24"/>
        </w:rPr>
        <w:t>投标人名称（盖章）：</w:t>
      </w:r>
    </w:p>
    <w:p w14:paraId="030FEBF8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ind w:firstLine="3840" w:firstLineChars="1600"/>
        <w:jc w:val="right"/>
        <w:textAlignment w:val="auto"/>
        <w:rPr>
          <w:rFonts w:hint="eastAsia" w:ascii="黑体" w:hAnsi="黑体" w:eastAsia="黑体" w:cs="Segoe UI"/>
          <w:sz w:val="24"/>
          <w:szCs w:val="24"/>
        </w:rPr>
      </w:pPr>
      <w:r>
        <w:rPr>
          <w:rFonts w:hint="eastAsia" w:ascii="黑体" w:hAnsi="黑体" w:eastAsia="黑体" w:cs="Segoe UI"/>
          <w:sz w:val="24"/>
          <w:szCs w:val="24"/>
        </w:rPr>
        <w:t>日期：    年   月   日</w:t>
      </w:r>
    </w:p>
    <w:p w14:paraId="4E6431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</w:p>
    <w:p w14:paraId="58E715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b/>
          <w:sz w:val="32"/>
          <w:szCs w:val="32"/>
          <w:highlight w:val="none"/>
        </w:rPr>
        <w:sectPr>
          <w:footerReference r:id="rId6" w:type="default"/>
          <w:pgSz w:w="11906" w:h="16838"/>
          <w:pgMar w:top="1361" w:right="1134" w:bottom="1361" w:left="1134" w:header="851" w:footer="992" w:gutter="0"/>
          <w:pgNumType w:fmt="decimal"/>
          <w:cols w:space="0" w:num="1"/>
          <w:rtlGutter w:val="0"/>
          <w:docGrid w:linePitch="312" w:charSpace="0"/>
        </w:sect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</w:t>
      </w:r>
      <w:r>
        <w:rPr>
          <w:rFonts w:hint="eastAsia"/>
          <w:color w:val="auto"/>
          <w:sz w:val="24"/>
          <w:szCs w:val="24"/>
        </w:rPr>
        <w:t xml:space="preserve">        </w:t>
      </w:r>
      <w:r>
        <w:rPr>
          <w:rFonts w:hint="eastAsia"/>
          <w:color w:val="auto"/>
        </w:rPr>
        <w:t xml:space="preserve">                       </w:t>
      </w:r>
    </w:p>
    <w:p w14:paraId="4237134C">
      <w:pPr>
        <w:numPr>
          <w:ilvl w:val="0"/>
          <w:numId w:val="0"/>
        </w:numPr>
        <w:spacing w:line="36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en-US" w:eastAsia="zh-CN"/>
        </w:rPr>
        <w:t>（二）</w:t>
      </w:r>
      <w:r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  <w:t>易损件清单及价格（后期配件清单）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en-US" w:eastAsia="zh-CN"/>
        </w:rPr>
        <w:t>如下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：</w:t>
      </w:r>
    </w:p>
    <w:p w14:paraId="3A93A25C">
      <w:pPr>
        <w:spacing w:line="240" w:lineRule="auto"/>
        <w:jc w:val="left"/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  <w:lang w:eastAsia="zh-CN"/>
        </w:rPr>
      </w:pPr>
    </w:p>
    <w:tbl>
      <w:tblPr>
        <w:tblStyle w:val="19"/>
        <w:tblW w:w="9551" w:type="dxa"/>
        <w:tblInd w:w="-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054"/>
        <w:gridCol w:w="2369"/>
        <w:gridCol w:w="1157"/>
        <w:gridCol w:w="894"/>
        <w:gridCol w:w="1080"/>
        <w:gridCol w:w="1331"/>
      </w:tblGrid>
      <w:tr w14:paraId="10CEB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69333">
            <w:pPr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EBD05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57D03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规格型号/参数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D161C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计量</w:t>
            </w:r>
          </w:p>
          <w:p w14:paraId="51F672CD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单位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B0CB7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数量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7499A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生产厂家/品牌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AAD16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价格（元）</w:t>
            </w:r>
          </w:p>
        </w:tc>
      </w:tr>
      <w:tr w14:paraId="4E21E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A4B90">
            <w:pPr>
              <w:spacing w:before="68"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D581D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6B8DB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CE9A8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B3A105A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907D96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39D5427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 w14:paraId="170C1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17960">
            <w:pPr>
              <w:spacing w:before="68"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2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D765F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134EB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B2249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8EEEAE7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E93DAC8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97DEBF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 w14:paraId="0410F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07CEF">
            <w:pPr>
              <w:spacing w:before="68"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3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5D375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B8B83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6E405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B2F0599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80BCC6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14947C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 w14:paraId="61A1F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3E88">
            <w:pPr>
              <w:spacing w:before="68"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4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2B3C0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01FAC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36AEF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D094FB4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9945102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82F255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 w14:paraId="0BE3E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F9394">
            <w:pPr>
              <w:spacing w:before="68"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5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8EBE9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5C280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F791F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21D6E13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FC0040A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4F1D2C0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 w14:paraId="6A43C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C034A">
            <w:pPr>
              <w:spacing w:before="68"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6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48A0E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F984E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94FE6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1C483AF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B4F426B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2CBB6B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 w14:paraId="0BE1C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3FD81">
            <w:pPr>
              <w:spacing w:before="68"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7</w:t>
            </w: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F1952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2A16E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DDE70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6D3459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875DA6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416AA55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 w14:paraId="1C9A6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F06FF">
            <w:pPr>
              <w:spacing w:before="68"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8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76750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D7DB8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46377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62E3FA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9C3EBB5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F55C5D0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 w14:paraId="483D5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345C2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…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45948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…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488F3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BA441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77E0A6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668C5D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C5FAF74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</w:tbl>
    <w:p w14:paraId="37745D44">
      <w:pPr>
        <w:tabs>
          <w:tab w:val="left" w:pos="5580"/>
        </w:tabs>
        <w:spacing w:line="360" w:lineRule="auto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注:</w:t>
      </w:r>
    </w:p>
    <w:p w14:paraId="27FA2224">
      <w:pPr>
        <w:pStyle w:val="18"/>
        <w:numPr>
          <w:ilvl w:val="0"/>
          <w:numId w:val="0"/>
        </w:numPr>
        <w:spacing w:line="400" w:lineRule="exac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>1.</w:t>
      </w:r>
      <w:r>
        <w:rPr>
          <w:rFonts w:hint="eastAsia" w:ascii="黑体" w:hAnsi="黑体" w:eastAsia="黑体" w:cs="黑体"/>
          <w:sz w:val="24"/>
        </w:rPr>
        <w:t>此处所列项目应按照</w:t>
      </w:r>
      <w:r>
        <w:rPr>
          <w:rFonts w:hint="eastAsia" w:ascii="黑体" w:hAnsi="黑体" w:eastAsia="黑体" w:cs="黑体"/>
          <w:sz w:val="24"/>
          <w:lang w:val="en-US" w:eastAsia="zh-CN"/>
        </w:rPr>
        <w:t>招标</w:t>
      </w:r>
      <w:r>
        <w:rPr>
          <w:rFonts w:hint="eastAsia" w:ascii="黑体" w:hAnsi="黑体" w:eastAsia="黑体" w:cs="黑体"/>
          <w:sz w:val="24"/>
        </w:rPr>
        <w:t>文件</w:t>
      </w:r>
      <w:r>
        <w:rPr>
          <w:rFonts w:hint="eastAsia" w:ascii="黑体" w:hAnsi="黑体" w:eastAsia="黑体" w:cs="黑体"/>
          <w:sz w:val="24"/>
          <w:lang w:val="en-US" w:eastAsia="zh-CN"/>
        </w:rPr>
        <w:t>及技术规格书</w:t>
      </w:r>
      <w:r>
        <w:rPr>
          <w:rFonts w:hint="eastAsia" w:ascii="黑体" w:hAnsi="黑体" w:eastAsia="黑体" w:cs="黑体"/>
          <w:sz w:val="24"/>
        </w:rPr>
        <w:t>的全部内容进行统计，表内项目不足，</w:t>
      </w:r>
      <w:r>
        <w:rPr>
          <w:rFonts w:hint="eastAsia" w:ascii="黑体" w:hAnsi="黑体" w:eastAsia="黑体" w:cs="黑体"/>
          <w:sz w:val="24"/>
          <w:lang w:val="en-US" w:eastAsia="zh-CN"/>
        </w:rPr>
        <w:t>投标</w:t>
      </w:r>
      <w:r>
        <w:rPr>
          <w:rFonts w:hint="eastAsia" w:ascii="黑体" w:hAnsi="黑体" w:eastAsia="黑体" w:cs="黑体"/>
          <w:sz w:val="24"/>
        </w:rPr>
        <w:t>人可依次增减。</w:t>
      </w:r>
    </w:p>
    <w:p w14:paraId="61C4E3E0">
      <w:pPr>
        <w:pStyle w:val="18"/>
        <w:numPr>
          <w:ilvl w:val="0"/>
          <w:numId w:val="0"/>
        </w:numPr>
        <w:spacing w:line="400" w:lineRule="exact"/>
        <w:rPr>
          <w:rFonts w:hint="eastAsia" w:ascii="黑体" w:hAnsi="黑体" w:eastAsia="黑体" w:cs="黑体"/>
          <w:bCs/>
          <w:color w:val="auto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2.投标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人可根据实际供货内容自行修改。</w:t>
      </w:r>
    </w:p>
    <w:p w14:paraId="6EF71F62">
      <w:pPr>
        <w:pStyle w:val="18"/>
        <w:numPr>
          <w:ilvl w:val="0"/>
          <w:numId w:val="0"/>
        </w:numPr>
        <w:spacing w:line="400" w:lineRule="exact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>3.</w:t>
      </w:r>
      <w:r>
        <w:rPr>
          <w:rFonts w:hint="eastAsia" w:ascii="黑体" w:hAnsi="黑体" w:eastAsia="黑体" w:cs="黑体"/>
          <w:sz w:val="24"/>
        </w:rPr>
        <w:t>设备</w:t>
      </w:r>
      <w:r>
        <w:rPr>
          <w:rFonts w:hint="eastAsia" w:ascii="黑体" w:hAnsi="黑体" w:eastAsia="黑体" w:cs="黑体"/>
          <w:sz w:val="24"/>
          <w:lang w:val="en-US" w:eastAsia="zh-CN"/>
        </w:rPr>
        <w:t>及资料</w:t>
      </w:r>
      <w:r>
        <w:rPr>
          <w:rFonts w:hint="eastAsia" w:ascii="黑体" w:hAnsi="黑体" w:eastAsia="黑体" w:cs="黑体"/>
          <w:sz w:val="24"/>
        </w:rPr>
        <w:t>明细表请按类别排序，将全部供货范围按上表格式罗列。</w:t>
      </w:r>
    </w:p>
    <w:p w14:paraId="55CB5436">
      <w:pPr>
        <w:pStyle w:val="18"/>
        <w:numPr>
          <w:ilvl w:val="0"/>
          <w:numId w:val="0"/>
        </w:numPr>
        <w:spacing w:line="400" w:lineRule="exact"/>
        <w:rPr>
          <w:rFonts w:hint="eastAsia" w:ascii="黑体" w:hAnsi="黑体" w:eastAsia="黑体" w:cs="黑体"/>
          <w:sz w:val="24"/>
          <w:lang w:val="en-US" w:eastAsia="zh-CN"/>
        </w:rPr>
      </w:pPr>
    </w:p>
    <w:p w14:paraId="58A55150">
      <w:pPr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6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3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0624441C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3F403FBD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072E71B0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37F59D70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5ED23026">
      <w:pPr>
        <w:numPr>
          <w:ilvl w:val="0"/>
          <w:numId w:val="0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5933FFB3">
      <w:pPr>
        <w:numPr>
          <w:ilvl w:val="0"/>
          <w:numId w:val="0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74C8A92B">
      <w:pPr>
        <w:numPr>
          <w:ilvl w:val="0"/>
          <w:numId w:val="3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  <w:t>业绩：</w:t>
      </w:r>
    </w:p>
    <w:p w14:paraId="194A6D4F">
      <w:pPr>
        <w:pStyle w:val="37"/>
        <w:spacing w:line="360" w:lineRule="auto"/>
        <w:ind w:firstLine="0" w:firstLineChars="0"/>
        <w:rPr>
          <w:rFonts w:hint="eastAsia" w:ascii="黑体" w:hAnsi="黑体" w:eastAsia="黑体" w:cs="Segoe UI"/>
          <w:kern w:val="0"/>
          <w:sz w:val="24"/>
          <w:szCs w:val="24"/>
          <w:lang w:eastAsia="zh-CN"/>
        </w:rPr>
      </w:pPr>
      <w:r>
        <w:rPr>
          <w:rFonts w:hint="eastAsia" w:ascii="黑体" w:hAnsi="黑体" w:eastAsia="黑体" w:cs="Segoe UI"/>
          <w:color w:val="auto"/>
          <w:kern w:val="0"/>
          <w:sz w:val="24"/>
          <w:szCs w:val="24"/>
          <w:highlight w:val="none"/>
          <w:lang w:val="en-US" w:eastAsia="zh-CN"/>
        </w:rPr>
        <w:t>（1）</w:t>
      </w:r>
      <w:r>
        <w:rPr>
          <w:rFonts w:hint="eastAsia" w:ascii="黑体" w:hAnsi="黑体" w:eastAsia="黑体" w:cs="Segoe UI"/>
          <w:color w:val="auto"/>
          <w:kern w:val="0"/>
          <w:sz w:val="24"/>
          <w:szCs w:val="24"/>
          <w:highlight w:val="none"/>
        </w:rPr>
        <w:t>提供</w:t>
      </w:r>
      <w:r>
        <w:rPr>
          <w:rFonts w:hint="eastAsia" w:ascii="黑体" w:hAnsi="黑体" w:eastAsia="黑体" w:cs="黑体"/>
          <w:b w:val="0"/>
          <w:bCs w:val="0"/>
          <w:snapToGrid w:val="0"/>
          <w:sz w:val="24"/>
          <w:szCs w:val="24"/>
          <w:lang w:eastAsia="zh-CN"/>
        </w:rPr>
        <w:t>复膜机组</w:t>
      </w:r>
      <w:r>
        <w:rPr>
          <w:rFonts w:hint="eastAsia" w:ascii="黑体" w:hAnsi="黑体" w:eastAsia="黑体" w:cs="黑体"/>
          <w:b w:val="0"/>
          <w:bCs w:val="0"/>
          <w:snapToGrid w:val="0"/>
          <w:sz w:val="24"/>
          <w:szCs w:val="24"/>
        </w:rPr>
        <w:t>发电机组</w:t>
      </w:r>
      <w:r>
        <w:rPr>
          <w:rFonts w:hint="eastAsia" w:ascii="黑体" w:hAnsi="黑体" w:eastAsia="黑体" w:cs="Segoe UI"/>
          <w:color w:val="auto"/>
          <w:kern w:val="0"/>
          <w:sz w:val="24"/>
          <w:szCs w:val="24"/>
          <w:highlight w:val="none"/>
        </w:rPr>
        <w:t>业绩</w:t>
      </w:r>
      <w:r>
        <w:rPr>
          <w:rFonts w:hint="eastAsia" w:ascii="黑体" w:hAnsi="黑体" w:eastAsia="黑体" w:cs="Segoe UI"/>
          <w:kern w:val="0"/>
          <w:sz w:val="24"/>
          <w:szCs w:val="24"/>
        </w:rPr>
        <w:t>。</w:t>
      </w:r>
      <w:r>
        <w:rPr>
          <w:rFonts w:hint="eastAsia" w:ascii="黑体" w:hAnsi="黑体" w:eastAsia="黑体" w:cs="Segoe UI"/>
          <w:kern w:val="0"/>
          <w:sz w:val="24"/>
          <w:szCs w:val="24"/>
          <w:lang w:val="en-US" w:eastAsia="zh-CN"/>
        </w:rPr>
        <w:t>业绩证明资料要求：合同关键页（至少包含合同首末页、合同总额页、合同标的</w:t>
      </w:r>
      <w:r>
        <w:rPr>
          <w:rFonts w:hint="eastAsia" w:ascii="黑体" w:hAnsi="黑体" w:eastAsia="黑体" w:cs="Segoe UI"/>
          <w:kern w:val="0"/>
          <w:sz w:val="24"/>
          <w:szCs w:val="24"/>
          <w:lang w:val="zh-CN" w:eastAsia="zh-CN"/>
        </w:rPr>
        <w:t>页、</w:t>
      </w:r>
      <w:r>
        <w:rPr>
          <w:rFonts w:hint="eastAsia" w:ascii="黑体" w:hAnsi="黑体" w:eastAsia="黑体" w:cs="Segoe UI"/>
          <w:kern w:val="0"/>
          <w:sz w:val="24"/>
          <w:szCs w:val="24"/>
          <w:lang w:val="en-US" w:eastAsia="zh-CN"/>
        </w:rPr>
        <w:t>装置应用行业体现页、签订时间页、签字盖章页等足以证明业绩的有效材料）。同一家单位多次采购</w:t>
      </w:r>
      <w:r>
        <w:rPr>
          <w:rFonts w:hint="eastAsia" w:ascii="黑体" w:hAnsi="黑体" w:eastAsia="黑体" w:cs="Segoe UI"/>
          <w:kern w:val="0"/>
          <w:sz w:val="24"/>
          <w:szCs w:val="24"/>
        </w:rPr>
        <w:t>，合同数量可累计</w:t>
      </w:r>
      <w:r>
        <w:rPr>
          <w:rFonts w:hint="eastAsia" w:ascii="黑体" w:hAnsi="黑体" w:eastAsia="黑体" w:cs="Segoe UI"/>
          <w:kern w:val="0"/>
          <w:sz w:val="24"/>
          <w:szCs w:val="24"/>
          <w:lang w:eastAsia="zh-CN"/>
        </w:rPr>
        <w:t>。</w:t>
      </w:r>
    </w:p>
    <w:p w14:paraId="7BA561F3">
      <w:pPr>
        <w:pStyle w:val="37"/>
        <w:spacing w:line="360" w:lineRule="auto"/>
        <w:ind w:left="0" w:leftChars="0" w:firstLine="0" w:firstLineChars="0"/>
        <w:rPr>
          <w:rFonts w:ascii="黑体" w:hAnsi="黑体" w:eastAsia="黑体" w:cs="Segoe UI"/>
          <w:kern w:val="0"/>
          <w:sz w:val="24"/>
          <w:szCs w:val="24"/>
        </w:rPr>
      </w:pPr>
      <w:r>
        <w:rPr>
          <w:rFonts w:hint="eastAsia" w:ascii="黑体" w:hAnsi="黑体" w:eastAsia="黑体" w:cs="Segoe UI"/>
          <w:kern w:val="0"/>
          <w:sz w:val="24"/>
          <w:szCs w:val="24"/>
        </w:rPr>
        <w:t>业绩汇总表：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701"/>
        <w:gridCol w:w="1751"/>
        <w:gridCol w:w="1218"/>
        <w:gridCol w:w="1219"/>
        <w:gridCol w:w="1874"/>
      </w:tblGrid>
      <w:tr w14:paraId="73D0D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8" w:type="dxa"/>
            <w:vAlign w:val="center"/>
          </w:tcPr>
          <w:p w14:paraId="20692E79">
            <w:pPr>
              <w:pStyle w:val="37"/>
              <w:spacing w:line="360" w:lineRule="auto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序号</w:t>
            </w:r>
          </w:p>
        </w:tc>
        <w:tc>
          <w:tcPr>
            <w:tcW w:w="2032" w:type="dxa"/>
            <w:vAlign w:val="center"/>
          </w:tcPr>
          <w:p w14:paraId="649086BC">
            <w:pPr>
              <w:pStyle w:val="37"/>
              <w:spacing w:line="360" w:lineRule="auto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合同签订时间</w:t>
            </w:r>
          </w:p>
        </w:tc>
        <w:tc>
          <w:tcPr>
            <w:tcW w:w="1751" w:type="dxa"/>
            <w:vAlign w:val="center"/>
          </w:tcPr>
          <w:p w14:paraId="5F26B86A">
            <w:pPr>
              <w:pStyle w:val="37"/>
              <w:spacing w:line="360" w:lineRule="auto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业绩单位</w:t>
            </w:r>
          </w:p>
        </w:tc>
        <w:tc>
          <w:tcPr>
            <w:tcW w:w="1420" w:type="dxa"/>
            <w:vAlign w:val="center"/>
          </w:tcPr>
          <w:p w14:paraId="082C2751">
            <w:pPr>
              <w:pStyle w:val="37"/>
              <w:spacing w:line="360" w:lineRule="auto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产品规格</w:t>
            </w:r>
          </w:p>
        </w:tc>
        <w:tc>
          <w:tcPr>
            <w:tcW w:w="1421" w:type="dxa"/>
            <w:vAlign w:val="center"/>
          </w:tcPr>
          <w:p w14:paraId="14B74CFF">
            <w:pPr>
              <w:pStyle w:val="37"/>
              <w:spacing w:line="360" w:lineRule="auto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产品数量</w:t>
            </w:r>
          </w:p>
        </w:tc>
        <w:tc>
          <w:tcPr>
            <w:tcW w:w="2250" w:type="dxa"/>
            <w:vAlign w:val="center"/>
          </w:tcPr>
          <w:p w14:paraId="0C4EE046">
            <w:pPr>
              <w:pStyle w:val="37"/>
              <w:spacing w:line="360" w:lineRule="auto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备注</w:t>
            </w:r>
          </w:p>
        </w:tc>
      </w:tr>
      <w:tr w14:paraId="369D6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12BAC11D">
            <w:pPr>
              <w:pStyle w:val="37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1</w:t>
            </w:r>
          </w:p>
        </w:tc>
        <w:tc>
          <w:tcPr>
            <w:tcW w:w="2032" w:type="dxa"/>
          </w:tcPr>
          <w:p w14:paraId="65B7C806">
            <w:pPr>
              <w:pStyle w:val="37"/>
              <w:ind w:firstLine="0" w:firstLineChars="0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</w:p>
        </w:tc>
        <w:tc>
          <w:tcPr>
            <w:tcW w:w="1751" w:type="dxa"/>
          </w:tcPr>
          <w:p w14:paraId="264BDD45">
            <w:pPr>
              <w:pStyle w:val="37"/>
              <w:ind w:firstLine="0" w:firstLineChars="0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</w:p>
        </w:tc>
        <w:tc>
          <w:tcPr>
            <w:tcW w:w="1420" w:type="dxa"/>
          </w:tcPr>
          <w:p w14:paraId="168FE5A2">
            <w:pPr>
              <w:pStyle w:val="37"/>
              <w:ind w:firstLine="0" w:firstLineChars="0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14:paraId="22F909FF">
            <w:pPr>
              <w:pStyle w:val="37"/>
              <w:ind w:firstLine="0" w:firstLineChars="0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543142C">
            <w:pPr>
              <w:pStyle w:val="37"/>
              <w:ind w:firstLine="0" w:firstLineChars="0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</w:p>
        </w:tc>
      </w:tr>
      <w:tr w14:paraId="39A1E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114D98A6">
            <w:pPr>
              <w:pStyle w:val="37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...</w:t>
            </w:r>
          </w:p>
        </w:tc>
        <w:tc>
          <w:tcPr>
            <w:tcW w:w="2032" w:type="dxa"/>
          </w:tcPr>
          <w:p w14:paraId="0172EC1C">
            <w:pPr>
              <w:pStyle w:val="37"/>
              <w:ind w:firstLine="0" w:firstLineChars="0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</w:p>
        </w:tc>
        <w:tc>
          <w:tcPr>
            <w:tcW w:w="1751" w:type="dxa"/>
          </w:tcPr>
          <w:p w14:paraId="495134CB">
            <w:pPr>
              <w:pStyle w:val="37"/>
              <w:ind w:firstLine="0" w:firstLineChars="0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</w:p>
        </w:tc>
        <w:tc>
          <w:tcPr>
            <w:tcW w:w="1420" w:type="dxa"/>
          </w:tcPr>
          <w:p w14:paraId="08980F3D">
            <w:pPr>
              <w:pStyle w:val="37"/>
              <w:ind w:firstLine="0" w:firstLineChars="0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14:paraId="5A734C3A">
            <w:pPr>
              <w:pStyle w:val="37"/>
              <w:ind w:firstLine="0" w:firstLineChars="0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67CD743">
            <w:pPr>
              <w:pStyle w:val="37"/>
              <w:ind w:firstLine="0" w:firstLineChars="0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</w:p>
        </w:tc>
      </w:tr>
      <w:tr w14:paraId="6DF65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0BC3D377">
            <w:pPr>
              <w:pStyle w:val="37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合计</w:t>
            </w:r>
          </w:p>
        </w:tc>
        <w:tc>
          <w:tcPr>
            <w:tcW w:w="2032" w:type="dxa"/>
          </w:tcPr>
          <w:p w14:paraId="086F6329">
            <w:pPr>
              <w:pStyle w:val="37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/</w:t>
            </w:r>
          </w:p>
        </w:tc>
        <w:tc>
          <w:tcPr>
            <w:tcW w:w="1751" w:type="dxa"/>
          </w:tcPr>
          <w:p w14:paraId="07B26D34">
            <w:pPr>
              <w:pStyle w:val="37"/>
              <w:ind w:right="560" w:firstLine="840" w:firstLineChars="35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家</w:t>
            </w:r>
          </w:p>
        </w:tc>
        <w:tc>
          <w:tcPr>
            <w:tcW w:w="1420" w:type="dxa"/>
          </w:tcPr>
          <w:p w14:paraId="797B05C9">
            <w:pPr>
              <w:pStyle w:val="37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/</w:t>
            </w:r>
          </w:p>
        </w:tc>
        <w:tc>
          <w:tcPr>
            <w:tcW w:w="1421" w:type="dxa"/>
          </w:tcPr>
          <w:p w14:paraId="67D64FCE">
            <w:pPr>
              <w:pStyle w:val="37"/>
              <w:ind w:firstLine="0" w:firstLineChars="0"/>
              <w:jc w:val="center"/>
              <w:rPr>
                <w:rFonts w:hint="eastAsia" w:ascii="黑体" w:hAnsi="黑体" w:eastAsia="黑体" w:cs="Segoe U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2250" w:type="dxa"/>
          </w:tcPr>
          <w:p w14:paraId="186A0B11">
            <w:pPr>
              <w:pStyle w:val="37"/>
              <w:ind w:firstLine="0" w:firstLineChars="0"/>
              <w:jc w:val="right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</w:p>
        </w:tc>
      </w:tr>
    </w:tbl>
    <w:p w14:paraId="149C571B">
      <w:pPr>
        <w:spacing w:line="440" w:lineRule="exact"/>
        <w:rPr>
          <w:rFonts w:hint="eastAsia" w:ascii="黑体" w:hAnsi="黑体" w:eastAsia="黑体" w:cs="Segoe UI"/>
          <w:kern w:val="0"/>
          <w:sz w:val="28"/>
          <w:szCs w:val="28"/>
          <w:lang w:val="en-US" w:eastAsia="zh-CN" w:bidi="ar-SA"/>
        </w:rPr>
      </w:pPr>
    </w:p>
    <w:p w14:paraId="62335545">
      <w:pPr>
        <w:pStyle w:val="18"/>
        <w:wordWrap w:val="0"/>
        <w:spacing w:line="360" w:lineRule="auto"/>
        <w:ind w:left="525" w:firstLine="560"/>
        <w:jc w:val="right"/>
        <w:rPr>
          <w:rFonts w:hint="eastAsia" w:ascii="黑体" w:hAnsi="黑体" w:eastAsia="黑体" w:cs="黑体"/>
          <w:sz w:val="24"/>
          <w:szCs w:val="24"/>
        </w:rPr>
      </w:pPr>
    </w:p>
    <w:p w14:paraId="5C8A4F0D">
      <w:pPr>
        <w:spacing w:line="360" w:lineRule="auto"/>
        <w:rPr>
          <w:rFonts w:hint="eastAsia" w:ascii="黑体" w:hAnsi="黑体" w:eastAsia="黑体" w:cs="Segoe UI"/>
          <w:b w:val="0"/>
          <w:bCs w:val="0"/>
          <w:sz w:val="28"/>
          <w:szCs w:val="28"/>
          <w:lang w:val="en-US" w:eastAsia="zh-CN"/>
        </w:rPr>
      </w:pPr>
    </w:p>
    <w:p w14:paraId="5AF9242C">
      <w:pPr>
        <w:spacing w:line="360" w:lineRule="auto"/>
        <w:rPr>
          <w:rFonts w:hint="eastAsia" w:ascii="黑体" w:hAnsi="黑体" w:eastAsia="黑体" w:cs="Segoe UI"/>
          <w:b w:val="0"/>
          <w:bCs w:val="0"/>
          <w:sz w:val="28"/>
          <w:szCs w:val="28"/>
          <w:lang w:val="en-US" w:eastAsia="zh-CN"/>
        </w:rPr>
      </w:pPr>
    </w:p>
    <w:p w14:paraId="600249AF">
      <w:pPr>
        <w:numPr>
          <w:ilvl w:val="0"/>
          <w:numId w:val="0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8718514">
      <w:pPr>
        <w:widowControl w:val="0"/>
        <w:numPr>
          <w:ilvl w:val="0"/>
          <w:numId w:val="0"/>
        </w:numPr>
        <w:spacing w:line="360" w:lineRule="exact"/>
        <w:jc w:val="both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7A56A857">
      <w:pPr>
        <w:widowControl w:val="0"/>
        <w:numPr>
          <w:ilvl w:val="0"/>
          <w:numId w:val="0"/>
        </w:numPr>
        <w:spacing w:line="360" w:lineRule="exact"/>
        <w:jc w:val="both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5C88F92">
      <w:pPr>
        <w:widowControl w:val="0"/>
        <w:numPr>
          <w:ilvl w:val="0"/>
          <w:numId w:val="0"/>
        </w:numPr>
        <w:spacing w:line="360" w:lineRule="exact"/>
        <w:jc w:val="both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5D23D88F">
      <w:pPr>
        <w:widowControl w:val="0"/>
        <w:numPr>
          <w:ilvl w:val="0"/>
          <w:numId w:val="0"/>
        </w:numPr>
        <w:spacing w:line="360" w:lineRule="exact"/>
        <w:jc w:val="both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6EF61B75">
      <w:pPr>
        <w:widowControl w:val="0"/>
        <w:numPr>
          <w:ilvl w:val="0"/>
          <w:numId w:val="0"/>
        </w:numPr>
        <w:spacing w:line="360" w:lineRule="exact"/>
        <w:jc w:val="both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50C11333">
      <w:pPr>
        <w:numPr>
          <w:ilvl w:val="0"/>
          <w:numId w:val="0"/>
        </w:numPr>
        <w:spacing w:line="360" w:lineRule="exact"/>
        <w:ind w:left="420" w:leftChars="0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43D38CC2">
      <w:pPr>
        <w:numPr>
          <w:ilvl w:val="0"/>
          <w:numId w:val="0"/>
        </w:numPr>
        <w:spacing w:line="360" w:lineRule="exact"/>
        <w:ind w:left="420" w:leftChars="0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71DBA2DD">
      <w:pPr>
        <w:numPr>
          <w:ilvl w:val="0"/>
          <w:numId w:val="0"/>
        </w:numPr>
        <w:spacing w:line="360" w:lineRule="exact"/>
        <w:ind w:left="420" w:leftChars="0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59634DA">
      <w:pPr>
        <w:numPr>
          <w:ilvl w:val="0"/>
          <w:numId w:val="0"/>
        </w:numPr>
        <w:spacing w:line="360" w:lineRule="exact"/>
        <w:ind w:left="420" w:leftChars="0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309639C7">
      <w:pPr>
        <w:numPr>
          <w:ilvl w:val="0"/>
          <w:numId w:val="0"/>
        </w:numPr>
        <w:spacing w:line="360" w:lineRule="exact"/>
        <w:ind w:left="420" w:leftChars="0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D8154AF">
      <w:pPr>
        <w:numPr>
          <w:ilvl w:val="0"/>
          <w:numId w:val="0"/>
        </w:numPr>
        <w:spacing w:line="360" w:lineRule="exact"/>
        <w:ind w:left="420" w:leftChars="0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000097F">
      <w:pPr>
        <w:numPr>
          <w:ilvl w:val="0"/>
          <w:numId w:val="0"/>
        </w:numPr>
        <w:spacing w:line="360" w:lineRule="exact"/>
        <w:ind w:left="420" w:leftChars="0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CD701C0">
      <w:pPr>
        <w:numPr>
          <w:ilvl w:val="0"/>
          <w:numId w:val="0"/>
        </w:numPr>
        <w:spacing w:line="360" w:lineRule="exact"/>
        <w:ind w:left="420" w:leftChars="0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4FFC563C">
      <w:pPr>
        <w:numPr>
          <w:ilvl w:val="0"/>
          <w:numId w:val="0"/>
        </w:numPr>
        <w:spacing w:line="360" w:lineRule="exact"/>
        <w:ind w:left="420" w:leftChars="0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6769C864">
      <w:pPr>
        <w:numPr>
          <w:ilvl w:val="0"/>
          <w:numId w:val="0"/>
        </w:numPr>
        <w:spacing w:line="360" w:lineRule="exact"/>
        <w:ind w:left="420" w:leftChars="0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473C81E4">
      <w:pPr>
        <w:numPr>
          <w:ilvl w:val="0"/>
          <w:numId w:val="0"/>
        </w:numPr>
        <w:spacing w:line="360" w:lineRule="exact"/>
        <w:ind w:left="420" w:leftChars="0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4677F641">
      <w:pPr>
        <w:numPr>
          <w:ilvl w:val="0"/>
          <w:numId w:val="0"/>
        </w:numPr>
        <w:spacing w:line="360" w:lineRule="exact"/>
        <w:ind w:left="420" w:leftChars="0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60BC05EE">
      <w:pPr>
        <w:numPr>
          <w:ilvl w:val="0"/>
          <w:numId w:val="0"/>
        </w:numPr>
        <w:spacing w:line="360" w:lineRule="exact"/>
        <w:ind w:left="420" w:leftChars="0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7E55A2CE">
      <w:pPr>
        <w:numPr>
          <w:ilvl w:val="0"/>
          <w:numId w:val="0"/>
        </w:numPr>
        <w:spacing w:line="360" w:lineRule="exact"/>
        <w:ind w:left="420" w:leftChars="0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410C23DF">
      <w:pPr>
        <w:numPr>
          <w:ilvl w:val="0"/>
          <w:numId w:val="0"/>
        </w:numPr>
        <w:spacing w:line="360" w:lineRule="exact"/>
        <w:ind w:left="420" w:leftChars="0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6516268A">
      <w:pPr>
        <w:numPr>
          <w:ilvl w:val="0"/>
          <w:numId w:val="0"/>
        </w:numPr>
        <w:spacing w:line="360" w:lineRule="exact"/>
        <w:ind w:left="420" w:leftChars="0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788BBE8E">
      <w:pPr>
        <w:numPr>
          <w:ilvl w:val="0"/>
          <w:numId w:val="0"/>
        </w:numPr>
        <w:spacing w:line="360" w:lineRule="exact"/>
        <w:ind w:left="420" w:leftChars="0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  <w:t>（四）随机配件清单：</w:t>
      </w:r>
    </w:p>
    <w:p w14:paraId="0326840C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48168F62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CF69B38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7BB7D5DA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57257BD2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B136010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17E82AE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504EF952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157A29F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3E1CD1BA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4791BF5A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30CAFF7E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E28F2BD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52F021EC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C733366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5982C2F7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DF05557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33D9BFD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3027543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ED9D24D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0B9B02B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94BE02E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604F102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63B2225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E0F53CF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7F1B2E0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4CF671EC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3D4FBE11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35DDAF8D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7A659E1F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5C3ADC09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780F999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4D8D67E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30E9D644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366B543">
      <w:pPr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1047757F">
      <w:pPr>
        <w:kinsoku/>
        <w:overflowPunct/>
        <w:topLinePunct w:val="0"/>
        <w:bidi w:val="0"/>
        <w:spacing w:line="360" w:lineRule="auto"/>
        <w:ind w:right="0" w:rightChars="0" w:firstLine="3654" w:firstLineChars="130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4C835A9F">
      <w:pPr>
        <w:kinsoku/>
        <w:overflowPunct/>
        <w:topLinePunct w:val="0"/>
        <w:bidi w:val="0"/>
        <w:spacing w:line="360" w:lineRule="auto"/>
        <w:ind w:right="0" w:rightChars="0" w:firstLine="3654" w:firstLineChars="1300"/>
        <w:jc w:val="both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（五）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420A54F1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3AAC0E0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材料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601FDF45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我公司提供的物资质量、环保、安全符合国家要求；</w:t>
      </w:r>
    </w:p>
    <w:p w14:paraId="0ECDB4DF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1EF5DC04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42E1DC08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4378A9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⑸若中标，我公司将按照合同约定的时间、地点和方式交付物资，确保项目顺利推进。</w:t>
      </w:r>
    </w:p>
    <w:p w14:paraId="68CD4685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1BDA483C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default" w:ascii="宋体" w:hAnsi="宋体"/>
          <w:color w:val="auto"/>
          <w:lang w:val="en-US" w:eastAsia="zh-CN"/>
        </w:rPr>
      </w:pPr>
      <w:r>
        <w:rPr>
          <w:rFonts w:hint="eastAsia" w:ascii="宋体" w:hAnsi="宋体"/>
          <w:color w:val="auto"/>
          <w:lang w:val="en-US" w:eastAsia="zh-CN"/>
        </w:rPr>
        <w:t>（7）完全响应招标文件要求。</w:t>
      </w:r>
    </w:p>
    <w:p w14:paraId="4D39A6D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2DFC21E2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7F8D2790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04C25D3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1496973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05FA4A2C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0B235820">
      <w:pPr>
        <w:widowControl w:val="0"/>
        <w:numPr>
          <w:ilvl w:val="0"/>
          <w:numId w:val="0"/>
        </w:numPr>
        <w:spacing w:line="360" w:lineRule="exact"/>
        <w:jc w:val="both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11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11"/>
      <w:ind w:right="360"/>
      <w:jc w:val="center"/>
    </w:pPr>
    <w:r>
      <w:fldChar w:fldCharType="begin"/>
    </w:r>
    <w:r>
      <w:rPr>
        <w:rStyle w:val="23"/>
      </w:rPr>
      <w:instrText xml:space="preserve"> PAGE </w:instrText>
    </w:r>
    <w:r>
      <w:fldChar w:fldCharType="separate"/>
    </w:r>
    <w:r>
      <w:rPr>
        <w:rStyle w:val="23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11"/>
      <w:framePr w:wrap="around" w:vAnchor="text" w:hAnchor="margin" w:xAlign="center" w:y="1"/>
      <w:rPr>
        <w:rStyle w:val="23"/>
      </w:rPr>
    </w:pPr>
    <w:r>
      <w:fldChar w:fldCharType="begin"/>
    </w:r>
    <w:r>
      <w:rPr>
        <w:rStyle w:val="23"/>
      </w:rPr>
      <w:instrText xml:space="preserve">PAGE  </w:instrText>
    </w:r>
    <w:r>
      <w:fldChar w:fldCharType="separate"/>
    </w:r>
    <w:r>
      <w:rPr>
        <w:rStyle w:val="23"/>
      </w:rPr>
      <w:t>12</w:t>
    </w:r>
    <w:r>
      <w:fldChar w:fldCharType="end"/>
    </w:r>
  </w:p>
  <w:p w14:paraId="7BADD2CA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BDB7D4E"/>
    <w:multiLevelType w:val="singleLevel"/>
    <w:tmpl w:val="CBDB7D4E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EFFB4DD"/>
    <w:multiLevelType w:val="singleLevel"/>
    <w:tmpl w:val="3EFFB4D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62435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74F37"/>
    <w:rsid w:val="017D438D"/>
    <w:rsid w:val="025C5A85"/>
    <w:rsid w:val="02D54661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283431"/>
    <w:rsid w:val="05573D16"/>
    <w:rsid w:val="057443B4"/>
    <w:rsid w:val="05C017FD"/>
    <w:rsid w:val="0687687D"/>
    <w:rsid w:val="06F2489E"/>
    <w:rsid w:val="070268E6"/>
    <w:rsid w:val="07501427"/>
    <w:rsid w:val="076636BD"/>
    <w:rsid w:val="07B216D8"/>
    <w:rsid w:val="07DA6A27"/>
    <w:rsid w:val="094A00EB"/>
    <w:rsid w:val="094D7C7A"/>
    <w:rsid w:val="097507C7"/>
    <w:rsid w:val="097D22E2"/>
    <w:rsid w:val="09AD2157"/>
    <w:rsid w:val="0A3C4D43"/>
    <w:rsid w:val="0A3D172D"/>
    <w:rsid w:val="0B6C6FDB"/>
    <w:rsid w:val="0B854314"/>
    <w:rsid w:val="0B89067A"/>
    <w:rsid w:val="0C5F0F6E"/>
    <w:rsid w:val="0D004BE0"/>
    <w:rsid w:val="0D6635DC"/>
    <w:rsid w:val="0EC51CF1"/>
    <w:rsid w:val="0EF763F9"/>
    <w:rsid w:val="0F1113DA"/>
    <w:rsid w:val="0F1862C4"/>
    <w:rsid w:val="0F783207"/>
    <w:rsid w:val="0F797A29"/>
    <w:rsid w:val="0FBB34F5"/>
    <w:rsid w:val="0FFD54BA"/>
    <w:rsid w:val="10525110"/>
    <w:rsid w:val="110E7C3C"/>
    <w:rsid w:val="11625F1D"/>
    <w:rsid w:val="120F5BA7"/>
    <w:rsid w:val="1235718D"/>
    <w:rsid w:val="128A3A09"/>
    <w:rsid w:val="12A6008B"/>
    <w:rsid w:val="12D009A7"/>
    <w:rsid w:val="13C54541"/>
    <w:rsid w:val="14676D7E"/>
    <w:rsid w:val="14CB5B87"/>
    <w:rsid w:val="15202502"/>
    <w:rsid w:val="15916DD0"/>
    <w:rsid w:val="16413351"/>
    <w:rsid w:val="164E090F"/>
    <w:rsid w:val="16937390"/>
    <w:rsid w:val="172F5937"/>
    <w:rsid w:val="17660053"/>
    <w:rsid w:val="177C482D"/>
    <w:rsid w:val="190E59FE"/>
    <w:rsid w:val="19393A07"/>
    <w:rsid w:val="194D7613"/>
    <w:rsid w:val="1A294B27"/>
    <w:rsid w:val="1A683441"/>
    <w:rsid w:val="1A961142"/>
    <w:rsid w:val="1B4F7715"/>
    <w:rsid w:val="1C4C57FF"/>
    <w:rsid w:val="1D64697C"/>
    <w:rsid w:val="1DD969AB"/>
    <w:rsid w:val="1E55532E"/>
    <w:rsid w:val="1E62665C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36563F"/>
    <w:rsid w:val="226E3D33"/>
    <w:rsid w:val="22A07CA6"/>
    <w:rsid w:val="237F15B6"/>
    <w:rsid w:val="240E783E"/>
    <w:rsid w:val="246966F1"/>
    <w:rsid w:val="2470465E"/>
    <w:rsid w:val="24E93182"/>
    <w:rsid w:val="24F6510A"/>
    <w:rsid w:val="24FA55ED"/>
    <w:rsid w:val="25CC5B88"/>
    <w:rsid w:val="26163096"/>
    <w:rsid w:val="26933E36"/>
    <w:rsid w:val="26BC19A6"/>
    <w:rsid w:val="27407893"/>
    <w:rsid w:val="279E3E6D"/>
    <w:rsid w:val="27A73E71"/>
    <w:rsid w:val="27B8643F"/>
    <w:rsid w:val="284D6CAB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B504FAF"/>
    <w:rsid w:val="2C0635BA"/>
    <w:rsid w:val="2C612895"/>
    <w:rsid w:val="2C672453"/>
    <w:rsid w:val="2EC03E0B"/>
    <w:rsid w:val="2EE64169"/>
    <w:rsid w:val="2F5B5569"/>
    <w:rsid w:val="300E355A"/>
    <w:rsid w:val="30337F16"/>
    <w:rsid w:val="30464A25"/>
    <w:rsid w:val="3082583C"/>
    <w:rsid w:val="31A45B7D"/>
    <w:rsid w:val="31A5035D"/>
    <w:rsid w:val="31AB11D1"/>
    <w:rsid w:val="32FD564D"/>
    <w:rsid w:val="33980AB1"/>
    <w:rsid w:val="343739B5"/>
    <w:rsid w:val="344A7D4E"/>
    <w:rsid w:val="347D19AD"/>
    <w:rsid w:val="34A57D4B"/>
    <w:rsid w:val="34C32719"/>
    <w:rsid w:val="34E44129"/>
    <w:rsid w:val="34E65643"/>
    <w:rsid w:val="3539753D"/>
    <w:rsid w:val="354A3431"/>
    <w:rsid w:val="35771A99"/>
    <w:rsid w:val="361436EF"/>
    <w:rsid w:val="363D49D0"/>
    <w:rsid w:val="36481456"/>
    <w:rsid w:val="371A057C"/>
    <w:rsid w:val="37296A11"/>
    <w:rsid w:val="388861A3"/>
    <w:rsid w:val="38DC340E"/>
    <w:rsid w:val="390239BE"/>
    <w:rsid w:val="397321C6"/>
    <w:rsid w:val="3A801D52"/>
    <w:rsid w:val="3ABF1B60"/>
    <w:rsid w:val="3B10121D"/>
    <w:rsid w:val="3B910246"/>
    <w:rsid w:val="3BA23F27"/>
    <w:rsid w:val="3BB75F0B"/>
    <w:rsid w:val="3BF62074"/>
    <w:rsid w:val="3C240407"/>
    <w:rsid w:val="3C926E07"/>
    <w:rsid w:val="3D2D4ECB"/>
    <w:rsid w:val="3D8E7046"/>
    <w:rsid w:val="3DB1150E"/>
    <w:rsid w:val="3DD85B51"/>
    <w:rsid w:val="3E197344"/>
    <w:rsid w:val="3E583D12"/>
    <w:rsid w:val="3ED4578B"/>
    <w:rsid w:val="3F213F33"/>
    <w:rsid w:val="3FE536F1"/>
    <w:rsid w:val="40083152"/>
    <w:rsid w:val="40085CD0"/>
    <w:rsid w:val="4041301D"/>
    <w:rsid w:val="404B5C4A"/>
    <w:rsid w:val="42587944"/>
    <w:rsid w:val="42932E0A"/>
    <w:rsid w:val="43243278"/>
    <w:rsid w:val="435B56FC"/>
    <w:rsid w:val="43884ABF"/>
    <w:rsid w:val="447B5CAA"/>
    <w:rsid w:val="44A00219"/>
    <w:rsid w:val="450A0C36"/>
    <w:rsid w:val="45367494"/>
    <w:rsid w:val="45877724"/>
    <w:rsid w:val="4609739A"/>
    <w:rsid w:val="467A2DE5"/>
    <w:rsid w:val="470A03A4"/>
    <w:rsid w:val="47CC58C3"/>
    <w:rsid w:val="47F46EAE"/>
    <w:rsid w:val="48724017"/>
    <w:rsid w:val="48750F6C"/>
    <w:rsid w:val="492B4B3C"/>
    <w:rsid w:val="4987050C"/>
    <w:rsid w:val="4A185620"/>
    <w:rsid w:val="4A6F4C2B"/>
    <w:rsid w:val="4B5D2E6D"/>
    <w:rsid w:val="4B964C95"/>
    <w:rsid w:val="4BDF7931"/>
    <w:rsid w:val="4CE73852"/>
    <w:rsid w:val="4D477799"/>
    <w:rsid w:val="4DCF4AEB"/>
    <w:rsid w:val="4E0D1159"/>
    <w:rsid w:val="4E5A52AA"/>
    <w:rsid w:val="4ED526A3"/>
    <w:rsid w:val="4EE10E98"/>
    <w:rsid w:val="4EE97C85"/>
    <w:rsid w:val="4EF4434D"/>
    <w:rsid w:val="4F203C16"/>
    <w:rsid w:val="4FE70DC0"/>
    <w:rsid w:val="502E581F"/>
    <w:rsid w:val="50CC06E1"/>
    <w:rsid w:val="50D71EE0"/>
    <w:rsid w:val="50F46497"/>
    <w:rsid w:val="514328A4"/>
    <w:rsid w:val="51875472"/>
    <w:rsid w:val="51F577C4"/>
    <w:rsid w:val="522E0F28"/>
    <w:rsid w:val="52884ADC"/>
    <w:rsid w:val="52A80CDA"/>
    <w:rsid w:val="53140492"/>
    <w:rsid w:val="533212A1"/>
    <w:rsid w:val="536F17F8"/>
    <w:rsid w:val="53EE72C6"/>
    <w:rsid w:val="54887ACF"/>
    <w:rsid w:val="548B2661"/>
    <w:rsid w:val="54AA722A"/>
    <w:rsid w:val="55573243"/>
    <w:rsid w:val="55BE4F5F"/>
    <w:rsid w:val="55E22755"/>
    <w:rsid w:val="57193C9E"/>
    <w:rsid w:val="57541431"/>
    <w:rsid w:val="576C2775"/>
    <w:rsid w:val="58450CDC"/>
    <w:rsid w:val="586048F0"/>
    <w:rsid w:val="588549CE"/>
    <w:rsid w:val="58AE7DA1"/>
    <w:rsid w:val="58DD7D9A"/>
    <w:rsid w:val="59AD4E28"/>
    <w:rsid w:val="5ACE14FA"/>
    <w:rsid w:val="5B1D65E8"/>
    <w:rsid w:val="5BD36581"/>
    <w:rsid w:val="5C7326AA"/>
    <w:rsid w:val="5C8C341B"/>
    <w:rsid w:val="5D2F2B1E"/>
    <w:rsid w:val="5D6F365F"/>
    <w:rsid w:val="5DEF5A0F"/>
    <w:rsid w:val="5DF72B16"/>
    <w:rsid w:val="5ECA3D86"/>
    <w:rsid w:val="5F100333"/>
    <w:rsid w:val="5F4D50E3"/>
    <w:rsid w:val="60303C60"/>
    <w:rsid w:val="607F1B18"/>
    <w:rsid w:val="6154751D"/>
    <w:rsid w:val="61E15FB7"/>
    <w:rsid w:val="620405EB"/>
    <w:rsid w:val="626B0ACC"/>
    <w:rsid w:val="626F728B"/>
    <w:rsid w:val="62A42563"/>
    <w:rsid w:val="63210307"/>
    <w:rsid w:val="633B16F7"/>
    <w:rsid w:val="63613BBD"/>
    <w:rsid w:val="64132ACB"/>
    <w:rsid w:val="644F1AB3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9D903C8"/>
    <w:rsid w:val="6A6D4C91"/>
    <w:rsid w:val="6AB2229E"/>
    <w:rsid w:val="6AFB2A69"/>
    <w:rsid w:val="6B3E4F40"/>
    <w:rsid w:val="6B4C26F3"/>
    <w:rsid w:val="6B73407C"/>
    <w:rsid w:val="6C465631"/>
    <w:rsid w:val="6C6400AB"/>
    <w:rsid w:val="6C8B590C"/>
    <w:rsid w:val="6C980533"/>
    <w:rsid w:val="6D343A27"/>
    <w:rsid w:val="6D5E0F49"/>
    <w:rsid w:val="6D9F199B"/>
    <w:rsid w:val="6DB261F4"/>
    <w:rsid w:val="6DCF182B"/>
    <w:rsid w:val="6E78166A"/>
    <w:rsid w:val="6F712728"/>
    <w:rsid w:val="6FB22D40"/>
    <w:rsid w:val="6FF06CE8"/>
    <w:rsid w:val="704D2789"/>
    <w:rsid w:val="71710FBA"/>
    <w:rsid w:val="72F9402A"/>
    <w:rsid w:val="733A4279"/>
    <w:rsid w:val="74125240"/>
    <w:rsid w:val="74466827"/>
    <w:rsid w:val="74D06143"/>
    <w:rsid w:val="74F033AB"/>
    <w:rsid w:val="75284014"/>
    <w:rsid w:val="75D4756D"/>
    <w:rsid w:val="75E36E5B"/>
    <w:rsid w:val="770F7930"/>
    <w:rsid w:val="775744D2"/>
    <w:rsid w:val="77E24ED1"/>
    <w:rsid w:val="77ED0A5E"/>
    <w:rsid w:val="786D5A56"/>
    <w:rsid w:val="789C569A"/>
    <w:rsid w:val="789E730E"/>
    <w:rsid w:val="79042BD4"/>
    <w:rsid w:val="7A450456"/>
    <w:rsid w:val="7AC516D6"/>
    <w:rsid w:val="7B0B7A4F"/>
    <w:rsid w:val="7BBE5F26"/>
    <w:rsid w:val="7CD74E20"/>
    <w:rsid w:val="7CFB7AD5"/>
    <w:rsid w:val="7D902913"/>
    <w:rsid w:val="7DA00113"/>
    <w:rsid w:val="7E6B5FAF"/>
    <w:rsid w:val="7EC34622"/>
    <w:rsid w:val="7ED33846"/>
    <w:rsid w:val="7F632E2D"/>
    <w:rsid w:val="7FD400C7"/>
    <w:rsid w:val="7FF80259"/>
    <w:rsid w:val="7FFC5C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50" w:beforeLines="50" w:after="50" w:afterLines="50" w:line="520" w:lineRule="exact"/>
      <w:outlineLvl w:val="0"/>
    </w:pPr>
    <w:rPr>
      <w:b/>
      <w:bCs/>
      <w:kern w:val="44"/>
      <w:sz w:val="30"/>
      <w:szCs w:val="44"/>
    </w:rPr>
  </w:style>
  <w:style w:type="paragraph" w:styleId="3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4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7">
    <w:name w:val="Body Text Indent"/>
    <w:basedOn w:val="1"/>
    <w:next w:val="8"/>
    <w:qFormat/>
    <w:uiPriority w:val="0"/>
    <w:pPr>
      <w:ind w:left="420" w:leftChars="200"/>
    </w:pPr>
  </w:style>
  <w:style w:type="paragraph" w:styleId="8">
    <w:name w:val="envelope return"/>
    <w:basedOn w:val="1"/>
    <w:qFormat/>
    <w:uiPriority w:val="0"/>
  </w:style>
  <w:style w:type="paragraph" w:styleId="9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10">
    <w:name w:val="Balloon Text"/>
    <w:basedOn w:val="1"/>
    <w:link w:val="43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4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1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7">
    <w:name w:val="Body Text First Indent"/>
    <w:basedOn w:val="6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8">
    <w:name w:val="Body Text First Indent 2"/>
    <w:basedOn w:val="7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20">
    <w:name w:val="Table Grid"/>
    <w:basedOn w:val="1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22"/>
    <w:rPr>
      <w:b/>
      <w:bCs/>
    </w:rPr>
  </w:style>
  <w:style w:type="character" w:styleId="23">
    <w:name w:val="page number"/>
    <w:basedOn w:val="21"/>
    <w:qFormat/>
    <w:uiPriority w:val="0"/>
  </w:style>
  <w:style w:type="character" w:styleId="24">
    <w:name w:val="FollowedHyperlink"/>
    <w:basedOn w:val="21"/>
    <w:semiHidden/>
    <w:unhideWhenUsed/>
    <w:qFormat/>
    <w:uiPriority w:val="99"/>
    <w:rPr>
      <w:color w:val="5C5C5C"/>
      <w:u w:val="none"/>
    </w:rPr>
  </w:style>
  <w:style w:type="character" w:styleId="25">
    <w:name w:val="Emphasis"/>
    <w:basedOn w:val="21"/>
    <w:qFormat/>
    <w:uiPriority w:val="20"/>
    <w:rPr>
      <w:b/>
      <w:bCs/>
    </w:rPr>
  </w:style>
  <w:style w:type="character" w:styleId="26">
    <w:name w:val="HTML Definition"/>
    <w:basedOn w:val="21"/>
    <w:semiHidden/>
    <w:unhideWhenUsed/>
    <w:qFormat/>
    <w:uiPriority w:val="99"/>
  </w:style>
  <w:style w:type="character" w:styleId="27">
    <w:name w:val="HTML Typewriter"/>
    <w:basedOn w:val="21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8">
    <w:name w:val="HTML Acronym"/>
    <w:basedOn w:val="21"/>
    <w:semiHidden/>
    <w:unhideWhenUsed/>
    <w:qFormat/>
    <w:uiPriority w:val="99"/>
  </w:style>
  <w:style w:type="character" w:styleId="29">
    <w:name w:val="HTML Variable"/>
    <w:basedOn w:val="21"/>
    <w:semiHidden/>
    <w:unhideWhenUsed/>
    <w:qFormat/>
    <w:uiPriority w:val="99"/>
  </w:style>
  <w:style w:type="character" w:styleId="30">
    <w:name w:val="Hyperlink"/>
    <w:basedOn w:val="21"/>
    <w:semiHidden/>
    <w:unhideWhenUsed/>
    <w:qFormat/>
    <w:uiPriority w:val="99"/>
    <w:rPr>
      <w:color w:val="0000FF"/>
      <w:u w:val="single"/>
    </w:rPr>
  </w:style>
  <w:style w:type="character" w:styleId="31">
    <w:name w:val="HTML Code"/>
    <w:basedOn w:val="21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2">
    <w:name w:val="annotation reference"/>
    <w:basedOn w:val="21"/>
    <w:semiHidden/>
    <w:unhideWhenUsed/>
    <w:qFormat/>
    <w:uiPriority w:val="99"/>
    <w:rPr>
      <w:sz w:val="21"/>
      <w:szCs w:val="21"/>
    </w:rPr>
  </w:style>
  <w:style w:type="character" w:styleId="33">
    <w:name w:val="HTML Cite"/>
    <w:basedOn w:val="21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4">
    <w:name w:val="HTML Keyboard"/>
    <w:basedOn w:val="21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5">
    <w:name w:val="HTML Sample"/>
    <w:basedOn w:val="21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6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7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8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9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41">
    <w:name w:val="页眉 Char"/>
    <w:basedOn w:val="21"/>
    <w:link w:val="1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页脚 Char"/>
    <w:basedOn w:val="21"/>
    <w:link w:val="11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3">
    <w:name w:val="批注框文本 Char"/>
    <w:basedOn w:val="21"/>
    <w:link w:val="10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4">
    <w:name w:val="hover"/>
    <w:basedOn w:val="21"/>
    <w:qFormat/>
    <w:uiPriority w:val="0"/>
    <w:rPr>
      <w:shd w:val="clear" w:color="auto" w:fill="E9F4FD"/>
    </w:rPr>
  </w:style>
  <w:style w:type="character" w:customStyle="1" w:styleId="45">
    <w:name w:val="hover1"/>
    <w:basedOn w:val="21"/>
    <w:qFormat/>
    <w:uiPriority w:val="0"/>
    <w:rPr>
      <w:color w:val="2590EB"/>
    </w:rPr>
  </w:style>
  <w:style w:type="character" w:customStyle="1" w:styleId="46">
    <w:name w:val="hover2"/>
    <w:basedOn w:val="21"/>
    <w:qFormat/>
    <w:uiPriority w:val="0"/>
    <w:rPr>
      <w:color w:val="2590EB"/>
      <w:shd w:val="clear" w:color="auto" w:fill="E9F4FD"/>
    </w:rPr>
  </w:style>
  <w:style w:type="character" w:customStyle="1" w:styleId="47">
    <w:name w:val="hover3"/>
    <w:basedOn w:val="21"/>
    <w:qFormat/>
    <w:uiPriority w:val="0"/>
    <w:rPr>
      <w:color w:val="2590EB"/>
    </w:rPr>
  </w:style>
  <w:style w:type="character" w:customStyle="1" w:styleId="48">
    <w:name w:val="laydate-disabled"/>
    <w:basedOn w:val="21"/>
    <w:qFormat/>
    <w:uiPriority w:val="0"/>
    <w:rPr>
      <w:color w:val="2590EB"/>
    </w:rPr>
  </w:style>
  <w:style w:type="character" w:customStyle="1" w:styleId="49">
    <w:name w:val="status"/>
    <w:basedOn w:val="21"/>
    <w:qFormat/>
    <w:uiPriority w:val="0"/>
    <w:rPr>
      <w:color w:val="0776DD"/>
    </w:rPr>
  </w:style>
  <w:style w:type="character" w:customStyle="1" w:styleId="50">
    <w:name w:val="time"/>
    <w:basedOn w:val="21"/>
    <w:qFormat/>
    <w:uiPriority w:val="0"/>
  </w:style>
  <w:style w:type="paragraph" w:styleId="51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2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3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4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5">
    <w:name w:val="font31"/>
    <w:basedOn w:val="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6">
    <w:name w:val="font41"/>
    <w:basedOn w:val="21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57">
    <w:name w:val="font51"/>
    <w:basedOn w:val="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8">
    <w:name w:val="font61"/>
    <w:basedOn w:val="21"/>
    <w:qFormat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2871</Words>
  <Characters>3129</Characters>
  <Lines>16</Lines>
  <Paragraphs>4</Paragraphs>
  <TotalTime>1</TotalTime>
  <ScaleCrop>false</ScaleCrop>
  <LinksUpToDate>false</LinksUpToDate>
  <CharactersWithSpaces>3818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草根</cp:lastModifiedBy>
  <dcterms:modified xsi:type="dcterms:W3CDTF">2025-12-24T07:25:43Z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eyJoZGlkIjoiMzEwNTM5NzYwMDRjMzkwZTVkZjY2ODkwMGIxNGU0OTUiLCJ1c2VySWQiOiI1NzU3NjI5ODAifQ==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638278A91B6247A3A14F33886A0DB3EB_13</vt:lpwstr>
  </property>
</Properties>
</file>