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2B31AD">
      <w:pPr>
        <w:pStyle w:val="3"/>
        <w:spacing w:before="1" w:line="184" w:lineRule="auto"/>
        <w:jc w:val="center"/>
        <w:rPr>
          <w:rFonts w:hint="eastAsia" w:ascii="黑体" w:hAnsi="黑体" w:eastAsia="黑体" w:cs="黑体"/>
          <w:position w:val="-1"/>
          <w:sz w:val="44"/>
          <w:szCs w:val="44"/>
          <w:lang w:eastAsia="zh-CN"/>
        </w:rPr>
      </w:pPr>
      <w:r>
        <w:rPr>
          <w:rFonts w:hint="eastAsia" w:ascii="黑体" w:hAnsi="黑体" w:eastAsia="黑体" w:cs="黑体"/>
          <w:position w:val="-1"/>
          <w:sz w:val="44"/>
          <w:szCs w:val="44"/>
          <w:lang w:eastAsia="zh-CN"/>
        </w:rPr>
        <w:t>四川宏达股份有限公司</w:t>
      </w:r>
    </w:p>
    <w:p w14:paraId="19272DAD">
      <w:pPr>
        <w:spacing w:before="100" w:after="100"/>
        <w:jc w:val="center"/>
        <w:rPr>
          <w:rFonts w:hint="eastAsia" w:ascii="黑体" w:hAnsi="黑体" w:eastAsia="黑体" w:cs="黑体"/>
          <w:b/>
          <w:bCs/>
          <w:color w:val="auto"/>
          <w:sz w:val="44"/>
          <w:szCs w:val="44"/>
          <w:lang w:eastAsia="zh-CN"/>
        </w:rPr>
      </w:pPr>
    </w:p>
    <w:p w14:paraId="66AB2B2C">
      <w:pPr>
        <w:spacing w:before="100" w:after="100"/>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有色</w:t>
      </w:r>
      <w:r>
        <w:rPr>
          <w:rFonts w:hint="eastAsia" w:ascii="黑体" w:hAnsi="黑体" w:eastAsia="黑体" w:cs="黑体"/>
          <w:b/>
          <w:bCs/>
          <w:color w:val="auto"/>
          <w:sz w:val="44"/>
          <w:szCs w:val="44"/>
          <w:lang w:eastAsia="zh-CN"/>
        </w:rPr>
        <w:t>分公司</w:t>
      </w:r>
      <w:r>
        <w:rPr>
          <w:rFonts w:hint="eastAsia" w:ascii="黑体" w:hAnsi="黑体" w:eastAsia="黑体" w:cs="黑体"/>
          <w:b/>
          <w:bCs/>
          <w:color w:val="auto"/>
          <w:sz w:val="44"/>
          <w:szCs w:val="44"/>
          <w:lang w:val="en-US" w:eastAsia="zh-CN"/>
        </w:rPr>
        <w:t>工业硫酸运输</w:t>
      </w:r>
    </w:p>
    <w:p w14:paraId="64DA4066">
      <w:pPr>
        <w:jc w:val="both"/>
        <w:rPr>
          <w:rFonts w:hint="eastAsia" w:ascii="黑体" w:hAnsi="黑体" w:eastAsia="黑体" w:cs="黑体"/>
          <w:b/>
          <w:sz w:val="72"/>
          <w:szCs w:val="72"/>
          <w:lang w:eastAsia="zh-CN"/>
        </w:rPr>
      </w:pPr>
    </w:p>
    <w:p w14:paraId="07AB48B1">
      <w:pPr>
        <w:pStyle w:val="3"/>
        <w:rPr>
          <w:rFonts w:hint="eastAsia" w:ascii="黑体" w:hAnsi="黑体" w:eastAsia="黑体" w:cs="黑体"/>
          <w:b/>
          <w:sz w:val="72"/>
          <w:szCs w:val="72"/>
          <w:lang w:eastAsia="zh-CN"/>
        </w:rPr>
      </w:pPr>
    </w:p>
    <w:p w14:paraId="4F6EAC7B">
      <w:pPr>
        <w:pStyle w:val="7"/>
        <w:rPr>
          <w:rFonts w:hint="eastAsia" w:ascii="黑体" w:hAnsi="黑体" w:eastAsia="黑体" w:cs="黑体"/>
          <w:b/>
          <w:sz w:val="72"/>
          <w:szCs w:val="72"/>
        </w:rPr>
      </w:pPr>
    </w:p>
    <w:p w14:paraId="25A00CD4">
      <w:pPr>
        <w:rPr>
          <w:rFonts w:hint="eastAsia" w:ascii="黑体" w:hAnsi="黑体" w:eastAsia="黑体" w:cs="黑体"/>
          <w:lang w:eastAsia="zh-CN"/>
        </w:rPr>
      </w:pPr>
    </w:p>
    <w:p w14:paraId="674162E9">
      <w:pPr>
        <w:pStyle w:val="7"/>
        <w:rPr>
          <w:rFonts w:hint="eastAsia" w:ascii="黑体" w:hAnsi="黑体" w:eastAsia="黑体" w:cs="黑体"/>
        </w:rPr>
      </w:pPr>
    </w:p>
    <w:p w14:paraId="3F85EDC5">
      <w:pPr>
        <w:jc w:val="center"/>
        <w:rPr>
          <w:rFonts w:hint="eastAsia" w:ascii="黑体" w:hAnsi="黑体" w:eastAsia="黑体" w:cs="黑体"/>
          <w:b/>
          <w:sz w:val="72"/>
          <w:szCs w:val="72"/>
          <w:lang w:eastAsia="zh-CN"/>
        </w:rPr>
      </w:pPr>
      <w:r>
        <w:rPr>
          <w:rFonts w:hint="eastAsia" w:ascii="黑体" w:hAnsi="黑体" w:eastAsia="黑体" w:cs="黑体"/>
          <w:b/>
          <w:sz w:val="72"/>
          <w:szCs w:val="72"/>
          <w:lang w:val="en-US" w:eastAsia="zh-CN"/>
        </w:rPr>
        <w:t>询比</w:t>
      </w:r>
      <w:r>
        <w:rPr>
          <w:rFonts w:hint="eastAsia" w:ascii="黑体" w:hAnsi="黑体" w:eastAsia="黑体" w:cs="黑体"/>
          <w:b/>
          <w:sz w:val="72"/>
          <w:szCs w:val="72"/>
          <w:lang w:eastAsia="zh-CN"/>
        </w:rPr>
        <w:t>文件</w:t>
      </w:r>
    </w:p>
    <w:p w14:paraId="253B8926">
      <w:pPr>
        <w:pStyle w:val="3"/>
        <w:jc w:val="center"/>
        <w:rPr>
          <w:rFonts w:hint="eastAsia" w:ascii="黑体" w:hAnsi="黑体" w:eastAsia="黑体" w:cs="黑体"/>
          <w:bCs/>
          <w:color w:val="auto"/>
          <w:sz w:val="32"/>
          <w:szCs w:val="32"/>
          <w:lang w:eastAsia="zh-CN"/>
        </w:rPr>
      </w:pPr>
    </w:p>
    <w:p w14:paraId="66EBFF71">
      <w:pPr>
        <w:pStyle w:val="3"/>
        <w:jc w:val="center"/>
        <w:rPr>
          <w:rFonts w:hint="eastAsia" w:ascii="黑体" w:hAnsi="黑体" w:eastAsia="黑体" w:cs="黑体"/>
          <w:bCs/>
          <w:color w:val="auto"/>
          <w:sz w:val="32"/>
          <w:szCs w:val="32"/>
          <w:lang w:eastAsia="zh-CN"/>
        </w:rPr>
      </w:pPr>
    </w:p>
    <w:p w14:paraId="35912EFA">
      <w:pPr>
        <w:pStyle w:val="3"/>
        <w:jc w:val="center"/>
        <w:rPr>
          <w:rFonts w:hint="eastAsia" w:ascii="黑体" w:hAnsi="黑体" w:eastAsia="黑体" w:cs="黑体"/>
          <w:color w:val="FF0000"/>
          <w:sz w:val="32"/>
          <w:szCs w:val="32"/>
          <w:lang w:eastAsia="zh-CN"/>
        </w:rPr>
      </w:pPr>
      <w:r>
        <w:rPr>
          <w:rFonts w:hint="eastAsia" w:ascii="黑体" w:hAnsi="黑体" w:eastAsia="黑体" w:cs="黑体"/>
          <w:bCs/>
          <w:color w:val="auto"/>
          <w:sz w:val="32"/>
          <w:szCs w:val="32"/>
          <w:lang w:eastAsia="zh-CN"/>
        </w:rPr>
        <w:t>编号：</w:t>
      </w:r>
      <w:r>
        <w:rPr>
          <w:rFonts w:hint="eastAsia" w:ascii="黑体" w:hAnsi="黑体" w:eastAsia="黑体" w:cs="黑体"/>
          <w:color w:val="FF0000"/>
          <w:sz w:val="32"/>
          <w:szCs w:val="32"/>
          <w:lang w:eastAsia="zh-CN"/>
        </w:rPr>
        <w:t>SFLHG-GKBX-2025-HW84</w:t>
      </w:r>
    </w:p>
    <w:p w14:paraId="02CBF743">
      <w:pPr>
        <w:jc w:val="center"/>
        <w:rPr>
          <w:rFonts w:hint="eastAsia" w:ascii="黑体" w:hAnsi="黑体" w:eastAsia="黑体" w:cs="黑体"/>
          <w:sz w:val="48"/>
          <w:szCs w:val="48"/>
          <w:lang w:val="zh-CN" w:eastAsia="zh-CN"/>
        </w:rPr>
      </w:pPr>
    </w:p>
    <w:p w14:paraId="604ABB14">
      <w:pPr>
        <w:jc w:val="center"/>
        <w:rPr>
          <w:rFonts w:hint="eastAsia" w:ascii="黑体" w:hAnsi="黑体" w:eastAsia="黑体" w:cs="黑体"/>
          <w:sz w:val="48"/>
          <w:szCs w:val="48"/>
          <w:lang w:val="zh-CN" w:eastAsia="zh-CN"/>
        </w:rPr>
      </w:pPr>
    </w:p>
    <w:p w14:paraId="76BA1935">
      <w:pPr>
        <w:jc w:val="center"/>
        <w:rPr>
          <w:rFonts w:hint="eastAsia" w:ascii="黑体" w:hAnsi="黑体" w:eastAsia="黑体" w:cs="黑体"/>
          <w:sz w:val="48"/>
          <w:szCs w:val="48"/>
          <w:lang w:val="zh-CN" w:eastAsia="zh-CN"/>
        </w:rPr>
      </w:pPr>
    </w:p>
    <w:p w14:paraId="22D35872">
      <w:pPr>
        <w:jc w:val="center"/>
        <w:rPr>
          <w:rFonts w:hint="eastAsia" w:ascii="黑体" w:hAnsi="黑体" w:eastAsia="黑体" w:cs="黑体"/>
          <w:lang w:val="zh-CN" w:eastAsia="zh-CN"/>
        </w:rPr>
      </w:pPr>
    </w:p>
    <w:p w14:paraId="3E846ECF">
      <w:pPr>
        <w:spacing w:line="600" w:lineRule="auto"/>
        <w:ind w:firstLine="2127" w:firstLineChars="709"/>
        <w:rPr>
          <w:rFonts w:hint="eastAsia" w:ascii="黑体" w:hAnsi="黑体" w:eastAsia="黑体" w:cs="黑体"/>
          <w:sz w:val="30"/>
          <w:szCs w:val="30"/>
          <w:lang w:eastAsia="zh-CN"/>
        </w:rPr>
      </w:pPr>
    </w:p>
    <w:p w14:paraId="2D5755AD">
      <w:pPr>
        <w:widowControl w:val="0"/>
        <w:kinsoku/>
        <w:autoSpaceDE/>
        <w:autoSpaceDN/>
        <w:adjustRightInd/>
        <w:snapToGrid/>
        <w:spacing w:line="480" w:lineRule="auto"/>
        <w:ind w:left="1050" w:leftChars="500" w:right="1050" w:rightChars="500"/>
        <w:jc w:val="center"/>
        <w:textAlignment w:val="auto"/>
        <w:rPr>
          <w:rFonts w:hint="eastAsia" w:ascii="黑体" w:hAnsi="黑体" w:eastAsia="黑体" w:cs="黑体"/>
          <w:b/>
          <w:bCs/>
          <w:color w:val="auto"/>
          <w:sz w:val="32"/>
          <w:szCs w:val="32"/>
          <w:lang w:eastAsia="zh-CN"/>
        </w:rPr>
      </w:pPr>
      <w:r>
        <w:rPr>
          <w:rFonts w:hint="eastAsia" w:ascii="黑体" w:hAnsi="黑体" w:eastAsia="黑体" w:cs="黑体"/>
          <w:b/>
          <w:bCs/>
          <w:sz w:val="32"/>
          <w:szCs w:val="32"/>
          <w:lang w:val="en-US" w:eastAsia="zh-CN"/>
        </w:rPr>
        <w:t>采购</w:t>
      </w:r>
      <w:r>
        <w:rPr>
          <w:rFonts w:hint="eastAsia" w:ascii="黑体" w:hAnsi="黑体" w:eastAsia="黑体" w:cs="黑体"/>
          <w:b/>
          <w:bCs/>
          <w:sz w:val="32"/>
          <w:szCs w:val="32"/>
          <w:lang w:eastAsia="zh-CN"/>
        </w:rPr>
        <w:t>人：</w:t>
      </w:r>
      <w:r>
        <w:rPr>
          <w:rFonts w:hint="eastAsia" w:ascii="黑体" w:hAnsi="黑体" w:eastAsia="黑体" w:cs="黑体"/>
          <w:b/>
          <w:bCs/>
          <w:color w:val="auto"/>
          <w:sz w:val="32"/>
          <w:szCs w:val="32"/>
          <w:lang w:eastAsia="zh-CN"/>
        </w:rPr>
        <w:t>四川宏达股份有限公司</w:t>
      </w:r>
    </w:p>
    <w:p w14:paraId="0166EAFA">
      <w:pPr>
        <w:spacing w:line="480" w:lineRule="auto"/>
        <w:jc w:val="center"/>
        <w:rPr>
          <w:rFonts w:hint="eastAsia" w:ascii="黑体" w:hAnsi="黑体" w:eastAsia="黑体" w:cs="黑体"/>
          <w:b/>
          <w:bCs/>
          <w:sz w:val="32"/>
          <w:szCs w:val="32"/>
          <w:lang w:val="zh-CN" w:eastAsia="zh-CN"/>
        </w:rPr>
      </w:pPr>
    </w:p>
    <w:p w14:paraId="5CD441B6">
      <w:pPr>
        <w:spacing w:line="480" w:lineRule="auto"/>
        <w:jc w:val="center"/>
        <w:rPr>
          <w:rFonts w:hint="eastAsia" w:ascii="黑体" w:hAnsi="黑体" w:eastAsia="黑体" w:cs="黑体"/>
          <w:b/>
          <w:sz w:val="30"/>
          <w:szCs w:val="30"/>
          <w:lang w:eastAsia="zh-CN"/>
        </w:rPr>
        <w:sectPr>
          <w:footerReference r:id="rId5" w:type="first"/>
          <w:headerReference r:id="rId3" w:type="default"/>
          <w:footerReference r:id="rId4" w:type="default"/>
          <w:pgSz w:w="11906" w:h="16838"/>
          <w:pgMar w:top="1440" w:right="1820" w:bottom="1440" w:left="1820" w:header="851" w:footer="992" w:gutter="0"/>
          <w:cols w:space="720" w:num="1"/>
          <w:docGrid w:linePitch="312" w:charSpace="0"/>
        </w:sectPr>
      </w:pPr>
      <w:r>
        <w:rPr>
          <w:rFonts w:hint="eastAsia" w:ascii="黑体" w:hAnsi="黑体" w:eastAsia="黑体" w:cs="黑体"/>
          <w:b/>
          <w:bCs/>
          <w:sz w:val="32"/>
          <w:szCs w:val="32"/>
          <w:lang w:val="zh-CN" w:eastAsia="zh-CN"/>
        </w:rPr>
        <w:t>20</w:t>
      </w:r>
      <w:r>
        <w:rPr>
          <w:rFonts w:hint="eastAsia" w:ascii="黑体" w:hAnsi="黑体" w:eastAsia="黑体" w:cs="黑体"/>
          <w:b/>
          <w:bCs/>
          <w:sz w:val="32"/>
          <w:szCs w:val="32"/>
          <w:lang w:eastAsia="zh-CN"/>
        </w:rPr>
        <w:t>25</w:t>
      </w:r>
      <w:r>
        <w:rPr>
          <w:rFonts w:hint="eastAsia" w:ascii="黑体" w:hAnsi="黑体" w:eastAsia="黑体" w:cs="黑体"/>
          <w:b/>
          <w:bCs/>
          <w:sz w:val="32"/>
          <w:szCs w:val="32"/>
          <w:lang w:val="zh-CN" w:eastAsia="zh-CN"/>
        </w:rPr>
        <w:t>年</w:t>
      </w:r>
      <w:r>
        <w:rPr>
          <w:rFonts w:hint="eastAsia" w:ascii="黑体" w:hAnsi="黑体" w:eastAsia="黑体" w:cs="黑体"/>
          <w:b/>
          <w:bCs/>
          <w:sz w:val="32"/>
          <w:szCs w:val="32"/>
          <w:lang w:eastAsia="zh-CN"/>
        </w:rPr>
        <w:t>1</w:t>
      </w:r>
      <w:r>
        <w:rPr>
          <w:rFonts w:hint="eastAsia" w:ascii="黑体" w:hAnsi="黑体" w:eastAsia="黑体" w:cs="黑体"/>
          <w:b/>
          <w:bCs/>
          <w:sz w:val="32"/>
          <w:szCs w:val="32"/>
          <w:lang w:val="en-US" w:eastAsia="zh-CN"/>
        </w:rPr>
        <w:t>2</w:t>
      </w:r>
      <w:r>
        <w:rPr>
          <w:rFonts w:hint="eastAsia" w:ascii="黑体" w:hAnsi="黑体" w:eastAsia="黑体" w:cs="黑体"/>
          <w:b/>
          <w:bCs/>
          <w:sz w:val="32"/>
          <w:szCs w:val="32"/>
          <w:lang w:eastAsia="zh-CN"/>
        </w:rPr>
        <w:t>月2</w:t>
      </w:r>
      <w:r>
        <w:rPr>
          <w:rFonts w:hint="eastAsia" w:ascii="黑体" w:hAnsi="黑体" w:eastAsia="黑体" w:cs="黑体"/>
          <w:b/>
          <w:bCs/>
          <w:sz w:val="32"/>
          <w:szCs w:val="32"/>
          <w:lang w:val="en-US" w:eastAsia="zh-CN"/>
        </w:rPr>
        <w:t>3</w:t>
      </w:r>
      <w:r>
        <w:rPr>
          <w:rFonts w:hint="eastAsia" w:ascii="黑体" w:hAnsi="黑体" w:eastAsia="黑体" w:cs="黑体"/>
          <w:b/>
          <w:bCs/>
          <w:sz w:val="32"/>
          <w:szCs w:val="32"/>
          <w:lang w:eastAsia="zh-CN"/>
        </w:rPr>
        <w:t>日</w:t>
      </w:r>
    </w:p>
    <w:p w14:paraId="192FEF4B">
      <w:pPr>
        <w:keepNext w:val="0"/>
        <w:keepLines w:val="0"/>
        <w:pageBreakBefore w:val="0"/>
        <w:shd w:val="clear" w:color="auto" w:fill="FFFFFF"/>
        <w:kinsoku/>
        <w:wordWrap/>
        <w:overflowPunct/>
        <w:topLinePunct w:val="0"/>
        <w:autoSpaceDE/>
        <w:autoSpaceDN/>
        <w:bidi w:val="0"/>
        <w:adjustRightInd/>
        <w:snapToGrid/>
        <w:spacing w:line="700" w:lineRule="exact"/>
        <w:ind w:firstLine="371"/>
        <w:jc w:val="center"/>
        <w:textAlignment w:val="auto"/>
        <w:rPr>
          <w:rFonts w:hint="eastAsia" w:ascii="黑体" w:hAnsi="黑体" w:eastAsia="黑体" w:cs="黑体"/>
          <w:b/>
          <w:color w:val="333333"/>
          <w:sz w:val="44"/>
          <w:szCs w:val="44"/>
          <w:lang w:eastAsia="zh-CN"/>
        </w:rPr>
      </w:pPr>
      <w:r>
        <w:rPr>
          <w:rFonts w:hint="eastAsia" w:ascii="黑体" w:hAnsi="黑体" w:eastAsia="黑体" w:cs="黑体"/>
          <w:b/>
          <w:color w:val="333333"/>
          <w:sz w:val="44"/>
          <w:szCs w:val="44"/>
          <w:lang w:eastAsia="zh-CN"/>
        </w:rPr>
        <w:t>第一章</w:t>
      </w:r>
    </w:p>
    <w:p w14:paraId="72570B33">
      <w:pPr>
        <w:keepNext w:val="0"/>
        <w:keepLines w:val="0"/>
        <w:pageBreakBefore w:val="0"/>
        <w:shd w:val="clear" w:color="auto" w:fill="FFFFFF"/>
        <w:kinsoku/>
        <w:wordWrap/>
        <w:overflowPunct/>
        <w:topLinePunct w:val="0"/>
        <w:autoSpaceDE/>
        <w:autoSpaceDN/>
        <w:bidi w:val="0"/>
        <w:adjustRightInd/>
        <w:snapToGrid/>
        <w:spacing w:line="700" w:lineRule="exact"/>
        <w:ind w:firstLine="371"/>
        <w:jc w:val="center"/>
        <w:textAlignment w:val="auto"/>
        <w:rPr>
          <w:rFonts w:hint="eastAsia" w:ascii="黑体" w:hAnsi="黑体" w:eastAsia="黑体" w:cs="黑体"/>
          <w:b/>
          <w:bCs/>
          <w:color w:val="333333"/>
          <w:sz w:val="44"/>
          <w:szCs w:val="44"/>
          <w:lang w:eastAsia="zh-CN"/>
        </w:rPr>
      </w:pPr>
      <w:r>
        <w:rPr>
          <w:rFonts w:hint="eastAsia" w:ascii="黑体" w:hAnsi="黑体" w:eastAsia="黑体" w:cs="黑体"/>
          <w:b/>
          <w:bCs/>
          <w:color w:val="333333"/>
          <w:sz w:val="44"/>
          <w:szCs w:val="44"/>
          <w:lang w:eastAsia="zh-CN"/>
        </w:rPr>
        <w:t>四川宏达股份有限公司</w:t>
      </w:r>
    </w:p>
    <w:p w14:paraId="3D149A4F">
      <w:pPr>
        <w:pStyle w:val="8"/>
        <w:keepNext w:val="0"/>
        <w:keepLines w:val="0"/>
        <w:pageBreakBefore w:val="0"/>
        <w:kinsoku/>
        <w:wordWrap/>
        <w:overflowPunct/>
        <w:topLinePunct w:val="0"/>
        <w:autoSpaceDE/>
        <w:autoSpaceDN/>
        <w:bidi w:val="0"/>
        <w:adjustRightInd/>
        <w:snapToGrid/>
        <w:spacing w:before="0" w:beforeAutospacing="0" w:after="0" w:afterAutospacing="0" w:line="700" w:lineRule="exact"/>
        <w:jc w:val="center"/>
        <w:textAlignment w:val="auto"/>
        <w:rPr>
          <w:rFonts w:hint="eastAsia" w:ascii="黑体" w:hAnsi="黑体" w:eastAsia="黑体" w:cs="黑体"/>
          <w:b/>
          <w:bCs w:val="0"/>
          <w:color w:val="000000" w:themeColor="text1"/>
          <w:sz w:val="36"/>
          <w:szCs w:val="36"/>
          <w14:textFill>
            <w14:solidFill>
              <w14:schemeClr w14:val="tx1"/>
            </w14:solidFill>
          </w14:textFill>
        </w:rPr>
      </w:pPr>
      <w:r>
        <w:rPr>
          <w:rFonts w:hint="eastAsia" w:ascii="黑体" w:hAnsi="黑体" w:eastAsia="黑体" w:cs="黑体"/>
          <w:b/>
          <w:bCs w:val="0"/>
          <w:color w:val="auto"/>
          <w:sz w:val="36"/>
          <w:szCs w:val="36"/>
          <w:lang w:val="en-US" w:eastAsia="zh-CN"/>
        </w:rPr>
        <w:t>有色</w:t>
      </w:r>
      <w:r>
        <w:rPr>
          <w:rFonts w:hint="eastAsia" w:ascii="黑体" w:hAnsi="黑体" w:eastAsia="黑体" w:cs="黑体"/>
          <w:b/>
          <w:bCs w:val="0"/>
          <w:color w:val="auto"/>
          <w:sz w:val="36"/>
          <w:szCs w:val="36"/>
          <w:lang w:eastAsia="zh-CN"/>
        </w:rPr>
        <w:t>分公司</w:t>
      </w:r>
      <w:r>
        <w:rPr>
          <w:rStyle w:val="13"/>
          <w:rFonts w:hint="eastAsia" w:ascii="黑体" w:hAnsi="黑体" w:eastAsia="黑体" w:cs="黑体"/>
          <w:b/>
          <w:bCs w:val="0"/>
          <w:color w:val="000000" w:themeColor="text1"/>
          <w:sz w:val="36"/>
          <w:szCs w:val="36"/>
          <w14:textFill>
            <w14:solidFill>
              <w14:schemeClr w14:val="tx1"/>
            </w14:solidFill>
          </w14:textFill>
        </w:rPr>
        <w:t>工业硫酸运输询比文件</w:t>
      </w:r>
    </w:p>
    <w:p w14:paraId="09F6C824">
      <w:pPr>
        <w:pStyle w:val="3"/>
        <w:keepNext w:val="0"/>
        <w:keepLines w:val="0"/>
        <w:pageBreakBefore w:val="0"/>
        <w:kinsoku/>
        <w:wordWrap/>
        <w:overflowPunct/>
        <w:topLinePunct w:val="0"/>
        <w:autoSpaceDE/>
        <w:autoSpaceDN/>
        <w:bidi w:val="0"/>
        <w:adjustRightInd/>
        <w:snapToGrid/>
        <w:spacing w:line="700" w:lineRule="exact"/>
        <w:jc w:val="center"/>
        <w:textAlignment w:val="auto"/>
        <w:rPr>
          <w:rFonts w:hint="eastAsia" w:ascii="黑体" w:hAnsi="黑体" w:eastAsia="黑体" w:cs="黑体"/>
          <w:sz w:val="24"/>
          <w:szCs w:val="24"/>
          <w:lang w:eastAsia="zh-CN"/>
        </w:rPr>
      </w:pPr>
      <w:r>
        <w:rPr>
          <w:rFonts w:hint="eastAsia" w:ascii="黑体" w:hAnsi="黑体" w:eastAsia="黑体" w:cs="黑体"/>
          <w:color w:val="auto"/>
          <w:sz w:val="24"/>
          <w:szCs w:val="24"/>
          <w:lang w:val="en-US" w:eastAsia="zh-CN"/>
        </w:rPr>
        <w:t xml:space="preserve">                                        </w:t>
      </w:r>
    </w:p>
    <w:p w14:paraId="21C0BB99">
      <w:pPr>
        <w:keepNext w:val="0"/>
        <w:keepLines w:val="0"/>
        <w:pageBreakBefore w:val="0"/>
        <w:kinsoku/>
        <w:wordWrap/>
        <w:overflowPunct/>
        <w:topLinePunct w:val="0"/>
        <w:autoSpaceDE/>
        <w:autoSpaceDN/>
        <w:bidi w:val="0"/>
        <w:adjustRightInd/>
        <w:spacing w:line="500" w:lineRule="exact"/>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各</w:t>
      </w:r>
      <w:r>
        <w:rPr>
          <w:rFonts w:hint="eastAsia" w:ascii="黑体" w:hAnsi="黑体" w:eastAsia="黑体" w:cs="黑体"/>
          <w:sz w:val="24"/>
          <w:szCs w:val="24"/>
          <w:lang w:val="en-US" w:eastAsia="zh-CN"/>
        </w:rPr>
        <w:t>运输单位</w:t>
      </w:r>
      <w:r>
        <w:rPr>
          <w:rFonts w:hint="eastAsia" w:ascii="黑体" w:hAnsi="黑体" w:eastAsia="黑体" w:cs="黑体"/>
          <w:sz w:val="24"/>
          <w:szCs w:val="24"/>
          <w:lang w:eastAsia="zh-CN"/>
        </w:rPr>
        <w:t>：</w:t>
      </w:r>
    </w:p>
    <w:p w14:paraId="65405879">
      <w:pPr>
        <w:pStyle w:val="8"/>
        <w:keepNext w:val="0"/>
        <w:keepLines w:val="0"/>
        <w:pageBreakBefore w:val="0"/>
        <w:kinsoku/>
        <w:wordWrap/>
        <w:overflowPunct/>
        <w:topLinePunct w:val="0"/>
        <w:autoSpaceDE/>
        <w:autoSpaceDN/>
        <w:bidi w:val="0"/>
        <w:adjustRightInd/>
        <w:spacing w:before="0" w:beforeAutospacing="0" w:after="0" w:afterAutospacing="0" w:line="500" w:lineRule="exact"/>
        <w:ind w:firstLine="480" w:firstLineChars="200"/>
        <w:jc w:val="both"/>
        <w:textAlignment w:val="auto"/>
        <w:rPr>
          <w:rFonts w:hint="eastAsia" w:ascii="黑体" w:hAnsi="黑体" w:eastAsia="黑体" w:cs="黑体"/>
          <w:sz w:val="24"/>
          <w:szCs w:val="24"/>
        </w:rPr>
      </w:pPr>
      <w:r>
        <w:rPr>
          <w:rFonts w:hint="eastAsia" w:ascii="黑体" w:hAnsi="黑体" w:eastAsia="黑体" w:cs="黑体"/>
          <w:sz w:val="24"/>
          <w:szCs w:val="24"/>
        </w:rPr>
        <w:t>因生产需要,我公司</w:t>
      </w:r>
      <w:r>
        <w:rPr>
          <w:rFonts w:hint="eastAsia" w:ascii="黑体" w:hAnsi="黑体" w:eastAsia="黑体" w:cs="黑体"/>
          <w:sz w:val="24"/>
          <w:szCs w:val="24"/>
          <w:lang w:val="en-US" w:eastAsia="zh-CN"/>
        </w:rPr>
        <w:t>有色分公司</w:t>
      </w:r>
      <w:r>
        <w:rPr>
          <w:rFonts w:hint="eastAsia" w:ascii="黑体" w:hAnsi="黑体" w:eastAsia="黑体" w:cs="黑体"/>
          <w:sz w:val="24"/>
          <w:szCs w:val="24"/>
        </w:rPr>
        <w:t>需</w:t>
      </w:r>
      <w:r>
        <w:rPr>
          <w:rFonts w:hint="eastAsia" w:ascii="黑体" w:hAnsi="黑体" w:eastAsia="黑体" w:cs="黑体"/>
          <w:sz w:val="24"/>
          <w:szCs w:val="24"/>
          <w:lang w:val="en-US" w:eastAsia="zh-CN"/>
        </w:rPr>
        <w:t>运输3000吨工业硫酸</w:t>
      </w:r>
      <w:r>
        <w:rPr>
          <w:rFonts w:hint="eastAsia" w:ascii="黑体" w:hAnsi="黑体" w:eastAsia="黑体" w:cs="黑体"/>
          <w:sz w:val="24"/>
          <w:szCs w:val="24"/>
        </w:rPr>
        <w:t>，本着“公开、公平、公正”的原则，现对</w:t>
      </w:r>
      <w:r>
        <w:rPr>
          <w:rFonts w:hint="eastAsia" w:ascii="黑体" w:hAnsi="黑体" w:eastAsia="黑体" w:cs="黑体"/>
          <w:sz w:val="24"/>
          <w:szCs w:val="24"/>
          <w:lang w:val="en-US" w:eastAsia="zh-CN"/>
        </w:rPr>
        <w:t>工业硫酸运输进行</w:t>
      </w:r>
      <w:r>
        <w:rPr>
          <w:rFonts w:hint="eastAsia" w:ascii="黑体" w:hAnsi="黑体" w:eastAsia="黑体" w:cs="黑体"/>
          <w:sz w:val="24"/>
          <w:szCs w:val="24"/>
        </w:rPr>
        <w:t>公开</w:t>
      </w:r>
      <w:r>
        <w:rPr>
          <w:rFonts w:hint="eastAsia" w:ascii="黑体" w:hAnsi="黑体" w:eastAsia="黑体" w:cs="黑体"/>
          <w:sz w:val="24"/>
          <w:szCs w:val="24"/>
          <w:lang w:val="en-US" w:eastAsia="zh-CN"/>
        </w:rPr>
        <w:t>询</w:t>
      </w:r>
      <w:r>
        <w:rPr>
          <w:rFonts w:hint="eastAsia" w:ascii="黑体" w:hAnsi="黑体" w:eastAsia="黑体" w:cs="黑体"/>
          <w:sz w:val="24"/>
          <w:szCs w:val="24"/>
        </w:rPr>
        <w:t>比选。欢迎贵</w:t>
      </w:r>
      <w:r>
        <w:rPr>
          <w:rFonts w:hint="eastAsia" w:ascii="黑体" w:hAnsi="黑体" w:eastAsia="黑体" w:cs="黑体"/>
          <w:sz w:val="24"/>
          <w:szCs w:val="24"/>
          <w:lang w:val="en-US" w:eastAsia="zh-CN"/>
        </w:rPr>
        <w:t>单位</w:t>
      </w:r>
      <w:r>
        <w:rPr>
          <w:rFonts w:hint="eastAsia" w:ascii="黑体" w:hAnsi="黑体" w:eastAsia="黑体" w:cs="黑体"/>
          <w:sz w:val="24"/>
          <w:szCs w:val="24"/>
        </w:rPr>
        <w:t>前来</w:t>
      </w:r>
      <w:r>
        <w:rPr>
          <w:rFonts w:hint="eastAsia" w:ascii="黑体" w:hAnsi="黑体" w:eastAsia="黑体" w:cs="黑体"/>
          <w:sz w:val="24"/>
          <w:szCs w:val="24"/>
          <w:lang w:val="en-US" w:eastAsia="zh-CN"/>
        </w:rPr>
        <w:t>报价</w:t>
      </w:r>
      <w:r>
        <w:rPr>
          <w:rFonts w:hint="eastAsia" w:ascii="黑体" w:hAnsi="黑体" w:eastAsia="黑体" w:cs="黑体"/>
          <w:sz w:val="24"/>
          <w:szCs w:val="24"/>
        </w:rPr>
        <w:t>（报价时，请</w:t>
      </w:r>
      <w:r>
        <w:rPr>
          <w:rFonts w:hint="eastAsia" w:ascii="黑体" w:hAnsi="黑体" w:eastAsia="黑体" w:cs="黑体"/>
          <w:sz w:val="24"/>
          <w:szCs w:val="24"/>
          <w:lang w:val="en-US" w:eastAsia="zh-CN"/>
        </w:rPr>
        <w:t>进行</w:t>
      </w:r>
      <w:r>
        <w:rPr>
          <w:rFonts w:hint="eastAsia" w:ascii="黑体" w:hAnsi="黑体" w:eastAsia="黑体" w:cs="黑体"/>
          <w:sz w:val="24"/>
          <w:szCs w:val="24"/>
        </w:rPr>
        <w:t>充分测算，</w:t>
      </w:r>
      <w:r>
        <w:rPr>
          <w:rFonts w:hint="eastAsia" w:ascii="黑体" w:hAnsi="黑体" w:eastAsia="黑体" w:cs="黑体"/>
          <w:sz w:val="24"/>
          <w:szCs w:val="24"/>
          <w:lang w:val="en-US" w:eastAsia="zh-CN"/>
        </w:rPr>
        <w:t>采购人</w:t>
      </w:r>
      <w:r>
        <w:rPr>
          <w:rFonts w:hint="eastAsia" w:ascii="黑体" w:hAnsi="黑体" w:eastAsia="黑体" w:cs="黑体"/>
          <w:sz w:val="24"/>
          <w:szCs w:val="24"/>
        </w:rPr>
        <w:t>在进行</w:t>
      </w:r>
      <w:r>
        <w:rPr>
          <w:rFonts w:hint="eastAsia" w:ascii="黑体" w:hAnsi="黑体" w:eastAsia="黑体" w:cs="黑体"/>
          <w:sz w:val="24"/>
          <w:szCs w:val="24"/>
          <w:lang w:val="en-US" w:eastAsia="zh-CN"/>
        </w:rPr>
        <w:t>评审</w:t>
      </w:r>
      <w:r>
        <w:rPr>
          <w:rFonts w:hint="eastAsia" w:ascii="黑体" w:hAnsi="黑体" w:eastAsia="黑体" w:cs="黑体"/>
          <w:sz w:val="24"/>
          <w:szCs w:val="24"/>
        </w:rPr>
        <w:t>时原则上不进行第二次议价），并于2025年1</w:t>
      </w:r>
      <w:r>
        <w:rPr>
          <w:rFonts w:hint="eastAsia" w:ascii="黑体" w:hAnsi="黑体" w:eastAsia="黑体" w:cs="黑体"/>
          <w:sz w:val="24"/>
          <w:szCs w:val="24"/>
          <w:lang w:val="en-US" w:eastAsia="zh-CN"/>
        </w:rPr>
        <w:t>2</w:t>
      </w:r>
      <w:r>
        <w:rPr>
          <w:rFonts w:hint="eastAsia" w:ascii="黑体" w:hAnsi="黑体" w:eastAsia="黑体" w:cs="黑体"/>
          <w:sz w:val="24"/>
          <w:szCs w:val="24"/>
        </w:rPr>
        <w:t>月</w:t>
      </w:r>
      <w:r>
        <w:rPr>
          <w:rFonts w:hint="eastAsia" w:ascii="黑体" w:hAnsi="黑体" w:eastAsia="黑体" w:cs="黑体"/>
          <w:sz w:val="24"/>
          <w:szCs w:val="24"/>
          <w:lang w:val="en-US" w:eastAsia="zh-CN"/>
        </w:rPr>
        <w:t>25</w:t>
      </w:r>
      <w:r>
        <w:rPr>
          <w:rFonts w:hint="eastAsia" w:ascii="黑体" w:hAnsi="黑体" w:eastAsia="黑体" w:cs="黑体"/>
          <w:sz w:val="24"/>
          <w:szCs w:val="24"/>
        </w:rPr>
        <w:t>日</w:t>
      </w:r>
      <w:r>
        <w:rPr>
          <w:rFonts w:hint="eastAsia" w:ascii="黑体" w:hAnsi="黑体" w:eastAsia="黑体" w:cs="黑体"/>
          <w:sz w:val="24"/>
          <w:szCs w:val="24"/>
          <w:lang w:val="en-US" w:eastAsia="zh-CN"/>
        </w:rPr>
        <w:t>10</w:t>
      </w:r>
      <w:r>
        <w:rPr>
          <w:rFonts w:hint="eastAsia" w:ascii="黑体" w:hAnsi="黑体" w:eastAsia="黑体" w:cs="黑体"/>
          <w:sz w:val="24"/>
          <w:szCs w:val="24"/>
        </w:rPr>
        <w:t>:</w:t>
      </w:r>
      <w:r>
        <w:rPr>
          <w:rFonts w:hint="eastAsia" w:ascii="黑体" w:hAnsi="黑体" w:eastAsia="黑体" w:cs="黑体"/>
          <w:sz w:val="24"/>
          <w:szCs w:val="24"/>
          <w:lang w:val="en-US" w:eastAsia="zh-CN"/>
        </w:rPr>
        <w:t>00</w:t>
      </w:r>
      <w:r>
        <w:rPr>
          <w:rFonts w:hint="eastAsia" w:ascii="黑体" w:hAnsi="黑体" w:eastAsia="黑体" w:cs="黑体"/>
          <w:sz w:val="24"/>
          <w:szCs w:val="24"/>
        </w:rPr>
        <w:t>前将报价单（文件名:宏达股份</w:t>
      </w:r>
      <w:r>
        <w:rPr>
          <w:rFonts w:hint="eastAsia" w:ascii="黑体" w:hAnsi="黑体" w:eastAsia="黑体" w:cs="黑体"/>
          <w:sz w:val="24"/>
          <w:szCs w:val="24"/>
          <w:lang w:val="en-US" w:eastAsia="zh-CN"/>
        </w:rPr>
        <w:t>有色分公司工业硫酸运输响应</w:t>
      </w:r>
      <w:r>
        <w:rPr>
          <w:rFonts w:hint="eastAsia" w:ascii="黑体" w:hAnsi="黑体" w:eastAsia="黑体" w:cs="黑体"/>
          <w:sz w:val="24"/>
          <w:szCs w:val="24"/>
        </w:rPr>
        <w:t>文件—XXXXXX公司，需加盖公章）上传到四川宏达股份有限公司集采中心招投标平台(http://jc.sichuanhongda.com/）。</w:t>
      </w:r>
    </w:p>
    <w:p w14:paraId="5EC032AF">
      <w:pPr>
        <w:keepNext w:val="0"/>
        <w:keepLines w:val="0"/>
        <w:pageBreakBefore w:val="0"/>
        <w:kinsoku/>
        <w:wordWrap/>
        <w:overflowPunct/>
        <w:topLinePunct w:val="0"/>
        <w:autoSpaceDE/>
        <w:autoSpaceDN/>
        <w:bidi w:val="0"/>
        <w:adjustRightInd/>
        <w:spacing w:line="500" w:lineRule="exact"/>
        <w:ind w:firstLine="480" w:firstLineChars="200"/>
        <w:textAlignment w:val="auto"/>
        <w:outlineLvl w:val="0"/>
        <w:rPr>
          <w:rFonts w:hint="eastAsia" w:ascii="黑体" w:hAnsi="黑体" w:eastAsia="黑体" w:cs="黑体"/>
          <w:kern w:val="2"/>
          <w:sz w:val="24"/>
          <w:szCs w:val="24"/>
          <w:lang w:eastAsia="zh-CN"/>
        </w:rPr>
      </w:pPr>
      <w:r>
        <w:rPr>
          <w:rFonts w:hint="eastAsia" w:ascii="黑体" w:hAnsi="黑体" w:eastAsia="黑体" w:cs="黑体"/>
          <w:kern w:val="2"/>
          <w:sz w:val="24"/>
          <w:szCs w:val="24"/>
          <w:lang w:eastAsia="zh-CN"/>
        </w:rPr>
        <w:t>本项目要求如下：</w:t>
      </w:r>
    </w:p>
    <w:p w14:paraId="4EF27355">
      <w:pPr>
        <w:pStyle w:val="8"/>
        <w:keepNext w:val="0"/>
        <w:keepLines w:val="0"/>
        <w:pageBreakBefore w:val="0"/>
        <w:kinsoku/>
        <w:wordWrap/>
        <w:overflowPunct/>
        <w:topLinePunct w:val="0"/>
        <w:autoSpaceDE/>
        <w:autoSpaceDN/>
        <w:bidi w:val="0"/>
        <w:adjustRightInd/>
        <w:spacing w:before="0" w:beforeAutospacing="0" w:after="0" w:afterAutospacing="0" w:line="500" w:lineRule="exact"/>
        <w:ind w:firstLine="480" w:firstLineChars="200"/>
        <w:textAlignment w:val="auto"/>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kern w:val="2"/>
          <w:sz w:val="24"/>
          <w:szCs w:val="24"/>
          <w:lang w:eastAsia="zh-CN"/>
        </w:rPr>
        <w:t>1.</w:t>
      </w:r>
      <w:r>
        <w:rPr>
          <w:rFonts w:hint="eastAsia" w:ascii="黑体" w:hAnsi="黑体" w:eastAsia="黑体" w:cs="黑体"/>
          <w:kern w:val="2"/>
          <w:sz w:val="24"/>
          <w:szCs w:val="24"/>
          <w:lang w:val="en-US" w:eastAsia="zh-CN"/>
        </w:rPr>
        <w:t>标的名称</w:t>
      </w:r>
      <w:r>
        <w:rPr>
          <w:rFonts w:hint="eastAsia" w:ascii="黑体" w:hAnsi="黑体" w:eastAsia="黑体" w:cs="黑体"/>
          <w:kern w:val="2"/>
          <w:sz w:val="24"/>
          <w:szCs w:val="24"/>
          <w:lang w:eastAsia="zh-CN"/>
        </w:rPr>
        <w:t>：</w:t>
      </w:r>
      <w:r>
        <w:rPr>
          <w:rFonts w:hint="eastAsia" w:ascii="黑体" w:hAnsi="黑体" w:eastAsia="黑体" w:cs="黑体"/>
          <w:color w:val="000000" w:themeColor="text1"/>
          <w:sz w:val="24"/>
          <w:szCs w:val="24"/>
          <w14:textFill>
            <w14:solidFill>
              <w14:schemeClr w14:val="tx1"/>
            </w14:solidFill>
          </w14:textFill>
        </w:rPr>
        <w:t>四川宏达股份有限公司工业硫酸运输服务。</w:t>
      </w:r>
    </w:p>
    <w:p w14:paraId="001C1E0E">
      <w:pPr>
        <w:pStyle w:val="8"/>
        <w:keepNext w:val="0"/>
        <w:keepLines w:val="0"/>
        <w:pageBreakBefore w:val="0"/>
        <w:kinsoku/>
        <w:wordWrap/>
        <w:overflowPunct/>
        <w:topLinePunct w:val="0"/>
        <w:autoSpaceDE/>
        <w:autoSpaceDN/>
        <w:bidi w:val="0"/>
        <w:adjustRightInd/>
        <w:spacing w:before="0" w:beforeAutospacing="0" w:after="0" w:afterAutospacing="0" w:line="500" w:lineRule="exact"/>
        <w:ind w:firstLine="480" w:firstLineChars="200"/>
        <w:textAlignment w:val="auto"/>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2.</w:t>
      </w:r>
      <w:r>
        <w:rPr>
          <w:rFonts w:hint="eastAsia" w:ascii="黑体" w:hAnsi="黑体" w:eastAsia="黑体" w:cs="黑体"/>
          <w:color w:val="000000" w:themeColor="text1"/>
          <w:sz w:val="24"/>
          <w:szCs w:val="24"/>
          <w14:textFill>
            <w14:solidFill>
              <w14:schemeClr w14:val="tx1"/>
            </w14:solidFill>
          </w14:textFill>
        </w:rPr>
        <w:t>运输服务起止地</w:t>
      </w:r>
      <w:r>
        <w:rPr>
          <w:rFonts w:hint="eastAsia" w:ascii="黑体" w:hAnsi="黑体" w:eastAsia="黑体" w:cs="黑体"/>
          <w:color w:val="000000" w:themeColor="text1"/>
          <w:sz w:val="24"/>
          <w:szCs w:val="24"/>
          <w:lang w:eastAsia="zh-CN"/>
          <w14:textFill>
            <w14:solidFill>
              <w14:schemeClr w14:val="tx1"/>
            </w14:solidFill>
          </w14:textFill>
        </w:rPr>
        <w:t>：</w:t>
      </w:r>
      <w:r>
        <w:rPr>
          <w:rFonts w:hint="eastAsia" w:ascii="黑体" w:hAnsi="黑体" w:eastAsia="黑体" w:cs="黑体"/>
          <w:color w:val="000000" w:themeColor="text1"/>
          <w:sz w:val="24"/>
          <w:szCs w:val="24"/>
          <w14:textFill>
            <w14:solidFill>
              <w14:schemeClr w14:val="tx1"/>
            </w14:solidFill>
          </w14:textFill>
        </w:rPr>
        <w:t>四川宏达股份有限公司有色分公司硫酸厂（师古镇民金路）至德阳昊华清平磷矿有限公司磷铵厂（绵竹市拱星镇）。</w:t>
      </w:r>
    </w:p>
    <w:p w14:paraId="7085568C">
      <w:pPr>
        <w:pStyle w:val="8"/>
        <w:keepNext w:val="0"/>
        <w:keepLines w:val="0"/>
        <w:pageBreakBefore w:val="0"/>
        <w:kinsoku/>
        <w:wordWrap/>
        <w:overflowPunct/>
        <w:topLinePunct w:val="0"/>
        <w:autoSpaceDE/>
        <w:autoSpaceDN/>
        <w:bidi w:val="0"/>
        <w:adjustRightInd/>
        <w:spacing w:before="0" w:beforeAutospacing="0" w:after="0" w:afterAutospacing="0" w:line="500" w:lineRule="exact"/>
        <w:ind w:firstLine="480" w:firstLineChars="200"/>
        <w:textAlignment w:val="auto"/>
        <w:rPr>
          <w:rFonts w:hint="eastAsia" w:ascii="黑体" w:hAnsi="黑体" w:eastAsia="黑体" w:cs="黑体"/>
          <w:color w:val="000000" w:themeColor="text1"/>
          <w:sz w:val="24"/>
          <w:szCs w:val="24"/>
          <w:lang w:eastAsia="zh-CN"/>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3.运输</w:t>
      </w:r>
      <w:r>
        <w:rPr>
          <w:rFonts w:hint="eastAsia" w:ascii="黑体" w:hAnsi="黑体" w:eastAsia="黑体" w:cs="黑体"/>
          <w:color w:val="000000" w:themeColor="text1"/>
          <w:sz w:val="24"/>
          <w:szCs w:val="24"/>
          <w14:textFill>
            <w14:solidFill>
              <w14:schemeClr w14:val="tx1"/>
            </w14:solidFill>
          </w14:textFill>
        </w:rPr>
        <w:t>数量</w:t>
      </w:r>
      <w:r>
        <w:rPr>
          <w:rFonts w:hint="eastAsia" w:ascii="黑体" w:hAnsi="黑体" w:eastAsia="黑体" w:cs="黑体"/>
          <w:color w:val="000000" w:themeColor="text1"/>
          <w:sz w:val="24"/>
          <w:szCs w:val="24"/>
          <w:lang w:eastAsia="zh-CN"/>
          <w14:textFill>
            <w14:solidFill>
              <w14:schemeClr w14:val="tx1"/>
            </w14:solidFill>
          </w14:textFill>
        </w:rPr>
        <w:t>：</w:t>
      </w:r>
      <w:r>
        <w:rPr>
          <w:rFonts w:hint="eastAsia" w:ascii="黑体" w:hAnsi="黑体" w:eastAsia="黑体" w:cs="黑体"/>
          <w:color w:val="000000" w:themeColor="text1"/>
          <w:sz w:val="24"/>
          <w:szCs w:val="24"/>
          <w14:textFill>
            <w14:solidFill>
              <w14:schemeClr w14:val="tx1"/>
            </w14:solidFill>
          </w14:textFill>
        </w:rPr>
        <w:t>约3000吨</w:t>
      </w:r>
      <w:r>
        <w:rPr>
          <w:rFonts w:hint="eastAsia" w:ascii="黑体" w:hAnsi="黑体" w:eastAsia="黑体" w:cs="黑体"/>
          <w:color w:val="000000" w:themeColor="text1"/>
          <w:sz w:val="24"/>
          <w:szCs w:val="24"/>
          <w:lang w:eastAsia="zh-CN"/>
          <w14:textFill>
            <w14:solidFill>
              <w14:schemeClr w14:val="tx1"/>
            </w14:solidFill>
          </w14:textFill>
        </w:rPr>
        <w:t>。</w:t>
      </w:r>
    </w:p>
    <w:p w14:paraId="03312B54">
      <w:pPr>
        <w:pStyle w:val="8"/>
        <w:keepNext w:val="0"/>
        <w:keepLines w:val="0"/>
        <w:pageBreakBefore w:val="0"/>
        <w:kinsoku/>
        <w:wordWrap/>
        <w:overflowPunct/>
        <w:topLinePunct w:val="0"/>
        <w:autoSpaceDE/>
        <w:autoSpaceDN/>
        <w:bidi w:val="0"/>
        <w:adjustRightInd/>
        <w:spacing w:before="0" w:beforeAutospacing="0" w:after="0" w:afterAutospacing="0" w:line="500" w:lineRule="exact"/>
        <w:ind w:firstLine="480" w:firstLineChars="200"/>
        <w:textAlignment w:val="auto"/>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4.</w:t>
      </w:r>
      <w:r>
        <w:rPr>
          <w:rFonts w:hint="eastAsia" w:ascii="黑体" w:hAnsi="黑体" w:eastAsia="黑体" w:cs="黑体"/>
          <w:color w:val="000000" w:themeColor="text1"/>
          <w:sz w:val="24"/>
          <w:szCs w:val="24"/>
          <w14:textFill>
            <w14:solidFill>
              <w14:schemeClr w14:val="tx1"/>
            </w14:solidFill>
          </w14:textFill>
        </w:rPr>
        <w:t>运输时限：2025年12月25日至2026年1月31日</w:t>
      </w:r>
      <w:r>
        <w:rPr>
          <w:rFonts w:hint="eastAsia" w:ascii="黑体" w:hAnsi="黑体" w:eastAsia="黑体" w:cs="黑体"/>
          <w:color w:val="000000" w:themeColor="text1"/>
          <w:sz w:val="24"/>
          <w:szCs w:val="24"/>
          <w:lang w:val="en-US" w:eastAsia="zh-CN"/>
          <w14:textFill>
            <w14:solidFill>
              <w14:schemeClr w14:val="tx1"/>
            </w14:solidFill>
          </w14:textFill>
        </w:rPr>
        <w:t>。</w:t>
      </w:r>
    </w:p>
    <w:p w14:paraId="3BAB6EF0">
      <w:pPr>
        <w:pStyle w:val="17"/>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黑体" w:hAnsi="黑体" w:eastAsia="黑体" w:cs="黑体"/>
          <w:b/>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kern w:val="0"/>
          <w:sz w:val="24"/>
          <w:szCs w:val="24"/>
          <w:lang w:val="en-US" w:eastAsia="zh-CN"/>
          <w14:textFill>
            <w14:solidFill>
              <w14:schemeClr w14:val="tx1"/>
            </w14:solidFill>
          </w14:textFill>
        </w:rPr>
        <w:t>5.</w:t>
      </w:r>
      <w:r>
        <w:rPr>
          <w:rFonts w:hint="eastAsia" w:ascii="黑体" w:hAnsi="黑体" w:eastAsia="黑体" w:cs="黑体"/>
          <w:color w:val="000000" w:themeColor="text1"/>
          <w:kern w:val="0"/>
          <w:sz w:val="24"/>
          <w:szCs w:val="24"/>
          <w14:textFill>
            <w14:solidFill>
              <w14:schemeClr w14:val="tx1"/>
            </w14:solidFill>
          </w14:textFill>
        </w:rPr>
        <w:t>付款方式：先货后款</w:t>
      </w:r>
      <w:r>
        <w:rPr>
          <w:rFonts w:hint="eastAsia" w:ascii="黑体" w:hAnsi="黑体" w:eastAsia="黑体" w:cs="黑体"/>
          <w:color w:val="000000" w:themeColor="text1"/>
          <w:kern w:val="0"/>
          <w:sz w:val="24"/>
          <w:szCs w:val="24"/>
          <w:lang w:eastAsia="zh-CN"/>
          <w14:textFill>
            <w14:solidFill>
              <w14:schemeClr w14:val="tx1"/>
            </w14:solidFill>
          </w14:textFill>
        </w:rPr>
        <w:t>，</w:t>
      </w:r>
      <w:r>
        <w:rPr>
          <w:rFonts w:hint="eastAsia" w:ascii="黑体" w:hAnsi="黑体" w:eastAsia="黑体" w:cs="黑体"/>
          <w:color w:val="000000" w:themeColor="text1"/>
          <w:kern w:val="0"/>
          <w:sz w:val="24"/>
          <w:szCs w:val="24"/>
          <w:lang w:val="en-US" w:eastAsia="zh-CN"/>
          <w14:textFill>
            <w14:solidFill>
              <w14:schemeClr w14:val="tx1"/>
            </w14:solidFill>
          </w14:textFill>
        </w:rPr>
        <w:t>现汇支付。</w:t>
      </w:r>
    </w:p>
    <w:p w14:paraId="3A1C1051">
      <w:pPr>
        <w:pStyle w:val="17"/>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黑体" w:hAnsi="黑体" w:eastAsia="黑体" w:cs="黑体"/>
          <w:b/>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6.发票：一票制，</w:t>
      </w:r>
      <w:r>
        <w:rPr>
          <w:rFonts w:hint="eastAsia" w:ascii="黑体" w:hAnsi="黑体" w:eastAsia="黑体" w:cs="黑体"/>
          <w:color w:val="000000" w:themeColor="text1"/>
          <w:sz w:val="24"/>
          <w:szCs w:val="24"/>
          <w14:textFill>
            <w14:solidFill>
              <w14:schemeClr w14:val="tx1"/>
            </w14:solidFill>
          </w14:textFill>
        </w:rPr>
        <w:t>运输</w:t>
      </w:r>
      <w:r>
        <w:rPr>
          <w:rFonts w:hint="eastAsia" w:ascii="黑体" w:hAnsi="黑体" w:eastAsia="黑体" w:cs="黑体"/>
          <w:color w:val="000000" w:themeColor="text1"/>
          <w:kern w:val="0"/>
          <w:sz w:val="24"/>
          <w:szCs w:val="24"/>
          <w14:textFill>
            <w14:solidFill>
              <w14:schemeClr w14:val="tx1"/>
            </w14:solidFill>
          </w14:textFill>
        </w:rPr>
        <w:t>方</w:t>
      </w:r>
      <w:r>
        <w:rPr>
          <w:rFonts w:hint="eastAsia" w:ascii="黑体" w:hAnsi="黑体" w:eastAsia="黑体" w:cs="黑体"/>
          <w:color w:val="000000" w:themeColor="text1"/>
          <w:kern w:val="0"/>
          <w:sz w:val="24"/>
          <w:szCs w:val="24"/>
          <w:lang w:val="en-US" w:eastAsia="zh-CN"/>
          <w14:textFill>
            <w14:solidFill>
              <w14:schemeClr w14:val="tx1"/>
            </w14:solidFill>
          </w14:textFill>
        </w:rPr>
        <w:t>开具全额增值税专用发票（税率9%）。</w:t>
      </w:r>
    </w:p>
    <w:p w14:paraId="6C76901E">
      <w:pPr>
        <w:pStyle w:val="17"/>
        <w:keepNext w:val="0"/>
        <w:keepLines w:val="0"/>
        <w:pageBreakBefore w:val="0"/>
        <w:kinsoku/>
        <w:wordWrap/>
        <w:overflowPunct/>
        <w:topLinePunct w:val="0"/>
        <w:autoSpaceDE/>
        <w:autoSpaceDN/>
        <w:bidi w:val="0"/>
        <w:adjustRightInd/>
        <w:spacing w:line="500" w:lineRule="exact"/>
        <w:ind w:firstLine="482" w:firstLineChars="200"/>
        <w:textAlignment w:val="auto"/>
        <w:rPr>
          <w:rFonts w:hint="eastAsia" w:ascii="黑体" w:hAnsi="黑体" w:eastAsia="黑体" w:cs="黑体"/>
          <w:b/>
          <w:color w:val="000000" w:themeColor="text1"/>
          <w:sz w:val="24"/>
          <w:szCs w:val="24"/>
          <w14:textFill>
            <w14:solidFill>
              <w14:schemeClr w14:val="tx1"/>
            </w14:solidFill>
          </w14:textFill>
        </w:rPr>
      </w:pPr>
      <w:r>
        <w:rPr>
          <w:rFonts w:hint="eastAsia" w:ascii="黑体" w:hAnsi="黑体" w:eastAsia="黑体" w:cs="黑体"/>
          <w:b/>
          <w:color w:val="000000" w:themeColor="text1"/>
          <w:sz w:val="24"/>
          <w:szCs w:val="24"/>
          <w:lang w:val="en-US" w:eastAsia="zh-CN"/>
          <w14:textFill>
            <w14:solidFill>
              <w14:schemeClr w14:val="tx1"/>
            </w14:solidFill>
          </w14:textFill>
        </w:rPr>
        <w:t>7.运输单位</w:t>
      </w:r>
      <w:bookmarkStart w:id="2" w:name="_GoBack"/>
      <w:bookmarkEnd w:id="2"/>
      <w:r>
        <w:rPr>
          <w:rFonts w:hint="eastAsia" w:ascii="黑体" w:hAnsi="黑体" w:eastAsia="黑体" w:cs="黑体"/>
          <w:b/>
          <w:color w:val="000000" w:themeColor="text1"/>
          <w:sz w:val="24"/>
          <w:szCs w:val="24"/>
          <w14:textFill>
            <w14:solidFill>
              <w14:schemeClr w14:val="tx1"/>
            </w14:solidFill>
          </w14:textFill>
        </w:rPr>
        <w:t>资质</w:t>
      </w:r>
    </w:p>
    <w:p w14:paraId="6F55B8D8">
      <w:pPr>
        <w:keepNext w:val="0"/>
        <w:keepLines w:val="0"/>
        <w:pageBreakBefore w:val="0"/>
        <w:widowControl/>
        <w:shd w:val="clear" w:color="auto" w:fill="FFFFFF"/>
        <w:kinsoku/>
        <w:wordWrap/>
        <w:overflowPunct/>
        <w:topLinePunct w:val="0"/>
        <w:autoSpaceDE/>
        <w:autoSpaceDN/>
        <w:bidi w:val="0"/>
        <w:adjustRightInd/>
        <w:spacing w:line="500" w:lineRule="exact"/>
        <w:ind w:firstLine="480" w:firstLineChars="200"/>
        <w:jc w:val="left"/>
        <w:textAlignment w:val="auto"/>
        <w:rPr>
          <w:rFonts w:hint="eastAsia"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具有合法、有效的营业执照（三证合一）、中华人民共和国道路运输经营许可证〖经营范围：危险货物运输(8类）〗。</w:t>
      </w:r>
    </w:p>
    <w:p w14:paraId="3F2E48E1">
      <w:pPr>
        <w:keepNext w:val="0"/>
        <w:keepLines w:val="0"/>
        <w:pageBreakBefore w:val="0"/>
        <w:widowControl/>
        <w:shd w:val="clear" w:color="auto" w:fill="FFFFFF"/>
        <w:kinsoku/>
        <w:wordWrap/>
        <w:overflowPunct/>
        <w:topLinePunct w:val="0"/>
        <w:autoSpaceDE/>
        <w:autoSpaceDN/>
        <w:bidi w:val="0"/>
        <w:adjustRightInd/>
        <w:spacing w:line="500" w:lineRule="exact"/>
        <w:ind w:firstLine="480" w:firstLineChars="200"/>
        <w:jc w:val="left"/>
        <w:textAlignment w:val="auto"/>
        <w:rPr>
          <w:rFonts w:hint="eastAsia" w:ascii="黑体" w:hAnsi="黑体" w:eastAsia="黑体" w:cs="黑体"/>
          <w:b/>
          <w:color w:val="000000" w:themeColor="text1"/>
          <w:sz w:val="24"/>
          <w:szCs w:val="24"/>
          <w14:textFill>
            <w14:solidFill>
              <w14:schemeClr w14:val="tx1"/>
            </w14:solidFill>
          </w14:textFill>
        </w:rPr>
      </w:pPr>
      <w:r>
        <w:rPr>
          <w:rFonts w:hint="eastAsia" w:ascii="黑体" w:hAnsi="黑体" w:eastAsia="黑体" w:cs="黑体"/>
          <w:color w:val="000000" w:themeColor="text1"/>
          <w:kern w:val="0"/>
          <w:sz w:val="24"/>
          <w:szCs w:val="24"/>
          <w:lang w:val="en-US" w:eastAsia="zh-CN"/>
          <w14:textFill>
            <w14:solidFill>
              <w14:schemeClr w14:val="tx1"/>
            </w14:solidFill>
          </w14:textFill>
        </w:rPr>
        <w:t>8.</w:t>
      </w:r>
      <w:r>
        <w:rPr>
          <w:rFonts w:hint="eastAsia" w:ascii="黑体" w:hAnsi="黑体" w:eastAsia="黑体" w:cs="黑体"/>
          <w:b/>
          <w:color w:val="000000" w:themeColor="text1"/>
          <w:sz w:val="24"/>
          <w:szCs w:val="24"/>
          <w14:textFill>
            <w14:solidFill>
              <w14:schemeClr w14:val="tx1"/>
            </w14:solidFill>
          </w14:textFill>
        </w:rPr>
        <w:t>物流服务及其他要求</w:t>
      </w:r>
    </w:p>
    <w:p w14:paraId="36529F45">
      <w:pPr>
        <w:pStyle w:val="8"/>
        <w:keepNext w:val="0"/>
        <w:keepLines w:val="0"/>
        <w:pageBreakBefore w:val="0"/>
        <w:kinsoku/>
        <w:wordWrap/>
        <w:overflowPunct/>
        <w:topLinePunct w:val="0"/>
        <w:autoSpaceDE/>
        <w:autoSpaceDN/>
        <w:bidi w:val="0"/>
        <w:adjustRightInd/>
        <w:spacing w:before="0" w:beforeAutospacing="0" w:after="0" w:afterAutospacing="0" w:line="500" w:lineRule="exact"/>
        <w:ind w:firstLine="480" w:firstLineChars="200"/>
        <w:textAlignment w:val="auto"/>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lang w:eastAsia="zh-CN"/>
          <w14:textFill>
            <w14:solidFill>
              <w14:schemeClr w14:val="tx1"/>
            </w14:solidFill>
          </w14:textFill>
        </w:rPr>
        <w:t>①</w:t>
      </w:r>
      <w:r>
        <w:rPr>
          <w:rFonts w:hint="eastAsia" w:ascii="黑体" w:hAnsi="黑体" w:eastAsia="黑体" w:cs="黑体"/>
          <w:color w:val="000000" w:themeColor="text1"/>
          <w:sz w:val="24"/>
          <w:szCs w:val="24"/>
          <w14:textFill>
            <w14:solidFill>
              <w14:schemeClr w14:val="tx1"/>
            </w14:solidFill>
          </w14:textFill>
        </w:rPr>
        <w:t>运输危险品货物的车辆，以符合交通部规定的特种全封闭危险品罐装汽车进行运输。车辆应安装视频监控设备，可提供全程录像，保障货物安全。车辆需具备交通主管部门核发的道路运输证及公安车管部门核发的有效行驶证，罐体应具备质量技术监督部门核发的有效槽罐质量检测合格证。</w:t>
      </w:r>
    </w:p>
    <w:p w14:paraId="0260C679">
      <w:pPr>
        <w:pStyle w:val="8"/>
        <w:keepNext w:val="0"/>
        <w:keepLines w:val="0"/>
        <w:pageBreakBefore w:val="0"/>
        <w:kinsoku/>
        <w:wordWrap/>
        <w:overflowPunct/>
        <w:topLinePunct w:val="0"/>
        <w:autoSpaceDE/>
        <w:autoSpaceDN/>
        <w:bidi w:val="0"/>
        <w:adjustRightInd/>
        <w:spacing w:before="0" w:beforeAutospacing="0" w:after="0" w:afterAutospacing="0" w:line="500" w:lineRule="exact"/>
        <w:ind w:firstLine="480" w:firstLineChars="200"/>
        <w:textAlignment w:val="auto"/>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lang w:eastAsia="zh-CN"/>
          <w14:textFill>
            <w14:solidFill>
              <w14:schemeClr w14:val="tx1"/>
            </w14:solidFill>
          </w14:textFill>
        </w:rPr>
        <w:t>②</w:t>
      </w:r>
      <w:r>
        <w:rPr>
          <w:rFonts w:hint="eastAsia" w:ascii="黑体" w:hAnsi="黑体" w:eastAsia="黑体" w:cs="黑体"/>
          <w:color w:val="000000" w:themeColor="text1"/>
          <w:sz w:val="24"/>
          <w:szCs w:val="24"/>
          <w14:textFill>
            <w14:solidFill>
              <w14:schemeClr w14:val="tx1"/>
            </w14:solidFill>
          </w14:textFill>
        </w:rPr>
        <w:t>车辆罐体要求：所有装运车辆，罐体内部必须整洁、无杂物，不能出现有影响质量风险的其他异类物质。</w:t>
      </w:r>
    </w:p>
    <w:p w14:paraId="6CDED607">
      <w:pPr>
        <w:pStyle w:val="8"/>
        <w:keepNext w:val="0"/>
        <w:keepLines w:val="0"/>
        <w:pageBreakBefore w:val="0"/>
        <w:kinsoku/>
        <w:wordWrap/>
        <w:overflowPunct/>
        <w:topLinePunct w:val="0"/>
        <w:autoSpaceDE/>
        <w:autoSpaceDN/>
        <w:bidi w:val="0"/>
        <w:adjustRightInd/>
        <w:spacing w:before="0" w:beforeAutospacing="0" w:after="0" w:afterAutospacing="0" w:line="500" w:lineRule="exact"/>
        <w:ind w:firstLine="480" w:firstLineChars="200"/>
        <w:textAlignment w:val="auto"/>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lang w:eastAsia="zh-CN"/>
          <w14:textFill>
            <w14:solidFill>
              <w14:schemeClr w14:val="tx1"/>
            </w14:solidFill>
          </w14:textFill>
        </w:rPr>
        <w:t>③</w:t>
      </w:r>
      <w:r>
        <w:rPr>
          <w:rFonts w:hint="eastAsia" w:ascii="黑体" w:hAnsi="黑体" w:eastAsia="黑体" w:cs="黑体"/>
          <w:color w:val="000000" w:themeColor="text1"/>
          <w:sz w:val="24"/>
          <w:szCs w:val="24"/>
          <w14:textFill>
            <w14:solidFill>
              <w14:schemeClr w14:val="tx1"/>
            </w14:solidFill>
          </w14:textFill>
        </w:rPr>
        <w:t>运输方在运输作业时，装车完成后应对车辆状况进行相应的检查。</w:t>
      </w:r>
    </w:p>
    <w:p w14:paraId="0891BC46">
      <w:pPr>
        <w:pStyle w:val="8"/>
        <w:keepNext w:val="0"/>
        <w:keepLines w:val="0"/>
        <w:pageBreakBefore w:val="0"/>
        <w:kinsoku/>
        <w:wordWrap/>
        <w:overflowPunct/>
        <w:topLinePunct w:val="0"/>
        <w:autoSpaceDE/>
        <w:autoSpaceDN/>
        <w:bidi w:val="0"/>
        <w:adjustRightInd/>
        <w:spacing w:before="0" w:beforeAutospacing="0" w:after="0" w:afterAutospacing="0" w:line="500" w:lineRule="exact"/>
        <w:ind w:firstLine="480" w:firstLineChars="200"/>
        <w:textAlignment w:val="auto"/>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lang w:eastAsia="zh-CN"/>
          <w14:textFill>
            <w14:solidFill>
              <w14:schemeClr w14:val="tx1"/>
            </w14:solidFill>
          </w14:textFill>
        </w:rPr>
        <w:t>④</w:t>
      </w:r>
      <w:r>
        <w:rPr>
          <w:rFonts w:hint="eastAsia" w:ascii="黑体" w:hAnsi="黑体" w:eastAsia="黑体" w:cs="黑体"/>
          <w:color w:val="000000" w:themeColor="text1"/>
          <w:sz w:val="24"/>
          <w:szCs w:val="24"/>
          <w14:textFill>
            <w14:solidFill>
              <w14:schemeClr w14:val="tx1"/>
            </w14:solidFill>
          </w14:textFill>
        </w:rPr>
        <w:t>运输方</w:t>
      </w:r>
      <w:r>
        <w:rPr>
          <w:rFonts w:hint="eastAsia" w:ascii="黑体" w:hAnsi="黑体" w:eastAsia="黑体" w:cs="黑体"/>
          <w:color w:val="000000" w:themeColor="text1"/>
          <w:sz w:val="24"/>
          <w:szCs w:val="24"/>
          <w:lang w:val="en-US" w:eastAsia="zh-CN"/>
          <w14:textFill>
            <w14:solidFill>
              <w14:schemeClr w14:val="tx1"/>
            </w14:solidFill>
          </w14:textFill>
        </w:rPr>
        <w:t>需</w:t>
      </w:r>
      <w:r>
        <w:rPr>
          <w:rFonts w:hint="eastAsia" w:ascii="黑体" w:hAnsi="黑体" w:eastAsia="黑体" w:cs="黑体"/>
          <w:color w:val="000000" w:themeColor="text1"/>
          <w:sz w:val="24"/>
          <w:szCs w:val="24"/>
          <w14:textFill>
            <w14:solidFill>
              <w14:schemeClr w14:val="tx1"/>
            </w14:solidFill>
          </w14:textFill>
        </w:rPr>
        <w:t>熟悉完整的提货、装货流程，并与各方形成良好的合作关系。</w:t>
      </w:r>
    </w:p>
    <w:p w14:paraId="15FEB843">
      <w:pPr>
        <w:pStyle w:val="8"/>
        <w:keepNext w:val="0"/>
        <w:keepLines w:val="0"/>
        <w:pageBreakBefore w:val="0"/>
        <w:kinsoku/>
        <w:wordWrap/>
        <w:overflowPunct/>
        <w:topLinePunct w:val="0"/>
        <w:autoSpaceDE/>
        <w:autoSpaceDN/>
        <w:bidi w:val="0"/>
        <w:adjustRightInd/>
        <w:spacing w:before="0" w:beforeAutospacing="0" w:after="0" w:afterAutospacing="0" w:line="500" w:lineRule="exact"/>
        <w:ind w:firstLine="480" w:firstLineChars="200"/>
        <w:textAlignment w:val="auto"/>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lang w:eastAsia="zh-CN"/>
          <w14:textFill>
            <w14:solidFill>
              <w14:schemeClr w14:val="tx1"/>
            </w14:solidFill>
          </w14:textFill>
        </w:rPr>
        <w:t>⑤</w:t>
      </w:r>
      <w:r>
        <w:rPr>
          <w:rFonts w:hint="eastAsia" w:ascii="黑体" w:hAnsi="黑体" w:eastAsia="黑体" w:cs="黑体"/>
          <w:color w:val="000000" w:themeColor="text1"/>
          <w:sz w:val="24"/>
          <w:szCs w:val="24"/>
          <w14:textFill>
            <w14:solidFill>
              <w14:schemeClr w14:val="tx1"/>
            </w14:solidFill>
          </w14:textFill>
        </w:rPr>
        <w:t>运输方在货物运输时必须全额投保《国内陆路货物运输保险》，承运司机、押运员必须投保《人身意外险》，驾驶员需持公安部门核发的有效驾驶证及交通主管部门核发的营业性道路运输驾驶员危险货物运输从业资格证，押运人员需持有交通主管部门核发的道路危险货物操作证（押运员证）。</w:t>
      </w:r>
    </w:p>
    <w:p w14:paraId="79626C56">
      <w:pPr>
        <w:pStyle w:val="8"/>
        <w:keepNext w:val="0"/>
        <w:keepLines w:val="0"/>
        <w:pageBreakBefore w:val="0"/>
        <w:kinsoku/>
        <w:wordWrap/>
        <w:overflowPunct/>
        <w:topLinePunct w:val="0"/>
        <w:autoSpaceDE/>
        <w:autoSpaceDN/>
        <w:bidi w:val="0"/>
        <w:adjustRightInd/>
        <w:spacing w:before="0" w:beforeAutospacing="0" w:after="0" w:afterAutospacing="0" w:line="500" w:lineRule="exact"/>
        <w:ind w:firstLine="480" w:firstLineChars="200"/>
        <w:textAlignment w:val="auto"/>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lang w:eastAsia="zh-CN"/>
          <w14:textFill>
            <w14:solidFill>
              <w14:schemeClr w14:val="tx1"/>
            </w14:solidFill>
          </w14:textFill>
        </w:rPr>
        <w:t>⑥</w:t>
      </w:r>
      <w:r>
        <w:rPr>
          <w:rFonts w:hint="eastAsia" w:ascii="黑体" w:hAnsi="黑体" w:eastAsia="黑体" w:cs="黑体"/>
          <w:color w:val="000000" w:themeColor="text1"/>
          <w:sz w:val="24"/>
          <w:szCs w:val="24"/>
          <w14:textFill>
            <w14:solidFill>
              <w14:schemeClr w14:val="tx1"/>
            </w14:solidFill>
          </w14:textFill>
        </w:rPr>
        <w:t>运输方在运输过程中应遵守《中华人民共和国公路法》《中华人民共和国道路交通安全法》《危险货物道路运输安全管理办法》《四川省高速公路条例》四川省有关治理公路超限超载运输等有关法律、法规的规定。</w:t>
      </w:r>
    </w:p>
    <w:p w14:paraId="5A96841D">
      <w:pPr>
        <w:pStyle w:val="8"/>
        <w:keepNext w:val="0"/>
        <w:keepLines w:val="0"/>
        <w:pageBreakBefore w:val="0"/>
        <w:kinsoku/>
        <w:wordWrap/>
        <w:overflowPunct/>
        <w:topLinePunct w:val="0"/>
        <w:autoSpaceDE/>
        <w:autoSpaceDN/>
        <w:bidi w:val="0"/>
        <w:adjustRightInd/>
        <w:spacing w:before="0" w:beforeAutospacing="0" w:after="0" w:afterAutospacing="0" w:line="500" w:lineRule="exact"/>
        <w:ind w:firstLine="480" w:firstLineChars="200"/>
        <w:textAlignment w:val="auto"/>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lang w:eastAsia="zh-CN"/>
          <w14:textFill>
            <w14:solidFill>
              <w14:schemeClr w14:val="tx1"/>
            </w14:solidFill>
          </w14:textFill>
        </w:rPr>
        <w:t>⑦</w:t>
      </w:r>
      <w:r>
        <w:rPr>
          <w:rFonts w:hint="eastAsia" w:ascii="黑体" w:hAnsi="黑体" w:eastAsia="黑体" w:cs="黑体"/>
          <w:color w:val="000000" w:themeColor="text1"/>
          <w:sz w:val="24"/>
          <w:szCs w:val="24"/>
          <w14:textFill>
            <w14:solidFill>
              <w14:schemeClr w14:val="tx1"/>
            </w14:solidFill>
          </w14:textFill>
        </w:rPr>
        <w:t>运输方对车辆应有管控手段，可随时提供车辆行程轨迹。</w:t>
      </w:r>
    </w:p>
    <w:p w14:paraId="20A07362">
      <w:pPr>
        <w:pStyle w:val="8"/>
        <w:keepNext w:val="0"/>
        <w:keepLines w:val="0"/>
        <w:pageBreakBefore w:val="0"/>
        <w:kinsoku/>
        <w:wordWrap/>
        <w:overflowPunct/>
        <w:topLinePunct w:val="0"/>
        <w:autoSpaceDE/>
        <w:autoSpaceDN/>
        <w:bidi w:val="0"/>
        <w:adjustRightInd/>
        <w:spacing w:before="0" w:beforeAutospacing="0" w:after="0" w:afterAutospacing="0" w:line="500" w:lineRule="exact"/>
        <w:ind w:firstLine="480" w:firstLineChars="200"/>
        <w:textAlignment w:val="auto"/>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lang w:eastAsia="zh-CN"/>
          <w14:textFill>
            <w14:solidFill>
              <w14:schemeClr w14:val="tx1"/>
            </w14:solidFill>
          </w14:textFill>
        </w:rPr>
        <w:t>⑧</w:t>
      </w:r>
      <w:r>
        <w:rPr>
          <w:rFonts w:hint="eastAsia" w:ascii="黑体" w:hAnsi="黑体" w:eastAsia="黑体" w:cs="黑体"/>
          <w:color w:val="000000" w:themeColor="text1"/>
          <w:sz w:val="24"/>
          <w:szCs w:val="24"/>
          <w14:textFill>
            <w14:solidFill>
              <w14:schemeClr w14:val="tx1"/>
            </w14:solidFill>
          </w14:textFill>
        </w:rPr>
        <w:t>运输方应对突发事件有相应的协调处理能力。</w:t>
      </w:r>
    </w:p>
    <w:p w14:paraId="172C63B4">
      <w:pPr>
        <w:pStyle w:val="8"/>
        <w:keepNext w:val="0"/>
        <w:keepLines w:val="0"/>
        <w:pageBreakBefore w:val="0"/>
        <w:kinsoku/>
        <w:wordWrap/>
        <w:overflowPunct/>
        <w:topLinePunct w:val="0"/>
        <w:autoSpaceDE/>
        <w:autoSpaceDN/>
        <w:bidi w:val="0"/>
        <w:adjustRightInd/>
        <w:spacing w:before="0" w:beforeAutospacing="0" w:after="0" w:afterAutospacing="0" w:line="500" w:lineRule="exact"/>
        <w:ind w:firstLine="480" w:firstLineChars="200"/>
        <w:textAlignment w:val="auto"/>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lang w:eastAsia="zh-CN"/>
          <w14:textFill>
            <w14:solidFill>
              <w14:schemeClr w14:val="tx1"/>
            </w14:solidFill>
          </w14:textFill>
        </w:rPr>
        <w:t>⑨</w:t>
      </w:r>
      <w:r>
        <w:rPr>
          <w:rFonts w:hint="eastAsia" w:ascii="黑体" w:hAnsi="黑体" w:eastAsia="黑体" w:cs="黑体"/>
          <w:color w:val="000000" w:themeColor="text1"/>
          <w:sz w:val="24"/>
          <w:szCs w:val="24"/>
          <w:lang w:val="en-US" w:eastAsia="zh-CN"/>
          <w14:textFill>
            <w14:solidFill>
              <w14:schemeClr w14:val="tx1"/>
            </w14:solidFill>
          </w14:textFill>
        </w:rPr>
        <w:t>采购人</w:t>
      </w:r>
      <w:r>
        <w:rPr>
          <w:rFonts w:hint="eastAsia" w:ascii="黑体" w:hAnsi="黑体" w:eastAsia="黑体" w:cs="黑体"/>
          <w:color w:val="000000" w:themeColor="text1"/>
          <w:sz w:val="24"/>
          <w:szCs w:val="24"/>
          <w14:textFill>
            <w14:solidFill>
              <w14:schemeClr w14:val="tx1"/>
            </w14:solidFill>
          </w14:textFill>
        </w:rPr>
        <w:t>因管理上的需要，可能安装运输监管软硬件，运输方需同意并无条件协助。</w:t>
      </w:r>
    </w:p>
    <w:p w14:paraId="4F104B1A">
      <w:pPr>
        <w:pStyle w:val="8"/>
        <w:keepNext w:val="0"/>
        <w:keepLines w:val="0"/>
        <w:pageBreakBefore w:val="0"/>
        <w:kinsoku/>
        <w:wordWrap/>
        <w:overflowPunct/>
        <w:topLinePunct w:val="0"/>
        <w:autoSpaceDE/>
        <w:autoSpaceDN/>
        <w:bidi w:val="0"/>
        <w:adjustRightInd/>
        <w:spacing w:before="0" w:beforeAutospacing="0" w:after="0" w:afterAutospacing="0" w:line="500" w:lineRule="exact"/>
        <w:ind w:firstLine="482" w:firstLineChars="200"/>
        <w:textAlignment w:val="auto"/>
        <w:rPr>
          <w:rFonts w:hint="eastAsia" w:ascii="黑体" w:hAnsi="黑体" w:eastAsia="黑体" w:cs="黑体"/>
          <w:b/>
          <w:bCs/>
          <w:color w:val="000000" w:themeColor="text1"/>
          <w:sz w:val="24"/>
          <w:szCs w:val="24"/>
          <w14:textFill>
            <w14:solidFill>
              <w14:schemeClr w14:val="tx1"/>
            </w14:solidFill>
          </w14:textFill>
        </w:rPr>
      </w:pPr>
      <w:r>
        <w:rPr>
          <w:rFonts w:hint="eastAsia" w:ascii="黑体" w:hAnsi="黑体" w:eastAsia="黑体" w:cs="黑体"/>
          <w:b/>
          <w:bCs/>
          <w:color w:val="000000" w:themeColor="text1"/>
          <w:sz w:val="24"/>
          <w:szCs w:val="24"/>
          <w:lang w:val="en-US" w:eastAsia="zh-CN"/>
          <w14:textFill>
            <w14:solidFill>
              <w14:schemeClr w14:val="tx1"/>
            </w14:solidFill>
          </w14:textFill>
        </w:rPr>
        <w:t>9.</w:t>
      </w:r>
      <w:r>
        <w:rPr>
          <w:rFonts w:hint="eastAsia" w:ascii="黑体" w:hAnsi="黑体" w:eastAsia="黑体" w:cs="黑体"/>
          <w:b/>
          <w:bCs/>
          <w:color w:val="000000" w:themeColor="text1"/>
          <w:sz w:val="24"/>
          <w:szCs w:val="24"/>
          <w14:textFill>
            <w14:solidFill>
              <w14:schemeClr w14:val="tx1"/>
            </w14:solidFill>
          </w14:textFill>
        </w:rPr>
        <w:t>履约保证金：</w:t>
      </w:r>
    </w:p>
    <w:p w14:paraId="57EC8DCE">
      <w:pPr>
        <w:pStyle w:val="8"/>
        <w:keepNext w:val="0"/>
        <w:keepLines w:val="0"/>
        <w:pageBreakBefore w:val="0"/>
        <w:kinsoku/>
        <w:wordWrap/>
        <w:overflowPunct/>
        <w:topLinePunct w:val="0"/>
        <w:autoSpaceDE/>
        <w:autoSpaceDN/>
        <w:bidi w:val="0"/>
        <w:adjustRightInd/>
        <w:spacing w:before="0" w:beforeAutospacing="0" w:after="0" w:afterAutospacing="0" w:line="500" w:lineRule="exact"/>
        <w:ind w:firstLine="480" w:firstLineChars="200"/>
        <w:textAlignment w:val="auto"/>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响应人</w:t>
      </w:r>
      <w:r>
        <w:rPr>
          <w:rFonts w:hint="eastAsia" w:ascii="黑体" w:hAnsi="黑体" w:eastAsia="黑体" w:cs="黑体"/>
          <w:color w:val="000000" w:themeColor="text1"/>
          <w:sz w:val="24"/>
          <w:szCs w:val="24"/>
          <w14:textFill>
            <w14:solidFill>
              <w14:schemeClr w14:val="tx1"/>
            </w14:solidFill>
          </w14:textFill>
        </w:rPr>
        <w:t>应在收到</w:t>
      </w:r>
      <w:r>
        <w:rPr>
          <w:rFonts w:hint="eastAsia" w:ascii="黑体" w:hAnsi="黑体" w:eastAsia="黑体" w:cs="黑体"/>
          <w:color w:val="000000" w:themeColor="text1"/>
          <w:sz w:val="24"/>
          <w:szCs w:val="24"/>
          <w:lang w:val="en-US" w:eastAsia="zh-CN"/>
          <w14:textFill>
            <w14:solidFill>
              <w14:schemeClr w14:val="tx1"/>
            </w14:solidFill>
          </w14:textFill>
        </w:rPr>
        <w:t>成交</w:t>
      </w:r>
      <w:r>
        <w:rPr>
          <w:rFonts w:hint="eastAsia" w:ascii="黑体" w:hAnsi="黑体" w:eastAsia="黑体" w:cs="黑体"/>
          <w:color w:val="000000" w:themeColor="text1"/>
          <w:sz w:val="24"/>
          <w:szCs w:val="24"/>
          <w14:textFill>
            <w14:solidFill>
              <w14:schemeClr w14:val="tx1"/>
            </w14:solidFill>
          </w14:textFill>
        </w:rPr>
        <w:t>通知书之日起</w:t>
      </w:r>
      <w:r>
        <w:rPr>
          <w:rFonts w:hint="eastAsia" w:ascii="黑体" w:hAnsi="黑体" w:eastAsia="黑体" w:cs="黑体"/>
          <w:color w:val="000000" w:themeColor="text1"/>
          <w:sz w:val="24"/>
          <w:szCs w:val="24"/>
          <w:lang w:val="en-US" w:eastAsia="zh-CN"/>
          <w14:textFill>
            <w14:solidFill>
              <w14:schemeClr w14:val="tx1"/>
            </w14:solidFill>
          </w14:textFill>
        </w:rPr>
        <w:t>1</w:t>
      </w:r>
      <w:r>
        <w:rPr>
          <w:rFonts w:hint="eastAsia" w:ascii="黑体" w:hAnsi="黑体" w:eastAsia="黑体" w:cs="黑体"/>
          <w:color w:val="000000" w:themeColor="text1"/>
          <w:sz w:val="24"/>
          <w:szCs w:val="24"/>
          <w14:textFill>
            <w14:solidFill>
              <w14:schemeClr w14:val="tx1"/>
            </w14:solidFill>
          </w14:textFill>
        </w:rPr>
        <w:t>个工作日内向托运人缴纳人民币20000.00元（大写：贰万元整）履约保证金并签订合同，否则将取消询比资格。运输</w:t>
      </w:r>
      <w:r>
        <w:rPr>
          <w:rFonts w:hint="eastAsia" w:ascii="黑体" w:hAnsi="黑体" w:eastAsia="黑体" w:cs="黑体"/>
          <w:color w:val="000000" w:themeColor="text1"/>
          <w:sz w:val="24"/>
          <w:szCs w:val="24"/>
          <w:lang w:val="en-US" w:eastAsia="zh-CN"/>
          <w14:textFill>
            <w14:solidFill>
              <w14:schemeClr w14:val="tx1"/>
            </w14:solidFill>
          </w14:textFill>
        </w:rPr>
        <w:t>单位的</w:t>
      </w:r>
      <w:r>
        <w:rPr>
          <w:rFonts w:hint="eastAsia" w:ascii="黑体" w:hAnsi="黑体" w:eastAsia="黑体" w:cs="黑体"/>
          <w:color w:val="000000" w:themeColor="text1"/>
          <w:sz w:val="24"/>
          <w:szCs w:val="24"/>
          <w14:textFill>
            <w14:solidFill>
              <w14:schemeClr w14:val="tx1"/>
            </w14:solidFill>
          </w14:textFill>
        </w:rPr>
        <w:t>履行完合同义务后，</w:t>
      </w:r>
      <w:r>
        <w:rPr>
          <w:rFonts w:hint="eastAsia" w:ascii="黑体" w:hAnsi="黑体" w:eastAsia="黑体" w:cs="黑体"/>
          <w:color w:val="000000" w:themeColor="text1"/>
          <w:sz w:val="24"/>
          <w:szCs w:val="24"/>
          <w:lang w:val="en-US" w:eastAsia="zh-CN"/>
          <w14:textFill>
            <w14:solidFill>
              <w14:schemeClr w14:val="tx1"/>
            </w14:solidFill>
          </w14:textFill>
        </w:rPr>
        <w:t>采购</w:t>
      </w:r>
      <w:r>
        <w:rPr>
          <w:rFonts w:hint="eastAsia" w:ascii="黑体" w:hAnsi="黑体" w:eastAsia="黑体" w:cs="黑体"/>
          <w:color w:val="000000" w:themeColor="text1"/>
          <w:sz w:val="24"/>
          <w:szCs w:val="24"/>
          <w14:textFill>
            <w14:solidFill>
              <w14:schemeClr w14:val="tx1"/>
            </w14:solidFill>
          </w14:textFill>
        </w:rPr>
        <w:t>人退还履约保证金。履约保证金不计息。履约保证金通过对公账户转账至以下账户：</w:t>
      </w:r>
    </w:p>
    <w:p w14:paraId="3608A325">
      <w:pPr>
        <w:pStyle w:val="8"/>
        <w:keepNext w:val="0"/>
        <w:keepLines w:val="0"/>
        <w:pageBreakBefore w:val="0"/>
        <w:kinsoku/>
        <w:wordWrap/>
        <w:overflowPunct/>
        <w:topLinePunct w:val="0"/>
        <w:autoSpaceDE/>
        <w:autoSpaceDN/>
        <w:bidi w:val="0"/>
        <w:adjustRightInd/>
        <w:spacing w:before="0" w:beforeAutospacing="0" w:after="0" w:afterAutospacing="0" w:line="500" w:lineRule="exact"/>
        <w:ind w:firstLine="480" w:firstLineChars="200"/>
        <w:textAlignment w:val="auto"/>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户  名：四川宏达股份有限公司</w:t>
      </w:r>
    </w:p>
    <w:p w14:paraId="6053D2C3">
      <w:pPr>
        <w:pStyle w:val="8"/>
        <w:keepNext w:val="0"/>
        <w:keepLines w:val="0"/>
        <w:pageBreakBefore w:val="0"/>
        <w:kinsoku/>
        <w:wordWrap/>
        <w:overflowPunct/>
        <w:topLinePunct w:val="0"/>
        <w:autoSpaceDE/>
        <w:autoSpaceDN/>
        <w:bidi w:val="0"/>
        <w:adjustRightInd/>
        <w:spacing w:before="0" w:beforeAutospacing="0" w:after="0" w:afterAutospacing="0" w:line="500" w:lineRule="exact"/>
        <w:ind w:firstLine="480" w:firstLineChars="200"/>
        <w:textAlignment w:val="auto"/>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开户行：中国银行什邡亭江西路支行</w:t>
      </w:r>
    </w:p>
    <w:p w14:paraId="2CA3B3ED">
      <w:pPr>
        <w:pStyle w:val="8"/>
        <w:keepNext w:val="0"/>
        <w:keepLines w:val="0"/>
        <w:pageBreakBefore w:val="0"/>
        <w:kinsoku/>
        <w:wordWrap/>
        <w:overflowPunct/>
        <w:topLinePunct w:val="0"/>
        <w:autoSpaceDE/>
        <w:autoSpaceDN/>
        <w:bidi w:val="0"/>
        <w:adjustRightInd/>
        <w:spacing w:before="0" w:beforeAutospacing="0" w:after="0" w:afterAutospacing="0" w:line="500" w:lineRule="exact"/>
        <w:ind w:firstLine="480" w:firstLineChars="200"/>
        <w:textAlignment w:val="auto"/>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账  号：1266 7841 0051</w:t>
      </w:r>
    </w:p>
    <w:p w14:paraId="5DC8197C">
      <w:pPr>
        <w:keepNext w:val="0"/>
        <w:keepLines w:val="0"/>
        <w:pageBreakBefore w:val="0"/>
        <w:kinsoku/>
        <w:wordWrap/>
        <w:overflowPunct/>
        <w:topLinePunct w:val="0"/>
        <w:autoSpaceDE/>
        <w:autoSpaceDN/>
        <w:bidi w:val="0"/>
        <w:adjustRightInd/>
        <w:spacing w:line="500" w:lineRule="exact"/>
        <w:ind w:firstLine="480" w:firstLineChars="200"/>
        <w:jc w:val="both"/>
        <w:textAlignment w:val="auto"/>
        <w:rPr>
          <w:rFonts w:hint="eastAsia" w:ascii="黑体" w:hAnsi="黑体" w:eastAsia="黑体" w:cs="黑体"/>
          <w:sz w:val="24"/>
          <w:szCs w:val="24"/>
          <w:lang w:eastAsia="zh-CN"/>
        </w:rPr>
      </w:pPr>
      <w:r>
        <w:rPr>
          <w:rFonts w:hint="eastAsia" w:ascii="黑体" w:hAnsi="黑体" w:eastAsia="黑体" w:cs="黑体"/>
          <w:kern w:val="2"/>
          <w:sz w:val="24"/>
          <w:szCs w:val="24"/>
          <w:lang w:val="en-US" w:eastAsia="zh-CN"/>
        </w:rPr>
        <w:t>10</w:t>
      </w:r>
      <w:r>
        <w:rPr>
          <w:rFonts w:hint="eastAsia" w:ascii="黑体" w:hAnsi="黑体" w:eastAsia="黑体" w:cs="黑体"/>
          <w:kern w:val="2"/>
          <w:sz w:val="24"/>
          <w:szCs w:val="24"/>
          <w:lang w:eastAsia="zh-CN"/>
        </w:rPr>
        <w:t>.</w:t>
      </w:r>
      <w:r>
        <w:rPr>
          <w:rFonts w:hint="eastAsia" w:ascii="黑体" w:hAnsi="黑体" w:eastAsia="黑体" w:cs="黑体"/>
          <w:kern w:val="2"/>
          <w:sz w:val="24"/>
          <w:szCs w:val="24"/>
          <w:lang w:val="en-US" w:eastAsia="zh-CN"/>
        </w:rPr>
        <w:t>询比</w:t>
      </w:r>
      <w:r>
        <w:rPr>
          <w:rFonts w:hint="eastAsia" w:ascii="黑体" w:hAnsi="黑体" w:eastAsia="黑体" w:cs="黑体"/>
          <w:kern w:val="2"/>
          <w:sz w:val="24"/>
          <w:szCs w:val="24"/>
          <w:lang w:eastAsia="zh-CN"/>
        </w:rPr>
        <w:t>文件的获取方式为：自2025年1</w:t>
      </w:r>
      <w:r>
        <w:rPr>
          <w:rFonts w:hint="eastAsia" w:ascii="黑体" w:hAnsi="黑体" w:eastAsia="黑体" w:cs="黑体"/>
          <w:kern w:val="2"/>
          <w:sz w:val="24"/>
          <w:szCs w:val="24"/>
          <w:lang w:val="en-US" w:eastAsia="zh-CN"/>
        </w:rPr>
        <w:t>2</w:t>
      </w:r>
      <w:r>
        <w:rPr>
          <w:rFonts w:hint="eastAsia" w:ascii="黑体" w:hAnsi="黑体" w:eastAsia="黑体" w:cs="黑体"/>
          <w:kern w:val="2"/>
          <w:sz w:val="24"/>
          <w:szCs w:val="24"/>
          <w:lang w:eastAsia="zh-CN"/>
        </w:rPr>
        <w:t>月2</w:t>
      </w:r>
      <w:r>
        <w:rPr>
          <w:rFonts w:hint="eastAsia" w:ascii="黑体" w:hAnsi="黑体" w:eastAsia="黑体" w:cs="黑体"/>
          <w:kern w:val="2"/>
          <w:sz w:val="24"/>
          <w:szCs w:val="24"/>
          <w:lang w:val="en-US" w:eastAsia="zh-CN"/>
        </w:rPr>
        <w:t>3</w:t>
      </w:r>
      <w:r>
        <w:rPr>
          <w:rFonts w:hint="eastAsia" w:ascii="黑体" w:hAnsi="黑体" w:eastAsia="黑体" w:cs="黑体"/>
          <w:kern w:val="2"/>
          <w:sz w:val="24"/>
          <w:szCs w:val="24"/>
          <w:lang w:eastAsia="zh-CN"/>
        </w:rPr>
        <w:t>日</w:t>
      </w:r>
      <w:r>
        <w:rPr>
          <w:rFonts w:hint="eastAsia" w:ascii="黑体" w:hAnsi="黑体" w:eastAsia="黑体" w:cs="黑体"/>
          <w:kern w:val="2"/>
          <w:sz w:val="24"/>
          <w:szCs w:val="24"/>
          <w:lang w:val="en-US" w:eastAsia="zh-CN"/>
        </w:rPr>
        <w:t>11</w:t>
      </w:r>
      <w:r>
        <w:rPr>
          <w:rFonts w:hint="eastAsia" w:ascii="黑体" w:hAnsi="黑体" w:eastAsia="黑体" w:cs="黑体"/>
          <w:kern w:val="2"/>
          <w:sz w:val="24"/>
          <w:szCs w:val="24"/>
          <w:lang w:eastAsia="zh-CN"/>
        </w:rPr>
        <w:t>时</w:t>
      </w:r>
      <w:r>
        <w:rPr>
          <w:rFonts w:hint="eastAsia" w:ascii="黑体" w:hAnsi="黑体" w:eastAsia="黑体" w:cs="黑体"/>
          <w:kern w:val="2"/>
          <w:sz w:val="24"/>
          <w:szCs w:val="24"/>
          <w:lang w:val="en-US" w:eastAsia="zh-CN"/>
        </w:rPr>
        <w:t>59</w:t>
      </w:r>
      <w:r>
        <w:rPr>
          <w:rFonts w:hint="eastAsia" w:ascii="黑体" w:hAnsi="黑体" w:eastAsia="黑体" w:cs="黑体"/>
          <w:kern w:val="2"/>
          <w:sz w:val="24"/>
          <w:szCs w:val="24"/>
          <w:lang w:eastAsia="zh-CN"/>
        </w:rPr>
        <w:t>分至2025年</w:t>
      </w:r>
      <w:r>
        <w:rPr>
          <w:rFonts w:hint="eastAsia" w:ascii="黑体" w:hAnsi="黑体" w:eastAsia="黑体" w:cs="黑体"/>
          <w:kern w:val="2"/>
          <w:sz w:val="24"/>
          <w:szCs w:val="24"/>
          <w:lang w:val="en-US" w:eastAsia="zh-CN"/>
        </w:rPr>
        <w:t>12</w:t>
      </w:r>
      <w:r>
        <w:rPr>
          <w:rFonts w:hint="eastAsia" w:ascii="黑体" w:hAnsi="黑体" w:eastAsia="黑体" w:cs="黑体"/>
          <w:kern w:val="2"/>
          <w:sz w:val="24"/>
          <w:szCs w:val="24"/>
          <w:lang w:eastAsia="zh-CN"/>
        </w:rPr>
        <w:t>月</w:t>
      </w:r>
      <w:r>
        <w:rPr>
          <w:rFonts w:hint="eastAsia" w:ascii="黑体" w:hAnsi="黑体" w:eastAsia="黑体" w:cs="黑体"/>
          <w:kern w:val="2"/>
          <w:sz w:val="24"/>
          <w:szCs w:val="24"/>
          <w:lang w:val="en-US" w:eastAsia="zh-CN"/>
        </w:rPr>
        <w:t>25</w:t>
      </w:r>
      <w:r>
        <w:rPr>
          <w:rFonts w:hint="eastAsia" w:ascii="黑体" w:hAnsi="黑体" w:eastAsia="黑体" w:cs="黑体"/>
          <w:kern w:val="2"/>
          <w:sz w:val="24"/>
          <w:szCs w:val="24"/>
          <w:lang w:eastAsia="zh-CN"/>
        </w:rPr>
        <w:t>日</w:t>
      </w:r>
      <w:r>
        <w:rPr>
          <w:rFonts w:hint="eastAsia" w:ascii="黑体" w:hAnsi="黑体" w:eastAsia="黑体" w:cs="黑体"/>
          <w:kern w:val="2"/>
          <w:sz w:val="24"/>
          <w:szCs w:val="24"/>
          <w:lang w:val="en-US" w:eastAsia="zh-CN"/>
        </w:rPr>
        <w:t>9</w:t>
      </w:r>
      <w:r>
        <w:rPr>
          <w:rFonts w:hint="eastAsia" w:ascii="黑体" w:hAnsi="黑体" w:eastAsia="黑体" w:cs="黑体"/>
          <w:kern w:val="2"/>
          <w:sz w:val="24"/>
          <w:szCs w:val="24"/>
          <w:lang w:eastAsia="zh-CN"/>
        </w:rPr>
        <w:t>时59分</w:t>
      </w:r>
      <w:r>
        <w:rPr>
          <w:rFonts w:hint="eastAsia" w:ascii="黑体" w:hAnsi="黑体" w:eastAsia="黑体" w:cs="黑体"/>
          <w:kern w:val="2"/>
          <w:sz w:val="24"/>
          <w:szCs w:val="24"/>
          <w:lang w:val="en-US" w:eastAsia="zh-CN"/>
        </w:rPr>
        <w:t>前</w:t>
      </w:r>
      <w:r>
        <w:rPr>
          <w:rFonts w:hint="eastAsia" w:ascii="黑体" w:hAnsi="黑体" w:eastAsia="黑体" w:cs="黑体"/>
          <w:kern w:val="2"/>
          <w:sz w:val="24"/>
          <w:szCs w:val="24"/>
          <w:lang w:eastAsia="zh-CN"/>
        </w:rPr>
        <w:t>通过四川宏达股份有限公司集采中心</w:t>
      </w:r>
      <w:r>
        <w:rPr>
          <w:rFonts w:hint="eastAsia" w:ascii="黑体" w:hAnsi="黑体" w:eastAsia="黑体" w:cs="黑体"/>
          <w:kern w:val="2"/>
          <w:sz w:val="24"/>
          <w:szCs w:val="24"/>
          <w:lang w:val="en-US" w:eastAsia="zh-CN"/>
        </w:rPr>
        <w:t>采购</w:t>
      </w:r>
      <w:r>
        <w:rPr>
          <w:rFonts w:hint="eastAsia" w:ascii="黑体" w:hAnsi="黑体" w:eastAsia="黑体" w:cs="黑体"/>
          <w:kern w:val="2"/>
          <w:sz w:val="24"/>
          <w:szCs w:val="24"/>
          <w:lang w:eastAsia="zh-CN"/>
        </w:rPr>
        <w:t>平台（http://jc.sichuanhongda.com/）进行注册并登录后参与</w:t>
      </w:r>
      <w:r>
        <w:rPr>
          <w:rFonts w:hint="eastAsia" w:ascii="黑体" w:hAnsi="黑体" w:eastAsia="黑体" w:cs="黑体"/>
          <w:kern w:val="2"/>
          <w:sz w:val="24"/>
          <w:szCs w:val="24"/>
          <w:lang w:val="en-US" w:eastAsia="zh-CN"/>
        </w:rPr>
        <w:t>报价</w:t>
      </w:r>
      <w:r>
        <w:rPr>
          <w:rFonts w:hint="eastAsia" w:ascii="黑体" w:hAnsi="黑体" w:eastAsia="黑体" w:cs="黑体"/>
          <w:kern w:val="2"/>
          <w:sz w:val="24"/>
          <w:szCs w:val="24"/>
          <w:lang w:eastAsia="zh-CN"/>
        </w:rPr>
        <w:t>并下载</w:t>
      </w:r>
      <w:r>
        <w:rPr>
          <w:rFonts w:hint="eastAsia" w:ascii="黑体" w:hAnsi="黑体" w:eastAsia="黑体" w:cs="黑体"/>
          <w:kern w:val="2"/>
          <w:sz w:val="24"/>
          <w:szCs w:val="24"/>
          <w:lang w:val="en-US" w:eastAsia="zh-CN"/>
        </w:rPr>
        <w:t>询</w:t>
      </w:r>
      <w:r>
        <w:rPr>
          <w:rFonts w:hint="eastAsia" w:ascii="黑体" w:hAnsi="黑体" w:eastAsia="黑体" w:cs="黑体"/>
          <w:kern w:val="2"/>
          <w:sz w:val="24"/>
          <w:szCs w:val="24"/>
          <w:lang w:eastAsia="zh-CN"/>
        </w:rPr>
        <w:t xml:space="preserve">比文件。 </w:t>
      </w:r>
    </w:p>
    <w:p w14:paraId="649C2EA9">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黑体" w:hAnsi="黑体" w:eastAsia="黑体" w:cs="黑体"/>
          <w:sz w:val="24"/>
          <w:szCs w:val="24"/>
          <w:lang w:eastAsia="zh-CN"/>
        </w:rPr>
      </w:pPr>
      <w:r>
        <w:rPr>
          <w:rFonts w:hint="eastAsia" w:ascii="黑体" w:hAnsi="黑体" w:eastAsia="黑体" w:cs="黑体"/>
          <w:sz w:val="24"/>
          <w:szCs w:val="24"/>
          <w:lang w:val="en-US" w:eastAsia="zh-CN"/>
        </w:rPr>
        <w:t>11</w:t>
      </w:r>
      <w:r>
        <w:rPr>
          <w:rFonts w:hint="eastAsia" w:ascii="黑体" w:hAnsi="黑体" w:eastAsia="黑体" w:cs="黑体"/>
          <w:kern w:val="2"/>
          <w:sz w:val="24"/>
          <w:szCs w:val="24"/>
          <w:lang w:eastAsia="zh-CN"/>
        </w:rPr>
        <w:t>.</w:t>
      </w:r>
      <w:r>
        <w:rPr>
          <w:rFonts w:hint="eastAsia" w:ascii="黑体" w:hAnsi="黑体" w:eastAsia="黑体" w:cs="黑体"/>
          <w:sz w:val="24"/>
          <w:szCs w:val="24"/>
          <w:lang w:eastAsia="zh-CN"/>
        </w:rPr>
        <w:t>响应性文件的递交：</w:t>
      </w:r>
    </w:p>
    <w:p w14:paraId="02CA996F">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①截止时间：2025年1</w:t>
      </w:r>
      <w:r>
        <w:rPr>
          <w:rFonts w:hint="eastAsia" w:ascii="黑体" w:hAnsi="黑体" w:eastAsia="黑体" w:cs="黑体"/>
          <w:sz w:val="24"/>
          <w:szCs w:val="24"/>
          <w:lang w:val="en-US" w:eastAsia="zh-CN"/>
        </w:rPr>
        <w:t>2</w:t>
      </w:r>
      <w:r>
        <w:rPr>
          <w:rFonts w:hint="eastAsia" w:ascii="黑体" w:hAnsi="黑体" w:eastAsia="黑体" w:cs="黑体"/>
          <w:sz w:val="24"/>
          <w:szCs w:val="24"/>
          <w:lang w:eastAsia="zh-CN"/>
        </w:rPr>
        <w:t>月2</w:t>
      </w:r>
      <w:r>
        <w:rPr>
          <w:rFonts w:hint="eastAsia" w:ascii="黑体" w:hAnsi="黑体" w:eastAsia="黑体" w:cs="黑体"/>
          <w:sz w:val="24"/>
          <w:szCs w:val="24"/>
          <w:lang w:val="en-US" w:eastAsia="zh-CN"/>
        </w:rPr>
        <w:t>5</w:t>
      </w:r>
      <w:r>
        <w:rPr>
          <w:rFonts w:hint="eastAsia" w:ascii="黑体" w:hAnsi="黑体" w:eastAsia="黑体" w:cs="黑体"/>
          <w:sz w:val="24"/>
          <w:szCs w:val="24"/>
          <w:lang w:eastAsia="zh-CN"/>
        </w:rPr>
        <w:t>日</w:t>
      </w:r>
      <w:r>
        <w:rPr>
          <w:rFonts w:hint="eastAsia" w:ascii="黑体" w:hAnsi="黑体" w:eastAsia="黑体" w:cs="黑体"/>
          <w:sz w:val="24"/>
          <w:szCs w:val="24"/>
          <w:lang w:val="en-US" w:eastAsia="zh-CN"/>
        </w:rPr>
        <w:t>9</w:t>
      </w:r>
      <w:r>
        <w:rPr>
          <w:rFonts w:hint="eastAsia" w:ascii="黑体" w:hAnsi="黑体" w:eastAsia="黑体" w:cs="黑体"/>
          <w:sz w:val="24"/>
          <w:szCs w:val="24"/>
          <w:lang w:eastAsia="zh-CN"/>
        </w:rPr>
        <w:t>时59分。比选申请人按本</w:t>
      </w:r>
      <w:r>
        <w:rPr>
          <w:rFonts w:hint="eastAsia" w:ascii="黑体" w:hAnsi="黑体" w:eastAsia="黑体" w:cs="黑体"/>
          <w:sz w:val="24"/>
          <w:szCs w:val="24"/>
          <w:lang w:val="en-US" w:eastAsia="zh-CN"/>
        </w:rPr>
        <w:t>询</w:t>
      </w:r>
      <w:r>
        <w:rPr>
          <w:rFonts w:hint="eastAsia" w:ascii="黑体" w:hAnsi="黑体" w:eastAsia="黑体" w:cs="黑体"/>
          <w:sz w:val="24"/>
          <w:szCs w:val="24"/>
          <w:lang w:eastAsia="zh-CN"/>
        </w:rPr>
        <w:t>比文件第三章响应性文件格式制作报价文件，</w:t>
      </w:r>
      <w:r>
        <w:rPr>
          <w:rFonts w:hint="eastAsia" w:ascii="黑体" w:hAnsi="黑体" w:eastAsia="黑体" w:cs="黑体"/>
          <w:sz w:val="24"/>
          <w:szCs w:val="24"/>
          <w:lang w:val="en-US" w:eastAsia="zh-CN"/>
        </w:rPr>
        <w:t>运输单位</w:t>
      </w:r>
      <w:r>
        <w:rPr>
          <w:rFonts w:hint="eastAsia" w:ascii="黑体" w:hAnsi="黑体" w:eastAsia="黑体" w:cs="黑体"/>
          <w:sz w:val="24"/>
          <w:szCs w:val="24"/>
          <w:lang w:eastAsia="zh-CN"/>
        </w:rPr>
        <w:t>需将响应性文件打印盖章后，以电子文件方式（PDF、扫描文件等）上传至</w:t>
      </w:r>
      <w:r>
        <w:rPr>
          <w:rFonts w:hint="eastAsia" w:ascii="黑体" w:hAnsi="黑体" w:eastAsia="黑体" w:cs="黑体"/>
          <w:kern w:val="2"/>
          <w:sz w:val="24"/>
          <w:szCs w:val="24"/>
          <w:lang w:eastAsia="zh-CN"/>
        </w:rPr>
        <w:t>宏达股份集采平台</w:t>
      </w:r>
      <w:r>
        <w:rPr>
          <w:rFonts w:hint="eastAsia" w:ascii="黑体" w:hAnsi="黑体" w:eastAsia="黑体" w:cs="黑体"/>
          <w:sz w:val="24"/>
          <w:szCs w:val="24"/>
          <w:lang w:eastAsia="zh-CN"/>
        </w:rPr>
        <w:t>。</w:t>
      </w:r>
    </w:p>
    <w:p w14:paraId="0176B3E2">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②响应性文件的要求</w:t>
      </w:r>
      <w:bookmarkStart w:id="0" w:name="OLE_LINK3"/>
      <w:bookmarkStart w:id="1" w:name="OLE_LINK4"/>
      <w:r>
        <w:rPr>
          <w:rFonts w:hint="eastAsia" w:ascii="黑体" w:hAnsi="黑体" w:eastAsia="黑体" w:cs="黑体"/>
          <w:sz w:val="24"/>
          <w:szCs w:val="24"/>
          <w:lang w:eastAsia="zh-CN"/>
        </w:rPr>
        <w:t>：营业执照（三证合一）</w:t>
      </w:r>
      <w:bookmarkEnd w:id="0"/>
      <w:bookmarkEnd w:id="1"/>
      <w:r>
        <w:rPr>
          <w:rFonts w:hint="eastAsia" w:ascii="黑体" w:hAnsi="黑体" w:eastAsia="黑体" w:cs="黑体"/>
          <w:sz w:val="24"/>
          <w:szCs w:val="24"/>
          <w:lang w:eastAsia="zh-CN"/>
        </w:rPr>
        <w:t>、</w:t>
      </w:r>
      <w:r>
        <w:rPr>
          <w:rFonts w:hint="eastAsia" w:ascii="黑体" w:hAnsi="黑体" w:eastAsia="黑体" w:cs="黑体"/>
          <w:sz w:val="24"/>
          <w:szCs w:val="24"/>
          <w:lang w:val="en-US" w:eastAsia="zh-CN"/>
        </w:rPr>
        <w:t>道路运输许可</w:t>
      </w:r>
      <w:r>
        <w:rPr>
          <w:rFonts w:hint="eastAsia" w:ascii="黑体" w:hAnsi="黑体" w:eastAsia="黑体" w:cs="黑体"/>
          <w:sz w:val="24"/>
          <w:szCs w:val="24"/>
          <w:lang w:eastAsia="zh-CN"/>
        </w:rPr>
        <w:t xml:space="preserve">等资质（加盖公章）。  </w:t>
      </w:r>
    </w:p>
    <w:p w14:paraId="534DD5BF">
      <w:pPr>
        <w:pStyle w:val="8"/>
        <w:keepNext w:val="0"/>
        <w:keepLines w:val="0"/>
        <w:pageBreakBefore w:val="0"/>
        <w:kinsoku/>
        <w:wordWrap/>
        <w:overflowPunct/>
        <w:topLinePunct w:val="0"/>
        <w:autoSpaceDE/>
        <w:autoSpaceDN/>
        <w:bidi w:val="0"/>
        <w:adjustRightInd/>
        <w:spacing w:before="0" w:beforeAutospacing="0" w:after="0" w:afterAutospacing="0" w:line="500" w:lineRule="exact"/>
        <w:ind w:firstLine="482" w:firstLineChars="200"/>
        <w:textAlignment w:val="auto"/>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b/>
          <w:bCs/>
          <w:color w:val="000000" w:themeColor="text1"/>
          <w:sz w:val="24"/>
          <w:szCs w:val="24"/>
          <w:lang w:val="en-US" w:eastAsia="zh-CN"/>
          <w14:textFill>
            <w14:solidFill>
              <w14:schemeClr w14:val="tx1"/>
            </w14:solidFill>
          </w14:textFill>
        </w:rPr>
        <w:t>12.</w:t>
      </w:r>
      <w:r>
        <w:rPr>
          <w:rFonts w:hint="eastAsia" w:ascii="黑体" w:hAnsi="黑体" w:eastAsia="黑体" w:cs="黑体"/>
          <w:color w:val="000000" w:themeColor="text1"/>
          <w:sz w:val="24"/>
          <w:szCs w:val="24"/>
          <w:lang w:val="en-US" w:eastAsia="zh-CN"/>
          <w14:textFill>
            <w14:solidFill>
              <w14:schemeClr w14:val="tx1"/>
            </w14:solidFill>
          </w14:textFill>
        </w:rPr>
        <w:t>报价</w:t>
      </w:r>
      <w:r>
        <w:rPr>
          <w:rFonts w:hint="eastAsia" w:ascii="黑体" w:hAnsi="黑体" w:eastAsia="黑体" w:cs="黑体"/>
          <w:color w:val="000000" w:themeColor="text1"/>
          <w:sz w:val="24"/>
          <w:szCs w:val="24"/>
          <w14:textFill>
            <w14:solidFill>
              <w14:schemeClr w14:val="tx1"/>
            </w14:solidFill>
          </w14:textFill>
        </w:rPr>
        <w:t>截止时间：2025年12月25日10时00分之前。</w:t>
      </w:r>
    </w:p>
    <w:p w14:paraId="134E6112">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黑体" w:hAnsi="黑体" w:eastAsia="黑体" w:cs="黑体"/>
          <w:sz w:val="24"/>
          <w:szCs w:val="24"/>
          <w:lang w:eastAsia="zh-CN"/>
        </w:rPr>
      </w:pPr>
      <w:r>
        <w:rPr>
          <w:rFonts w:hint="eastAsia" w:ascii="黑体" w:hAnsi="黑体" w:eastAsia="黑体" w:cs="黑体"/>
          <w:color w:val="000000" w:themeColor="text1"/>
          <w:sz w:val="24"/>
          <w:szCs w:val="24"/>
          <w:lang w:val="en-US" w:eastAsia="zh-CN"/>
          <w14:textFill>
            <w14:solidFill>
              <w14:schemeClr w14:val="tx1"/>
            </w14:solidFill>
          </w14:textFill>
        </w:rPr>
        <w:t>13.</w:t>
      </w:r>
      <w:r>
        <w:rPr>
          <w:rFonts w:hint="eastAsia" w:ascii="黑体" w:hAnsi="黑体" w:eastAsia="黑体" w:cs="黑体"/>
          <w:color w:val="000000" w:themeColor="text1"/>
          <w:sz w:val="24"/>
          <w:szCs w:val="24"/>
          <w14:textFill>
            <w14:solidFill>
              <w14:schemeClr w14:val="tx1"/>
            </w14:solidFill>
          </w14:textFill>
        </w:rPr>
        <w:t>开标时间为：2025年12月25日10时00分后</w:t>
      </w:r>
    </w:p>
    <w:p w14:paraId="06414234">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联系人：</w:t>
      </w:r>
      <w:r>
        <w:rPr>
          <w:rFonts w:hint="eastAsia" w:ascii="黑体" w:hAnsi="黑体" w:eastAsia="黑体" w:cs="黑体"/>
          <w:sz w:val="24"/>
          <w:szCs w:val="24"/>
          <w:lang w:val="en-US" w:eastAsia="zh-CN"/>
        </w:rPr>
        <w:t>李伟</w:t>
      </w:r>
      <w:r>
        <w:rPr>
          <w:rFonts w:hint="eastAsia" w:ascii="黑体" w:hAnsi="黑体" w:eastAsia="黑体" w:cs="黑体"/>
          <w:sz w:val="24"/>
          <w:szCs w:val="24"/>
          <w:lang w:eastAsia="zh-CN"/>
        </w:rPr>
        <w:t xml:space="preserve"> </w:t>
      </w:r>
      <w:r>
        <w:rPr>
          <w:rFonts w:hint="eastAsia" w:ascii="黑体" w:hAnsi="黑体" w:eastAsia="黑体" w:cs="黑体"/>
          <w:sz w:val="24"/>
          <w:szCs w:val="24"/>
          <w:lang w:val="en-US" w:eastAsia="zh-CN"/>
        </w:rPr>
        <w:t>13628075717</w:t>
      </w:r>
      <w:r>
        <w:rPr>
          <w:rFonts w:hint="eastAsia" w:ascii="黑体" w:hAnsi="黑体" w:eastAsia="黑体" w:cs="黑体"/>
          <w:sz w:val="24"/>
          <w:szCs w:val="24"/>
          <w:lang w:eastAsia="zh-CN"/>
        </w:rPr>
        <w:t xml:space="preserve">   </w:t>
      </w:r>
    </w:p>
    <w:p w14:paraId="2A0B68C0">
      <w:pPr>
        <w:pStyle w:val="3"/>
        <w:keepNext w:val="0"/>
        <w:keepLines w:val="0"/>
        <w:pageBreakBefore w:val="0"/>
        <w:kinsoku/>
        <w:wordWrap/>
        <w:overflowPunct/>
        <w:topLinePunct w:val="0"/>
        <w:autoSpaceDE/>
        <w:autoSpaceDN/>
        <w:bidi w:val="0"/>
        <w:adjustRightInd/>
        <w:spacing w:line="500" w:lineRule="exact"/>
        <w:textAlignment w:val="auto"/>
        <w:rPr>
          <w:rFonts w:hint="eastAsia" w:ascii="黑体" w:hAnsi="黑体" w:eastAsia="黑体" w:cs="黑体"/>
          <w:sz w:val="24"/>
          <w:szCs w:val="24"/>
          <w:lang w:eastAsia="zh-CN"/>
        </w:rPr>
      </w:pPr>
    </w:p>
    <w:p w14:paraId="68E38494">
      <w:pPr>
        <w:keepNext w:val="0"/>
        <w:keepLines w:val="0"/>
        <w:pageBreakBefore w:val="0"/>
        <w:kinsoku/>
        <w:wordWrap/>
        <w:overflowPunct/>
        <w:topLinePunct w:val="0"/>
        <w:autoSpaceDE/>
        <w:autoSpaceDN/>
        <w:bidi w:val="0"/>
        <w:adjustRightInd/>
        <w:spacing w:line="500" w:lineRule="exact"/>
        <w:ind w:firstLine="4080" w:firstLineChars="1700"/>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四川宏达股份有限公司</w:t>
      </w:r>
    </w:p>
    <w:p w14:paraId="580C100B">
      <w:pPr>
        <w:keepNext w:val="0"/>
        <w:keepLines w:val="0"/>
        <w:pageBreakBefore w:val="0"/>
        <w:kinsoku/>
        <w:wordWrap/>
        <w:overflowPunct/>
        <w:topLinePunct w:val="0"/>
        <w:autoSpaceDE/>
        <w:autoSpaceDN/>
        <w:bidi w:val="0"/>
        <w:adjustRightInd/>
        <w:spacing w:line="500" w:lineRule="exact"/>
        <w:ind w:firstLine="5040" w:firstLineChars="2100"/>
        <w:textAlignment w:val="auto"/>
        <w:rPr>
          <w:rFonts w:hint="eastAsia" w:ascii="黑体" w:hAnsi="黑体" w:eastAsia="黑体" w:cs="黑体"/>
          <w:sz w:val="24"/>
          <w:szCs w:val="24"/>
          <w:lang w:eastAsia="zh-CN"/>
        </w:rPr>
      </w:pPr>
    </w:p>
    <w:p w14:paraId="016C296D">
      <w:pPr>
        <w:keepNext w:val="0"/>
        <w:keepLines w:val="0"/>
        <w:pageBreakBefore w:val="0"/>
        <w:kinsoku/>
        <w:wordWrap/>
        <w:overflowPunct/>
        <w:topLinePunct w:val="0"/>
        <w:autoSpaceDE/>
        <w:autoSpaceDN/>
        <w:bidi w:val="0"/>
        <w:adjustRightInd/>
        <w:spacing w:line="500" w:lineRule="exact"/>
        <w:ind w:firstLine="4320" w:firstLineChars="1800"/>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2025年1</w:t>
      </w:r>
      <w:r>
        <w:rPr>
          <w:rFonts w:hint="eastAsia" w:ascii="黑体" w:hAnsi="黑体" w:eastAsia="黑体" w:cs="黑体"/>
          <w:sz w:val="24"/>
          <w:szCs w:val="24"/>
          <w:lang w:val="en-US" w:eastAsia="zh-CN"/>
        </w:rPr>
        <w:t>2</w:t>
      </w:r>
      <w:r>
        <w:rPr>
          <w:rFonts w:hint="eastAsia" w:ascii="黑体" w:hAnsi="黑体" w:eastAsia="黑体" w:cs="黑体"/>
          <w:sz w:val="24"/>
          <w:szCs w:val="24"/>
          <w:lang w:eastAsia="zh-CN"/>
        </w:rPr>
        <w:t>月2</w:t>
      </w:r>
      <w:r>
        <w:rPr>
          <w:rFonts w:hint="eastAsia" w:ascii="黑体" w:hAnsi="黑体" w:eastAsia="黑体" w:cs="黑体"/>
          <w:sz w:val="24"/>
          <w:szCs w:val="24"/>
          <w:lang w:val="en-US" w:eastAsia="zh-CN"/>
        </w:rPr>
        <w:t>3</w:t>
      </w:r>
      <w:r>
        <w:rPr>
          <w:rFonts w:hint="eastAsia" w:ascii="黑体" w:hAnsi="黑体" w:eastAsia="黑体" w:cs="黑体"/>
          <w:sz w:val="24"/>
          <w:szCs w:val="24"/>
          <w:lang w:eastAsia="zh-CN"/>
        </w:rPr>
        <w:t>日</w:t>
      </w:r>
    </w:p>
    <w:p w14:paraId="4D038E20">
      <w:pPr>
        <w:pStyle w:val="8"/>
        <w:keepNext w:val="0"/>
        <w:keepLines w:val="0"/>
        <w:pageBreakBefore w:val="0"/>
        <w:kinsoku/>
        <w:wordWrap/>
        <w:overflowPunct/>
        <w:topLinePunct w:val="0"/>
        <w:autoSpaceDE/>
        <w:autoSpaceDN/>
        <w:bidi w:val="0"/>
        <w:adjustRightInd/>
        <w:spacing w:before="0" w:beforeAutospacing="0" w:after="0" w:afterAutospacing="0" w:line="500" w:lineRule="exact"/>
        <w:ind w:firstLine="482" w:firstLineChars="200"/>
        <w:textAlignment w:val="auto"/>
        <w:rPr>
          <w:rFonts w:hint="eastAsia" w:ascii="黑体" w:hAnsi="黑体" w:eastAsia="黑体" w:cs="黑体"/>
          <w:b/>
          <w:bCs/>
          <w:color w:val="000000" w:themeColor="text1"/>
          <w:sz w:val="24"/>
          <w:szCs w:val="24"/>
          <w:lang w:val="en-US" w:eastAsia="zh-CN"/>
          <w14:textFill>
            <w14:solidFill>
              <w14:schemeClr w14:val="tx1"/>
            </w14:solidFill>
          </w14:textFill>
        </w:rPr>
      </w:pPr>
    </w:p>
    <w:p w14:paraId="036072A9">
      <w:pPr>
        <w:pStyle w:val="17"/>
        <w:spacing w:before="120" w:line="500" w:lineRule="exact"/>
        <w:ind w:left="3535" w:leftChars="1597" w:hanging="181" w:hangingChars="50"/>
        <w:jc w:val="both"/>
        <w:rPr>
          <w:rFonts w:hint="eastAsia" w:ascii="黑体" w:hAnsi="黑体" w:eastAsia="黑体" w:cs="黑体"/>
          <w:b/>
          <w:bCs/>
          <w:color w:val="000000" w:themeColor="text1"/>
          <w:sz w:val="36"/>
          <w:szCs w:val="36"/>
          <w14:textFill>
            <w14:solidFill>
              <w14:schemeClr w14:val="tx1"/>
            </w14:solidFill>
          </w14:textFill>
        </w:rPr>
      </w:pPr>
    </w:p>
    <w:p w14:paraId="1C279900">
      <w:pPr>
        <w:pStyle w:val="17"/>
        <w:spacing w:before="120" w:line="500" w:lineRule="exact"/>
        <w:ind w:left="3535" w:leftChars="1597" w:hanging="181" w:hangingChars="50"/>
        <w:jc w:val="both"/>
        <w:rPr>
          <w:rFonts w:hint="eastAsia" w:ascii="黑体" w:hAnsi="黑体" w:eastAsia="黑体" w:cs="黑体"/>
          <w:b/>
          <w:bCs/>
          <w:color w:val="000000" w:themeColor="text1"/>
          <w:sz w:val="36"/>
          <w:szCs w:val="36"/>
          <w14:textFill>
            <w14:solidFill>
              <w14:schemeClr w14:val="tx1"/>
            </w14:solidFill>
          </w14:textFill>
        </w:rPr>
      </w:pPr>
    </w:p>
    <w:p w14:paraId="79DC4F0F">
      <w:pPr>
        <w:pStyle w:val="17"/>
        <w:spacing w:before="120" w:line="500" w:lineRule="exact"/>
        <w:ind w:left="3535" w:leftChars="1597" w:hanging="181" w:hangingChars="50"/>
        <w:jc w:val="both"/>
        <w:rPr>
          <w:rFonts w:hint="eastAsia" w:ascii="黑体" w:hAnsi="黑体" w:eastAsia="黑体" w:cs="黑体"/>
          <w:b/>
          <w:bCs/>
          <w:color w:val="000000" w:themeColor="text1"/>
          <w:sz w:val="36"/>
          <w:szCs w:val="36"/>
          <w14:textFill>
            <w14:solidFill>
              <w14:schemeClr w14:val="tx1"/>
            </w14:solidFill>
          </w14:textFill>
        </w:rPr>
      </w:pPr>
    </w:p>
    <w:p w14:paraId="10A7E4DE">
      <w:pPr>
        <w:pStyle w:val="17"/>
        <w:spacing w:before="120" w:line="500" w:lineRule="exact"/>
        <w:ind w:left="3535" w:leftChars="1597" w:hanging="181" w:hangingChars="50"/>
        <w:jc w:val="both"/>
        <w:rPr>
          <w:rFonts w:hint="eastAsia" w:ascii="黑体" w:hAnsi="黑体" w:eastAsia="黑体" w:cs="黑体"/>
          <w:b/>
          <w:bCs/>
          <w:color w:val="000000" w:themeColor="text1"/>
          <w:sz w:val="36"/>
          <w:szCs w:val="36"/>
          <w14:textFill>
            <w14:solidFill>
              <w14:schemeClr w14:val="tx1"/>
            </w14:solidFill>
          </w14:textFill>
        </w:rPr>
      </w:pPr>
    </w:p>
    <w:p w14:paraId="67BAB842">
      <w:pPr>
        <w:pStyle w:val="17"/>
        <w:spacing w:before="120" w:line="500" w:lineRule="exact"/>
        <w:ind w:left="3535" w:leftChars="1597" w:hanging="181" w:hangingChars="50"/>
        <w:jc w:val="both"/>
        <w:rPr>
          <w:rFonts w:hint="eastAsia" w:ascii="黑体" w:hAnsi="黑体" w:eastAsia="黑体" w:cs="黑体"/>
          <w:b/>
          <w:bCs/>
          <w:color w:val="000000" w:themeColor="text1"/>
          <w:sz w:val="36"/>
          <w:szCs w:val="36"/>
          <w14:textFill>
            <w14:solidFill>
              <w14:schemeClr w14:val="tx1"/>
            </w14:solidFill>
          </w14:textFill>
        </w:rPr>
      </w:pPr>
    </w:p>
    <w:p w14:paraId="1EE1BB01">
      <w:pPr>
        <w:pStyle w:val="17"/>
        <w:spacing w:before="120" w:line="500" w:lineRule="exact"/>
        <w:ind w:left="3535" w:leftChars="1597" w:hanging="181" w:hangingChars="50"/>
        <w:jc w:val="both"/>
        <w:rPr>
          <w:rFonts w:hint="eastAsia" w:ascii="黑体" w:hAnsi="黑体" w:eastAsia="黑体" w:cs="黑体"/>
          <w:b/>
          <w:bCs/>
          <w:color w:val="000000" w:themeColor="text1"/>
          <w:sz w:val="36"/>
          <w:szCs w:val="36"/>
          <w14:textFill>
            <w14:solidFill>
              <w14:schemeClr w14:val="tx1"/>
            </w14:solidFill>
          </w14:textFill>
        </w:rPr>
      </w:pPr>
    </w:p>
    <w:p w14:paraId="5274545E">
      <w:pPr>
        <w:pStyle w:val="17"/>
        <w:spacing w:before="120" w:line="500" w:lineRule="exact"/>
        <w:ind w:left="3535" w:leftChars="1597" w:hanging="181" w:hangingChars="50"/>
        <w:jc w:val="both"/>
        <w:rPr>
          <w:rFonts w:hint="eastAsia" w:ascii="黑体" w:hAnsi="黑体" w:eastAsia="黑体" w:cs="黑体"/>
          <w:b/>
          <w:bCs/>
          <w:color w:val="000000" w:themeColor="text1"/>
          <w:sz w:val="36"/>
          <w:szCs w:val="36"/>
          <w14:textFill>
            <w14:solidFill>
              <w14:schemeClr w14:val="tx1"/>
            </w14:solidFill>
          </w14:textFill>
        </w:rPr>
      </w:pPr>
    </w:p>
    <w:p w14:paraId="248D709A">
      <w:pPr>
        <w:pStyle w:val="17"/>
        <w:spacing w:before="120" w:line="500" w:lineRule="exact"/>
        <w:ind w:left="3535" w:leftChars="1597" w:hanging="181" w:hangingChars="50"/>
        <w:jc w:val="both"/>
        <w:rPr>
          <w:rFonts w:hint="eastAsia" w:ascii="黑体" w:hAnsi="黑体" w:eastAsia="黑体" w:cs="黑体"/>
          <w:b/>
          <w:bCs/>
          <w:color w:val="000000" w:themeColor="text1"/>
          <w:sz w:val="36"/>
          <w:szCs w:val="36"/>
          <w14:textFill>
            <w14:solidFill>
              <w14:schemeClr w14:val="tx1"/>
            </w14:solidFill>
          </w14:textFill>
        </w:rPr>
      </w:pPr>
    </w:p>
    <w:p w14:paraId="7CD33350">
      <w:pPr>
        <w:pStyle w:val="17"/>
        <w:spacing w:before="120" w:line="500" w:lineRule="exact"/>
        <w:ind w:left="3535" w:leftChars="1597" w:hanging="181" w:hangingChars="50"/>
        <w:jc w:val="both"/>
        <w:rPr>
          <w:rFonts w:hint="eastAsia" w:ascii="黑体" w:hAnsi="黑体" w:eastAsia="黑体" w:cs="黑体"/>
          <w:b/>
          <w:bCs/>
          <w:color w:val="000000" w:themeColor="text1"/>
          <w:sz w:val="36"/>
          <w:szCs w:val="36"/>
          <w14:textFill>
            <w14:solidFill>
              <w14:schemeClr w14:val="tx1"/>
            </w14:solidFill>
          </w14:textFill>
        </w:rPr>
      </w:pPr>
    </w:p>
    <w:p w14:paraId="3F9770E9">
      <w:pPr>
        <w:pStyle w:val="17"/>
        <w:spacing w:before="120" w:line="500" w:lineRule="exact"/>
        <w:ind w:left="3535" w:leftChars="1597" w:hanging="181" w:hangingChars="50"/>
        <w:jc w:val="both"/>
        <w:rPr>
          <w:rFonts w:hint="eastAsia" w:ascii="黑体" w:hAnsi="黑体" w:eastAsia="黑体" w:cs="黑体"/>
          <w:b/>
          <w:bCs/>
          <w:color w:val="000000" w:themeColor="text1"/>
          <w:sz w:val="36"/>
          <w:szCs w:val="36"/>
          <w14:textFill>
            <w14:solidFill>
              <w14:schemeClr w14:val="tx1"/>
            </w14:solidFill>
          </w14:textFill>
        </w:rPr>
      </w:pPr>
    </w:p>
    <w:p w14:paraId="7120E4AA">
      <w:pPr>
        <w:pStyle w:val="3"/>
        <w:spacing w:before="1" w:line="480" w:lineRule="exact"/>
        <w:jc w:val="center"/>
        <w:rPr>
          <w:rFonts w:hint="eastAsia" w:ascii="黑体" w:hAnsi="黑体" w:eastAsia="黑体" w:cs="黑体"/>
          <w:position w:val="-1"/>
          <w:sz w:val="44"/>
          <w:szCs w:val="44"/>
          <w:lang w:eastAsia="zh-CN"/>
        </w:rPr>
      </w:pPr>
      <w:r>
        <w:rPr>
          <w:rFonts w:hint="eastAsia" w:ascii="黑体" w:hAnsi="黑体" w:eastAsia="黑体" w:cs="黑体"/>
          <w:position w:val="-1"/>
          <w:sz w:val="44"/>
          <w:szCs w:val="44"/>
          <w:lang w:eastAsia="zh-CN"/>
        </w:rPr>
        <w:t>第二章</w:t>
      </w:r>
    </w:p>
    <w:p w14:paraId="383CA98E">
      <w:pPr>
        <w:pStyle w:val="3"/>
        <w:spacing w:before="1" w:line="480" w:lineRule="exact"/>
        <w:rPr>
          <w:rFonts w:hint="eastAsia" w:ascii="黑体" w:hAnsi="黑体" w:eastAsia="黑体" w:cs="黑体"/>
          <w:position w:val="-1"/>
          <w:sz w:val="16"/>
          <w:szCs w:val="16"/>
          <w:lang w:eastAsia="zh-CN"/>
        </w:rPr>
      </w:pPr>
    </w:p>
    <w:p w14:paraId="6A51C7AA">
      <w:pPr>
        <w:spacing w:line="480" w:lineRule="exact"/>
        <w:jc w:val="center"/>
        <w:rPr>
          <w:rFonts w:hint="eastAsia" w:ascii="黑体" w:hAnsi="黑体" w:eastAsia="黑体" w:cs="黑体"/>
          <w:b/>
          <w:sz w:val="36"/>
          <w:szCs w:val="36"/>
          <w:lang w:eastAsia="zh-CN"/>
        </w:rPr>
      </w:pPr>
      <w:r>
        <w:rPr>
          <w:rFonts w:hint="eastAsia" w:ascii="黑体" w:hAnsi="黑体" w:eastAsia="黑体" w:cs="黑体"/>
          <w:b/>
          <w:color w:val="000000"/>
          <w:sz w:val="36"/>
          <w:szCs w:val="36"/>
        </w:rPr>
        <w:t>工业硫酸</w:t>
      </w:r>
      <w:r>
        <w:rPr>
          <w:rFonts w:hint="eastAsia" w:ascii="黑体" w:hAnsi="黑体" w:eastAsia="黑体" w:cs="黑体"/>
          <w:b/>
          <w:sz w:val="36"/>
          <w:szCs w:val="36"/>
        </w:rPr>
        <w:t>运输合同</w:t>
      </w:r>
    </w:p>
    <w:p w14:paraId="1E8AD17E">
      <w:pPr>
        <w:pStyle w:val="17"/>
        <w:spacing w:before="120" w:line="500" w:lineRule="exact"/>
        <w:ind w:left="3535" w:leftChars="1597" w:hanging="181" w:hangingChars="50"/>
        <w:jc w:val="both"/>
        <w:rPr>
          <w:rFonts w:hint="eastAsia" w:ascii="黑体" w:hAnsi="黑体" w:eastAsia="黑体" w:cs="黑体"/>
          <w:b/>
          <w:bCs/>
          <w:color w:val="000000" w:themeColor="text1"/>
          <w:sz w:val="36"/>
          <w:szCs w:val="36"/>
          <w14:textFill>
            <w14:solidFill>
              <w14:schemeClr w14:val="tx1"/>
            </w14:solidFill>
          </w14:textFill>
        </w:rPr>
      </w:pPr>
    </w:p>
    <w:p w14:paraId="706D1FEF">
      <w:pPr>
        <w:spacing w:line="440" w:lineRule="exact"/>
        <w:ind w:firstLine="2530" w:firstLineChars="700"/>
        <w:rPr>
          <w:rFonts w:hint="eastAsia" w:ascii="黑体" w:hAnsi="黑体" w:eastAsia="黑体" w:cs="黑体"/>
          <w:b/>
          <w:sz w:val="36"/>
          <w:szCs w:val="36"/>
        </w:rPr>
      </w:pPr>
    </w:p>
    <w:p w14:paraId="4856CDB8">
      <w:pPr>
        <w:keepNext w:val="0"/>
        <w:keepLines w:val="0"/>
        <w:pageBreakBefore w:val="0"/>
        <w:kinsoku/>
        <w:wordWrap/>
        <w:overflowPunct/>
        <w:topLinePunct w:val="0"/>
        <w:autoSpaceDE/>
        <w:autoSpaceDN/>
        <w:bidi w:val="0"/>
        <w:adjustRightInd/>
        <w:snapToGrid/>
        <w:spacing w:line="500" w:lineRule="exact"/>
        <w:ind w:right="-58"/>
        <w:textAlignment w:val="auto"/>
        <w:rPr>
          <w:rFonts w:hint="eastAsia" w:ascii="黑体" w:hAnsi="黑体" w:eastAsia="黑体" w:cs="黑体"/>
          <w:sz w:val="24"/>
          <w:szCs w:val="24"/>
        </w:rPr>
      </w:pPr>
      <w:r>
        <w:rPr>
          <w:rFonts w:hint="eastAsia" w:ascii="黑体" w:hAnsi="黑体" w:eastAsia="黑体" w:cs="黑体"/>
          <w:sz w:val="24"/>
          <w:szCs w:val="24"/>
        </w:rPr>
        <w:t>托运人（甲方）：                             合同编号：YL-2025-</w:t>
      </w:r>
    </w:p>
    <w:p w14:paraId="640EB3EE">
      <w:pPr>
        <w:keepNext w:val="0"/>
        <w:keepLines w:val="0"/>
        <w:pageBreakBefore w:val="0"/>
        <w:kinsoku/>
        <w:wordWrap/>
        <w:overflowPunct/>
        <w:topLinePunct w:val="0"/>
        <w:autoSpaceDE/>
        <w:autoSpaceDN/>
        <w:bidi w:val="0"/>
        <w:adjustRightInd/>
        <w:snapToGrid/>
        <w:spacing w:line="500" w:lineRule="exact"/>
        <w:textAlignment w:val="auto"/>
        <w:rPr>
          <w:rFonts w:hint="eastAsia" w:ascii="黑体" w:hAnsi="黑体" w:eastAsia="黑体" w:cs="黑体"/>
          <w:sz w:val="24"/>
          <w:szCs w:val="24"/>
        </w:rPr>
      </w:pPr>
      <w:r>
        <w:rPr>
          <w:rFonts w:hint="eastAsia" w:ascii="黑体" w:hAnsi="黑体" w:eastAsia="黑体" w:cs="黑体"/>
          <w:sz w:val="24"/>
          <w:szCs w:val="24"/>
        </w:rPr>
        <w:t>承运人（乙方）：                             签订日期：</w:t>
      </w:r>
    </w:p>
    <w:p w14:paraId="6E118D50">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根据《中华人民共和国民法典》及有关法律法规的规定，本着平等互利、诚实守信的原则，经甲乙双方协商一致，就乙方承运甲方工业</w:t>
      </w:r>
      <w:r>
        <w:rPr>
          <w:rFonts w:hint="eastAsia" w:ascii="黑体" w:hAnsi="黑体" w:eastAsia="黑体" w:cs="黑体"/>
          <w:color w:val="000000"/>
          <w:sz w:val="24"/>
          <w:szCs w:val="24"/>
        </w:rPr>
        <w:t>硫酸</w:t>
      </w:r>
      <w:r>
        <w:rPr>
          <w:rFonts w:hint="eastAsia" w:ascii="黑体" w:hAnsi="黑体" w:eastAsia="黑体" w:cs="黑体"/>
          <w:sz w:val="24"/>
          <w:szCs w:val="24"/>
        </w:rPr>
        <w:t xml:space="preserve">事宜达成本合同，具体内容如下： </w:t>
      </w:r>
    </w:p>
    <w:p w14:paraId="733B0F90">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第一条  标的物基本信息</w:t>
      </w:r>
    </w:p>
    <w:tbl>
      <w:tblPr>
        <w:tblStyle w:val="1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96"/>
        <w:gridCol w:w="2173"/>
        <w:gridCol w:w="2408"/>
        <w:gridCol w:w="994"/>
        <w:gridCol w:w="1751"/>
      </w:tblGrid>
      <w:tr w14:paraId="0C4FB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trPr>
        <w:tc>
          <w:tcPr>
            <w:tcW w:w="702" w:type="pct"/>
            <w:tcBorders>
              <w:left w:val="single" w:color="auto" w:sz="4" w:space="0"/>
            </w:tcBorders>
            <w:vAlign w:val="center"/>
          </w:tcPr>
          <w:p w14:paraId="03007D0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名称</w:t>
            </w:r>
          </w:p>
        </w:tc>
        <w:tc>
          <w:tcPr>
            <w:tcW w:w="1275" w:type="pct"/>
            <w:tcBorders>
              <w:right w:val="single" w:color="auto" w:sz="4" w:space="0"/>
            </w:tcBorders>
            <w:vAlign w:val="center"/>
          </w:tcPr>
          <w:p w14:paraId="58417BB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起运地</w:t>
            </w:r>
          </w:p>
        </w:tc>
        <w:tc>
          <w:tcPr>
            <w:tcW w:w="1413" w:type="pct"/>
            <w:tcBorders>
              <w:left w:val="single" w:color="auto" w:sz="4" w:space="0"/>
            </w:tcBorders>
            <w:vAlign w:val="center"/>
          </w:tcPr>
          <w:p w14:paraId="0CBF12D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到达地</w:t>
            </w:r>
          </w:p>
        </w:tc>
        <w:tc>
          <w:tcPr>
            <w:tcW w:w="583" w:type="pct"/>
            <w:tcBorders>
              <w:bottom w:val="single" w:color="auto" w:sz="4" w:space="0"/>
            </w:tcBorders>
            <w:vAlign w:val="center"/>
          </w:tcPr>
          <w:p w14:paraId="5C0C8B9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暂定数量（吨）</w:t>
            </w:r>
          </w:p>
        </w:tc>
        <w:tc>
          <w:tcPr>
            <w:tcW w:w="1027" w:type="pct"/>
            <w:vAlign w:val="center"/>
          </w:tcPr>
          <w:p w14:paraId="6736A46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运输含税单价</w:t>
            </w:r>
          </w:p>
          <w:p w14:paraId="41A41EE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（元/吨）</w:t>
            </w:r>
          </w:p>
        </w:tc>
      </w:tr>
      <w:tr w14:paraId="19BD4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trPr>
        <w:tc>
          <w:tcPr>
            <w:tcW w:w="702" w:type="pct"/>
            <w:tcBorders>
              <w:left w:val="single" w:color="auto" w:sz="4" w:space="0"/>
            </w:tcBorders>
            <w:vAlign w:val="center"/>
          </w:tcPr>
          <w:p w14:paraId="6A73CC3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工业硫酸</w:t>
            </w:r>
          </w:p>
        </w:tc>
        <w:tc>
          <w:tcPr>
            <w:tcW w:w="1275" w:type="pct"/>
            <w:tcBorders>
              <w:right w:val="single" w:color="auto" w:sz="4" w:space="0"/>
            </w:tcBorders>
            <w:vAlign w:val="center"/>
          </w:tcPr>
          <w:p w14:paraId="6EB66689">
            <w:pPr>
              <w:keepNext w:val="0"/>
              <w:keepLines w:val="0"/>
              <w:pageBreakBefore w:val="0"/>
              <w:kinsoku/>
              <w:wordWrap/>
              <w:overflowPunct/>
              <w:topLinePunct w:val="0"/>
              <w:autoSpaceDE/>
              <w:autoSpaceDN/>
              <w:bidi w:val="0"/>
              <w:adjustRightInd/>
              <w:snapToGrid/>
              <w:spacing w:line="500" w:lineRule="exact"/>
              <w:textAlignment w:val="auto"/>
              <w:rPr>
                <w:rFonts w:hint="eastAsia" w:ascii="黑体" w:hAnsi="黑体" w:eastAsia="黑体" w:cs="黑体"/>
                <w:color w:val="000000"/>
                <w:sz w:val="24"/>
                <w:szCs w:val="24"/>
              </w:rPr>
            </w:pPr>
            <w:r>
              <w:rPr>
                <w:rFonts w:hint="eastAsia" w:ascii="黑体" w:hAnsi="黑体" w:eastAsia="黑体" w:cs="黑体"/>
                <w:sz w:val="24"/>
                <w:szCs w:val="24"/>
              </w:rPr>
              <w:t>有色分公司硫酸厂</w:t>
            </w:r>
          </w:p>
        </w:tc>
        <w:tc>
          <w:tcPr>
            <w:tcW w:w="1413" w:type="pct"/>
            <w:tcBorders>
              <w:left w:val="single" w:color="auto" w:sz="4" w:space="0"/>
            </w:tcBorders>
            <w:vAlign w:val="center"/>
          </w:tcPr>
          <w:p w14:paraId="7718B09D">
            <w:pPr>
              <w:keepNext w:val="0"/>
              <w:keepLines w:val="0"/>
              <w:pageBreakBefore w:val="0"/>
              <w:kinsoku/>
              <w:wordWrap/>
              <w:overflowPunct/>
              <w:topLinePunct w:val="0"/>
              <w:autoSpaceDE/>
              <w:autoSpaceDN/>
              <w:bidi w:val="0"/>
              <w:adjustRightInd/>
              <w:snapToGrid/>
              <w:spacing w:line="500" w:lineRule="exact"/>
              <w:textAlignment w:val="auto"/>
              <w:rPr>
                <w:rFonts w:hint="eastAsia" w:ascii="黑体" w:hAnsi="黑体" w:eastAsia="黑体" w:cs="黑体"/>
                <w:color w:val="000000"/>
                <w:sz w:val="24"/>
                <w:szCs w:val="24"/>
              </w:rPr>
            </w:pPr>
            <w:r>
              <w:rPr>
                <w:rFonts w:hint="eastAsia" w:ascii="黑体" w:hAnsi="黑体" w:eastAsia="黑体" w:cs="黑体"/>
                <w:sz w:val="24"/>
                <w:szCs w:val="24"/>
              </w:rPr>
              <w:t>昊华清平磷矿磷铵厂</w:t>
            </w:r>
          </w:p>
        </w:tc>
        <w:tc>
          <w:tcPr>
            <w:tcW w:w="583" w:type="pct"/>
            <w:tcBorders>
              <w:top w:val="single" w:color="auto" w:sz="4" w:space="0"/>
            </w:tcBorders>
            <w:vAlign w:val="center"/>
          </w:tcPr>
          <w:p w14:paraId="24B6A31A">
            <w:pPr>
              <w:keepNext w:val="0"/>
              <w:keepLines w:val="0"/>
              <w:pageBreakBefore w:val="0"/>
              <w:kinsoku/>
              <w:wordWrap/>
              <w:overflowPunct/>
              <w:topLinePunct w:val="0"/>
              <w:autoSpaceDE/>
              <w:autoSpaceDN/>
              <w:bidi w:val="0"/>
              <w:adjustRightInd/>
              <w:snapToGrid/>
              <w:spacing w:line="500" w:lineRule="exact"/>
              <w:textAlignment w:val="auto"/>
              <w:rPr>
                <w:rFonts w:hint="eastAsia" w:ascii="黑体" w:hAnsi="黑体" w:eastAsia="黑体" w:cs="黑体"/>
                <w:sz w:val="24"/>
                <w:szCs w:val="24"/>
              </w:rPr>
            </w:pPr>
            <w:r>
              <w:rPr>
                <w:rFonts w:hint="eastAsia" w:ascii="黑体" w:hAnsi="黑体" w:eastAsia="黑体" w:cs="黑体"/>
                <w:sz w:val="24"/>
                <w:szCs w:val="24"/>
              </w:rPr>
              <w:t>约3000</w:t>
            </w:r>
          </w:p>
        </w:tc>
        <w:tc>
          <w:tcPr>
            <w:tcW w:w="1027" w:type="pct"/>
            <w:vAlign w:val="center"/>
          </w:tcPr>
          <w:p w14:paraId="52F69161">
            <w:pPr>
              <w:keepNext w:val="0"/>
              <w:keepLines w:val="0"/>
              <w:pageBreakBefore w:val="0"/>
              <w:kinsoku/>
              <w:wordWrap/>
              <w:overflowPunct/>
              <w:topLinePunct w:val="0"/>
              <w:autoSpaceDE/>
              <w:autoSpaceDN/>
              <w:bidi w:val="0"/>
              <w:adjustRightInd/>
              <w:snapToGrid/>
              <w:spacing w:line="500" w:lineRule="exact"/>
              <w:textAlignment w:val="auto"/>
              <w:rPr>
                <w:rFonts w:hint="eastAsia" w:ascii="黑体" w:hAnsi="黑体" w:eastAsia="黑体" w:cs="黑体"/>
                <w:color w:val="000000"/>
                <w:sz w:val="24"/>
                <w:szCs w:val="24"/>
              </w:rPr>
            </w:pPr>
          </w:p>
        </w:tc>
      </w:tr>
      <w:tr w14:paraId="30163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3" w:hRule="atLeast"/>
        </w:trPr>
        <w:tc>
          <w:tcPr>
            <w:tcW w:w="5000" w:type="pct"/>
            <w:gridSpan w:val="5"/>
            <w:tcBorders>
              <w:left w:val="single" w:color="auto" w:sz="4" w:space="0"/>
            </w:tcBorders>
            <w:vAlign w:val="center"/>
          </w:tcPr>
          <w:p w14:paraId="436E595B">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备注：本合同约定的运输含税单价包括但不限于运费、过路（桥）费、税费、装卸费、货物保险费用、乙方运营费等乙方完成本合同约定所有内容而能获得的一切费用。</w:t>
            </w:r>
          </w:p>
        </w:tc>
      </w:tr>
    </w:tbl>
    <w:p w14:paraId="408C9DCC">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第二条  交货地点及方式</w:t>
      </w:r>
    </w:p>
    <w:p w14:paraId="74C54D03">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1</w:t>
      </w:r>
      <w:r>
        <w:rPr>
          <w:rFonts w:hint="eastAsia" w:ascii="黑体" w:hAnsi="黑体" w:eastAsia="黑体" w:cs="黑体"/>
          <w:sz w:val="24"/>
          <w:szCs w:val="24"/>
          <w:lang w:eastAsia="zh-CN"/>
        </w:rPr>
        <w:t>.</w:t>
      </w:r>
      <w:r>
        <w:rPr>
          <w:rFonts w:hint="eastAsia" w:ascii="黑体" w:hAnsi="黑体" w:eastAsia="黑体" w:cs="黑体"/>
          <w:sz w:val="24"/>
          <w:szCs w:val="24"/>
        </w:rPr>
        <w:t xml:space="preserve">交货地点：德阳昊华清平磷矿有限公司磷铵厂（绵竹市拱星镇） </w:t>
      </w:r>
    </w:p>
    <w:p w14:paraId="343F28B7">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sz w:val="24"/>
          <w:szCs w:val="24"/>
        </w:rPr>
        <w:t>2</w:t>
      </w:r>
      <w:r>
        <w:rPr>
          <w:rFonts w:hint="eastAsia" w:ascii="黑体" w:hAnsi="黑体" w:eastAsia="黑体" w:cs="黑体"/>
          <w:sz w:val="24"/>
          <w:szCs w:val="24"/>
          <w:lang w:eastAsia="zh-CN"/>
        </w:rPr>
        <w:t>.</w:t>
      </w:r>
      <w:r>
        <w:rPr>
          <w:rFonts w:hint="eastAsia" w:ascii="黑体" w:hAnsi="黑体" w:eastAsia="黑体" w:cs="黑体"/>
          <w:sz w:val="24"/>
          <w:szCs w:val="24"/>
        </w:rPr>
        <w:t>交货方式：乙方送货到甲方指定地点，并根据甲方安排的承运数量，组织运输。</w:t>
      </w:r>
    </w:p>
    <w:p w14:paraId="34BEBA17">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第三条  运输方式与风险承担</w:t>
      </w:r>
    </w:p>
    <w:p w14:paraId="35B48AC3">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1</w:t>
      </w:r>
      <w:r>
        <w:rPr>
          <w:rFonts w:hint="eastAsia" w:ascii="黑体" w:hAnsi="黑体" w:eastAsia="黑体" w:cs="黑体"/>
          <w:sz w:val="24"/>
          <w:szCs w:val="24"/>
          <w:lang w:eastAsia="zh-CN"/>
        </w:rPr>
        <w:t>.</w:t>
      </w:r>
      <w:r>
        <w:rPr>
          <w:rFonts w:hint="eastAsia" w:ascii="黑体" w:hAnsi="黑体" w:eastAsia="黑体" w:cs="黑体"/>
          <w:sz w:val="24"/>
          <w:szCs w:val="24"/>
        </w:rPr>
        <w:t>运输方式：以符合交通部规定的特种全封闭危险品罐装汽车进行运输，乙方应保证运输方式符合国家有关运输危险货物规定的要求，若违规应承担因此产生的全部损失和责任。</w:t>
      </w:r>
    </w:p>
    <w:p w14:paraId="47DC266C">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bCs/>
          <w:sz w:val="24"/>
          <w:szCs w:val="24"/>
        </w:rPr>
      </w:pPr>
      <w:r>
        <w:rPr>
          <w:rFonts w:hint="eastAsia" w:ascii="黑体" w:hAnsi="黑体" w:eastAsia="黑体" w:cs="黑体"/>
          <w:bCs/>
          <w:sz w:val="24"/>
          <w:szCs w:val="24"/>
        </w:rPr>
        <w:t>2</w:t>
      </w:r>
      <w:r>
        <w:rPr>
          <w:rFonts w:hint="eastAsia" w:ascii="黑体" w:hAnsi="黑体" w:eastAsia="黑体" w:cs="黑体"/>
          <w:bCs/>
          <w:sz w:val="24"/>
          <w:szCs w:val="24"/>
          <w:lang w:eastAsia="zh-CN"/>
        </w:rPr>
        <w:t>.</w:t>
      </w:r>
      <w:r>
        <w:rPr>
          <w:rFonts w:hint="eastAsia" w:ascii="黑体" w:hAnsi="黑体" w:eastAsia="黑体" w:cs="黑体"/>
          <w:bCs/>
          <w:sz w:val="24"/>
          <w:szCs w:val="24"/>
        </w:rPr>
        <w:t>风险承担：货物装卸由乙方负责，乙方自行承担货物装卸和运输过程中的安全环保责任以及货损风险。</w:t>
      </w:r>
    </w:p>
    <w:p w14:paraId="73698578">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bCs/>
          <w:sz w:val="24"/>
          <w:szCs w:val="24"/>
        </w:rPr>
      </w:pPr>
      <w:r>
        <w:rPr>
          <w:rFonts w:hint="eastAsia" w:ascii="黑体" w:hAnsi="黑体" w:eastAsia="黑体" w:cs="黑体"/>
          <w:bCs/>
          <w:sz w:val="24"/>
          <w:szCs w:val="24"/>
        </w:rPr>
        <w:t>3</w:t>
      </w:r>
      <w:r>
        <w:rPr>
          <w:rFonts w:hint="eastAsia" w:ascii="黑体" w:hAnsi="黑体" w:eastAsia="黑体" w:cs="黑体"/>
          <w:bCs/>
          <w:sz w:val="24"/>
          <w:szCs w:val="24"/>
          <w:lang w:eastAsia="zh-CN"/>
        </w:rPr>
        <w:t>.</w:t>
      </w:r>
      <w:r>
        <w:rPr>
          <w:rFonts w:hint="eastAsia" w:ascii="黑体" w:hAnsi="黑体" w:eastAsia="黑体" w:cs="黑体"/>
          <w:bCs/>
          <w:sz w:val="24"/>
          <w:szCs w:val="24"/>
        </w:rPr>
        <w:t>乙方应保证运输方式必须符合国家有关运输危险货物规定的要求，并承担因此产生的全部责任。乙方安排的车辆与人员必须证照齐全且有效，包括：</w:t>
      </w:r>
    </w:p>
    <w:p w14:paraId="7F9B8E2B">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bCs/>
          <w:sz w:val="24"/>
          <w:szCs w:val="24"/>
        </w:rPr>
      </w:pPr>
      <w:r>
        <w:rPr>
          <w:rFonts w:hint="eastAsia" w:ascii="黑体" w:hAnsi="黑体" w:eastAsia="黑体" w:cs="黑体"/>
          <w:bCs/>
          <w:sz w:val="24"/>
          <w:szCs w:val="24"/>
        </w:rPr>
        <w:t>（1）车辆需持有标注危险货物运输范围的《道路运输证》及有效行驶证；</w:t>
      </w:r>
    </w:p>
    <w:p w14:paraId="37EF4ED0">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bCs/>
          <w:sz w:val="24"/>
          <w:szCs w:val="24"/>
        </w:rPr>
      </w:pPr>
      <w:r>
        <w:rPr>
          <w:rFonts w:hint="eastAsia" w:ascii="黑体" w:hAnsi="黑体" w:eastAsia="黑体" w:cs="黑体"/>
          <w:bCs/>
          <w:sz w:val="24"/>
          <w:szCs w:val="24"/>
        </w:rPr>
        <w:t>（2）车辆需具备质量技术监督部门核发的有效槽罐质量检测合格证；</w:t>
      </w:r>
    </w:p>
    <w:p w14:paraId="4DB5641D">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bCs/>
          <w:sz w:val="24"/>
          <w:szCs w:val="24"/>
        </w:rPr>
      </w:pPr>
      <w:r>
        <w:rPr>
          <w:rFonts w:hint="eastAsia" w:ascii="黑体" w:hAnsi="黑体" w:eastAsia="黑体" w:cs="黑体"/>
          <w:bCs/>
          <w:sz w:val="24"/>
          <w:szCs w:val="24"/>
        </w:rPr>
        <w:t>（3）车辆需配备有效的卫星定位装置（GPS）并按要求悬挂交通部门核发的危运标志灯、牌；</w:t>
      </w:r>
    </w:p>
    <w:p w14:paraId="1EEB3F0A">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bCs/>
          <w:sz w:val="24"/>
          <w:szCs w:val="24"/>
        </w:rPr>
      </w:pPr>
      <w:r>
        <w:rPr>
          <w:rFonts w:hint="eastAsia" w:ascii="黑体" w:hAnsi="黑体" w:eastAsia="黑体" w:cs="黑体"/>
          <w:bCs/>
          <w:sz w:val="24"/>
          <w:szCs w:val="24"/>
        </w:rPr>
        <w:t>（4）驾驶员需持有公安部门核发的有效驾驶证及交通主管部门核发的营业性道路运输驾驶员危险货物运输从业资格证；</w:t>
      </w:r>
    </w:p>
    <w:p w14:paraId="43CAA7B8">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bCs/>
          <w:sz w:val="24"/>
          <w:szCs w:val="24"/>
        </w:rPr>
      </w:pPr>
      <w:r>
        <w:rPr>
          <w:rFonts w:hint="eastAsia" w:ascii="黑体" w:hAnsi="黑体" w:eastAsia="黑体" w:cs="黑体"/>
          <w:bCs/>
          <w:sz w:val="24"/>
          <w:szCs w:val="24"/>
        </w:rPr>
        <w:t>（5）押运人员需持有交通主管部门核发的道路危险货物操作证（押运员证）。</w:t>
      </w:r>
    </w:p>
    <w:p w14:paraId="606E375C">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第四条  标的物验收</w:t>
      </w:r>
    </w:p>
    <w:p w14:paraId="26136B10">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1</w:t>
      </w:r>
      <w:r>
        <w:rPr>
          <w:rFonts w:hint="eastAsia" w:ascii="黑体" w:hAnsi="黑体" w:eastAsia="黑体" w:cs="黑体"/>
          <w:sz w:val="24"/>
          <w:szCs w:val="24"/>
          <w:lang w:eastAsia="zh-CN"/>
        </w:rPr>
        <w:t>.</w:t>
      </w:r>
      <w:r>
        <w:rPr>
          <w:rFonts w:hint="eastAsia" w:ascii="黑体" w:hAnsi="黑体" w:eastAsia="黑体" w:cs="黑体"/>
          <w:sz w:val="24"/>
          <w:szCs w:val="24"/>
        </w:rPr>
        <w:t>标的物数量验收以甲方地磅计量数据为准。无论任何原因乙方不得留置甲方货物及单证，如因乙方留置甲方货物或单证而对甲方造成损失的，由乙方承担赔偿责任。</w:t>
      </w:r>
    </w:p>
    <w:p w14:paraId="682A2F5B">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2</w:t>
      </w:r>
      <w:r>
        <w:rPr>
          <w:rFonts w:hint="eastAsia" w:ascii="黑体" w:hAnsi="黑体" w:eastAsia="黑体" w:cs="黑体"/>
          <w:sz w:val="24"/>
          <w:szCs w:val="24"/>
          <w:lang w:eastAsia="zh-CN"/>
        </w:rPr>
        <w:t>.</w:t>
      </w:r>
      <w:r>
        <w:rPr>
          <w:rFonts w:hint="eastAsia" w:ascii="黑体" w:hAnsi="黑体" w:eastAsia="黑体" w:cs="黑体"/>
          <w:sz w:val="24"/>
          <w:szCs w:val="24"/>
        </w:rPr>
        <w:t>在</w:t>
      </w:r>
      <w:r>
        <w:rPr>
          <w:rFonts w:hint="eastAsia" w:ascii="黑体" w:hAnsi="黑体" w:eastAsia="黑体" w:cs="黑体"/>
          <w:sz w:val="24"/>
          <w:szCs w:val="24"/>
          <w:lang w:val="en-US" w:eastAsia="zh-CN"/>
        </w:rPr>
        <w:t>合同期</w:t>
      </w:r>
      <w:r>
        <w:rPr>
          <w:rFonts w:hint="eastAsia" w:ascii="黑体" w:hAnsi="黑体" w:eastAsia="黑体" w:cs="黑体"/>
          <w:sz w:val="24"/>
          <w:szCs w:val="24"/>
        </w:rPr>
        <w:t>内，乙方承运的硫酸在起运地过磅数量与</w:t>
      </w:r>
      <w:r>
        <w:rPr>
          <w:rFonts w:hint="eastAsia" w:ascii="黑体" w:hAnsi="黑体" w:eastAsia="黑体" w:cs="黑体"/>
          <w:sz w:val="24"/>
          <w:szCs w:val="24"/>
          <w:lang w:val="en-US" w:eastAsia="zh-CN"/>
        </w:rPr>
        <w:t>交货地单位的</w:t>
      </w:r>
      <w:r>
        <w:rPr>
          <w:rFonts w:hint="eastAsia" w:ascii="黑体" w:hAnsi="黑体" w:eastAsia="黑体" w:cs="黑体"/>
          <w:sz w:val="24"/>
          <w:szCs w:val="24"/>
        </w:rPr>
        <w:t>过磅数量之差不超过实际承运总量的2.0‰，超过2.0‰的部分，由乙方按甲方当月所</w:t>
      </w:r>
      <w:r>
        <w:rPr>
          <w:rFonts w:hint="eastAsia" w:ascii="黑体" w:hAnsi="黑体" w:eastAsia="黑体" w:cs="黑体"/>
          <w:sz w:val="24"/>
          <w:szCs w:val="24"/>
          <w:lang w:val="en-US" w:eastAsia="zh-CN"/>
        </w:rPr>
        <w:t>销售</w:t>
      </w:r>
      <w:r>
        <w:rPr>
          <w:rFonts w:hint="eastAsia" w:ascii="黑体" w:hAnsi="黑体" w:eastAsia="黑体" w:cs="黑体"/>
          <w:sz w:val="24"/>
          <w:szCs w:val="24"/>
        </w:rPr>
        <w:t>的硫酸价格全额赔偿。</w:t>
      </w:r>
    </w:p>
    <w:p w14:paraId="3AC53BA2">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第五条  结算依据</w:t>
      </w:r>
    </w:p>
    <w:p w14:paraId="36CAA9A0">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以甲方地磅过磅数量为结算依据。</w:t>
      </w:r>
    </w:p>
    <w:p w14:paraId="1BEA95B1">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第六条  付款方式及发票</w:t>
      </w:r>
    </w:p>
    <w:p w14:paraId="32043285">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1</w:t>
      </w:r>
      <w:r>
        <w:rPr>
          <w:rFonts w:hint="eastAsia" w:ascii="黑体" w:hAnsi="黑体" w:eastAsia="黑体" w:cs="黑体"/>
          <w:sz w:val="24"/>
          <w:szCs w:val="24"/>
          <w:lang w:eastAsia="zh-CN"/>
        </w:rPr>
        <w:t>.</w:t>
      </w:r>
      <w:r>
        <w:rPr>
          <w:rFonts w:hint="eastAsia" w:ascii="黑体" w:hAnsi="黑体" w:eastAsia="黑体" w:cs="黑体"/>
          <w:sz w:val="24"/>
          <w:szCs w:val="24"/>
        </w:rPr>
        <w:t>付款方式：先运货后支付运输款，乙方将货物运输到甲方指定地点并经验收后，甲方向乙方支付运输服务费用。运输费用每月结算一次，乙方需在次月5日前将上月的月结对账单以书面形式提交甲方，经甲方确认无误且收到乙方出具的符合甲方要求的合法等额增值税专用发票后，在次月十五日前将费用支付给乙方。</w:t>
      </w:r>
    </w:p>
    <w:p w14:paraId="6A71BDE5">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2</w:t>
      </w:r>
      <w:r>
        <w:rPr>
          <w:rFonts w:hint="eastAsia" w:ascii="黑体" w:hAnsi="黑体" w:eastAsia="黑体" w:cs="黑体"/>
          <w:sz w:val="24"/>
          <w:szCs w:val="24"/>
          <w:lang w:eastAsia="zh-CN"/>
        </w:rPr>
        <w:t>.</w:t>
      </w:r>
      <w:r>
        <w:rPr>
          <w:rFonts w:hint="eastAsia" w:ascii="黑体" w:hAnsi="黑体" w:eastAsia="黑体" w:cs="黑体"/>
          <w:sz w:val="24"/>
          <w:szCs w:val="24"/>
        </w:rPr>
        <w:t>发票：甲方付款前，乙方应向甲方出具合法等额的运输行业增值税专用发票（税率为9%，如遇国家调整税率则按国家标准执行），若乙方未按要求出具发票的，甲方有权拒绝付款并不承担任何违约责任</w:t>
      </w:r>
      <w:r>
        <w:rPr>
          <w:rFonts w:hint="eastAsia" w:ascii="黑体" w:hAnsi="黑体" w:eastAsia="黑体" w:cs="黑体"/>
          <w:bCs/>
          <w:sz w:val="24"/>
          <w:szCs w:val="24"/>
        </w:rPr>
        <w:t>，但乙方不得因此拒绝履行有关合同义务</w:t>
      </w:r>
      <w:r>
        <w:rPr>
          <w:rFonts w:hint="eastAsia" w:ascii="黑体" w:hAnsi="黑体" w:eastAsia="黑体" w:cs="黑体"/>
          <w:sz w:val="24"/>
          <w:szCs w:val="24"/>
        </w:rPr>
        <w:t>。</w:t>
      </w:r>
    </w:p>
    <w:p w14:paraId="53173267">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第七条  违约责任</w:t>
      </w:r>
    </w:p>
    <w:p w14:paraId="2713D711">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1</w:t>
      </w:r>
      <w:r>
        <w:rPr>
          <w:rFonts w:hint="eastAsia" w:ascii="黑体" w:hAnsi="黑体" w:eastAsia="黑体" w:cs="黑体"/>
          <w:sz w:val="24"/>
          <w:szCs w:val="24"/>
          <w:lang w:eastAsia="zh-CN"/>
        </w:rPr>
        <w:t>.</w:t>
      </w:r>
      <w:r>
        <w:rPr>
          <w:rFonts w:hint="eastAsia" w:ascii="黑体" w:hAnsi="黑体" w:eastAsia="黑体" w:cs="黑体"/>
          <w:sz w:val="24"/>
          <w:szCs w:val="24"/>
        </w:rPr>
        <w:t>乙方应具备合法的硫酸运输资质，保证所有运输车辆证照齐全，技术性能良好，保证驾驶员、押运员应具备相应资质，并保证承运货物的安全。乙方应购买货物保险、承运人责任险、交强险、商业险、物流责任险等，以降低货物承运过程中的风险。货物启运前，乙方须向甲方主动提供承运车辆及驾驶员的基本资料复印件/扫描件（包括但不限于行驶证、营运证、保险卡、驾驶证、身份证等）。如因弄虚作假造成的一切法律责任和经济纠纷由乙方承担，给甲方及客户造成损失（包括但不限于甲方由此支出的违约金、赔偿金、律师费等维权费用）的，还应赔偿。</w:t>
      </w:r>
    </w:p>
    <w:p w14:paraId="25CDB63C">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2</w:t>
      </w:r>
      <w:r>
        <w:rPr>
          <w:rFonts w:hint="eastAsia" w:ascii="黑体" w:hAnsi="黑体" w:eastAsia="黑体" w:cs="黑体"/>
          <w:sz w:val="24"/>
          <w:szCs w:val="24"/>
          <w:lang w:eastAsia="zh-CN"/>
        </w:rPr>
        <w:t>.</w:t>
      </w:r>
      <w:r>
        <w:rPr>
          <w:rFonts w:hint="eastAsia" w:ascii="黑体" w:hAnsi="黑体" w:eastAsia="黑体" w:cs="黑体"/>
          <w:sz w:val="24"/>
          <w:szCs w:val="24"/>
        </w:rPr>
        <w:t>乙方应遵守甲方交通安全管理、内部环境和职业健康等现行有效的相关规定，并接受甲方厂区管理人员指挥，乙方确认在签署本合同前已知晓其全部内容。若因乙方原因所造成的商务纠纷、经济损失与法律责任全部由乙方承担。若因此给甲方及客户造成损失（包括但不限于由此支出的违约金、赔偿金、律师费等维权费用）的，由乙方全额赔偿。</w:t>
      </w:r>
    </w:p>
    <w:p w14:paraId="4CE3504D">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3</w:t>
      </w:r>
      <w:r>
        <w:rPr>
          <w:rFonts w:hint="eastAsia" w:ascii="黑体" w:hAnsi="黑体" w:eastAsia="黑体" w:cs="黑体"/>
          <w:sz w:val="24"/>
          <w:szCs w:val="24"/>
          <w:lang w:eastAsia="zh-CN"/>
        </w:rPr>
        <w:t>.</w:t>
      </w:r>
      <w:r>
        <w:rPr>
          <w:rFonts w:hint="eastAsia" w:ascii="黑体" w:hAnsi="黑体" w:eastAsia="黑体" w:cs="黑体"/>
          <w:sz w:val="24"/>
          <w:szCs w:val="24"/>
        </w:rPr>
        <w:t>乙方应严格遵守国家《危险货物道路运输安全管理办法》等适用的法律法规。</w:t>
      </w:r>
    </w:p>
    <w:p w14:paraId="56844727">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4</w:t>
      </w:r>
      <w:r>
        <w:rPr>
          <w:rFonts w:hint="eastAsia" w:ascii="黑体" w:hAnsi="黑体" w:eastAsia="黑体" w:cs="黑体"/>
          <w:sz w:val="24"/>
          <w:szCs w:val="24"/>
          <w:lang w:eastAsia="zh-CN"/>
        </w:rPr>
        <w:t>.</w:t>
      </w:r>
      <w:r>
        <w:rPr>
          <w:rFonts w:hint="eastAsia" w:ascii="黑体" w:hAnsi="黑体" w:eastAsia="黑体" w:cs="黑体"/>
          <w:sz w:val="24"/>
          <w:szCs w:val="24"/>
        </w:rPr>
        <w:t>乙方应严格遵守甲方《四川宏达股份有限公司</w:t>
      </w:r>
      <w:r>
        <w:rPr>
          <w:rFonts w:hint="eastAsia" w:ascii="黑体" w:hAnsi="黑体" w:eastAsia="黑体" w:cs="黑体"/>
          <w:sz w:val="24"/>
          <w:szCs w:val="24"/>
          <w:lang w:val="en-US" w:eastAsia="zh-CN"/>
        </w:rPr>
        <w:t>有色</w:t>
      </w:r>
      <w:r>
        <w:rPr>
          <w:rFonts w:hint="eastAsia" w:ascii="黑体" w:hAnsi="黑体" w:eastAsia="黑体" w:cs="黑体"/>
          <w:sz w:val="24"/>
          <w:szCs w:val="24"/>
        </w:rPr>
        <w:t>分公司硫酸罐区安全管理制度》，在签署本合同前甲方已将该制度告知乙方，乙方已知晓并承诺遵守其全部内容（见附件），否则将取消乙方相关驾押人员承运资格，若造成事故的则由乙方承担全部责任和损失，若因此给甲方及客户造成损失（包括但不限于由此支出的违约金、赔偿金、律师费等维权费用）的，由乙方全额赔偿。</w:t>
      </w:r>
    </w:p>
    <w:p w14:paraId="3DED4253">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5</w:t>
      </w:r>
      <w:r>
        <w:rPr>
          <w:rFonts w:hint="eastAsia" w:ascii="黑体" w:hAnsi="黑体" w:eastAsia="黑体" w:cs="黑体"/>
          <w:sz w:val="24"/>
          <w:szCs w:val="24"/>
          <w:lang w:eastAsia="zh-CN"/>
        </w:rPr>
        <w:t>.</w:t>
      </w:r>
      <w:r>
        <w:rPr>
          <w:rFonts w:hint="eastAsia" w:ascii="黑体" w:hAnsi="黑体" w:eastAsia="黑体" w:cs="黑体"/>
          <w:sz w:val="24"/>
          <w:szCs w:val="24"/>
        </w:rPr>
        <w:t>乙方在硫酸运输及装、卸过程中，所发生的安全、环保事故（包括但不限于人身伤害、财产损失和环保污染事故等），由乙方承担全部责任及损失。若因此给甲方或第三方造成经济损失，由乙方全额赔偿。</w:t>
      </w:r>
    </w:p>
    <w:p w14:paraId="747299C3">
      <w:pPr>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黑体" w:hAnsi="黑体" w:eastAsia="黑体" w:cs="黑体"/>
          <w:sz w:val="24"/>
          <w:szCs w:val="24"/>
        </w:rPr>
      </w:pPr>
      <w:r>
        <w:rPr>
          <w:rFonts w:hint="eastAsia" w:ascii="黑体" w:hAnsi="黑体" w:eastAsia="黑体" w:cs="黑体"/>
          <w:sz w:val="24"/>
          <w:szCs w:val="24"/>
        </w:rPr>
        <w:t>6</w:t>
      </w:r>
      <w:r>
        <w:rPr>
          <w:rFonts w:hint="eastAsia" w:ascii="黑体" w:hAnsi="黑体" w:eastAsia="黑体" w:cs="黑体"/>
          <w:sz w:val="24"/>
          <w:szCs w:val="24"/>
          <w:lang w:eastAsia="zh-CN"/>
        </w:rPr>
        <w:t>.</w:t>
      </w:r>
      <w:r>
        <w:rPr>
          <w:rFonts w:hint="eastAsia" w:ascii="黑体" w:hAnsi="黑体" w:eastAsia="黑体" w:cs="黑体"/>
          <w:sz w:val="24"/>
          <w:szCs w:val="24"/>
        </w:rPr>
        <w:t>运输过程中运输车辆及人员的安全由乙方负责，如发生人身伤亡或财产损失等事故，均由乙方自行承担，与甲方无关。</w:t>
      </w:r>
    </w:p>
    <w:p w14:paraId="0383122C">
      <w:pPr>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黑体" w:hAnsi="黑体" w:eastAsia="黑体" w:cs="黑体"/>
          <w:sz w:val="24"/>
          <w:szCs w:val="24"/>
        </w:rPr>
      </w:pPr>
      <w:r>
        <w:rPr>
          <w:rFonts w:hint="eastAsia" w:ascii="黑体" w:hAnsi="黑体" w:eastAsia="黑体" w:cs="黑体"/>
          <w:sz w:val="24"/>
          <w:szCs w:val="24"/>
        </w:rPr>
        <w:t>7</w:t>
      </w:r>
      <w:r>
        <w:rPr>
          <w:rFonts w:hint="eastAsia" w:ascii="黑体" w:hAnsi="黑体" w:eastAsia="黑体" w:cs="黑体"/>
          <w:sz w:val="24"/>
          <w:szCs w:val="24"/>
          <w:lang w:eastAsia="zh-CN"/>
        </w:rPr>
        <w:t>.</w:t>
      </w:r>
      <w:r>
        <w:rPr>
          <w:rFonts w:hint="eastAsia" w:ascii="黑体" w:hAnsi="黑体" w:eastAsia="黑体" w:cs="黑体"/>
          <w:sz w:val="24"/>
          <w:szCs w:val="24"/>
        </w:rPr>
        <w:t>乙方应遵守甲方起运地和目的地的各项管理制度与规定，若因乙方原因所造成的商务纠纷、经济损失与法律责任全部由乙方承担，若因此给甲方造成损失的，还应赔偿。</w:t>
      </w:r>
    </w:p>
    <w:p w14:paraId="70C0FE36">
      <w:pPr>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黑体" w:hAnsi="黑体" w:eastAsia="黑体" w:cs="黑体"/>
          <w:sz w:val="24"/>
          <w:szCs w:val="24"/>
        </w:rPr>
      </w:pPr>
      <w:r>
        <w:rPr>
          <w:rFonts w:hint="eastAsia" w:ascii="黑体" w:hAnsi="黑体" w:eastAsia="黑体" w:cs="黑体"/>
          <w:sz w:val="24"/>
          <w:szCs w:val="24"/>
        </w:rPr>
        <w:t>8</w:t>
      </w:r>
      <w:r>
        <w:rPr>
          <w:rFonts w:hint="eastAsia" w:ascii="黑体" w:hAnsi="黑体" w:eastAsia="黑体" w:cs="黑体"/>
          <w:sz w:val="24"/>
          <w:szCs w:val="24"/>
          <w:lang w:eastAsia="zh-CN"/>
        </w:rPr>
        <w:t>.</w:t>
      </w:r>
      <w:r>
        <w:rPr>
          <w:rFonts w:hint="eastAsia" w:ascii="黑体" w:hAnsi="黑体" w:eastAsia="黑体" w:cs="黑体"/>
          <w:sz w:val="24"/>
          <w:szCs w:val="24"/>
        </w:rPr>
        <w:t>甲方逾期付款的，乙方自愿给与甲方一定的宽限期。宽限期经过甲方仍未付款的，则以逾期未付金额为基础按发生时中国人民银行授权全国银行间同业拆借中心公布的一年期贷款市场报价利率（LPR）为标准，向乙方支付违约金（含资金占用利息），最高不超过逾期未付金额的10%。</w:t>
      </w:r>
    </w:p>
    <w:p w14:paraId="5EB69AA5">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第八条  争议解决方式</w:t>
      </w:r>
    </w:p>
    <w:p w14:paraId="4E251B6A">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因履行本合同而产生争议或纠纷，甲乙双方应尽量协商解决，协商不成的，应向甲方住所地有管辖权的人民法院提起诉讼。</w:t>
      </w:r>
    </w:p>
    <w:p w14:paraId="797BCC57">
      <w:pPr>
        <w:keepNext w:val="0"/>
        <w:keepLines w:val="0"/>
        <w:pageBreakBefore w:val="0"/>
        <w:numPr>
          <w:ilvl w:val="0"/>
          <w:numId w:val="1"/>
        </w:numPr>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bCs/>
          <w:sz w:val="24"/>
          <w:szCs w:val="24"/>
        </w:rPr>
      </w:pPr>
      <w:r>
        <w:rPr>
          <w:rFonts w:hint="eastAsia" w:ascii="黑体" w:hAnsi="黑体" w:eastAsia="黑体" w:cs="黑体"/>
          <w:bCs/>
          <w:sz w:val="24"/>
          <w:szCs w:val="24"/>
        </w:rPr>
        <w:t>通知与送达</w:t>
      </w:r>
    </w:p>
    <w:p w14:paraId="5F5B7545">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sz w:val="24"/>
          <w:szCs w:val="24"/>
        </w:rPr>
      </w:pPr>
      <w:r>
        <w:rPr>
          <w:rFonts w:hint="eastAsia" w:ascii="黑体" w:hAnsi="黑体" w:eastAsia="黑体" w:cs="黑体"/>
          <w:bCs/>
          <w:sz w:val="24"/>
          <w:szCs w:val="24"/>
        </w:rPr>
        <w:t>双方以本合同载明的通讯联络方式作为通知的依据，双方员工通过未载明的联系方式发送通知的，应出具证明劳动关系的相应材料。双方通讯方式变更的，应提前三天书面通知对方，否则按原通讯方式送达仍视为有效送达。</w:t>
      </w:r>
    </w:p>
    <w:p w14:paraId="112C73E0">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第十条  合同有效期限</w:t>
      </w:r>
    </w:p>
    <w:p w14:paraId="02D1ADED">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本合同有效期限自x年x月x日起至 x年x月x日止，合同有效期限届满本合同自动终止。</w:t>
      </w:r>
    </w:p>
    <w:p w14:paraId="23E1256A">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第十一条  其它约定事项</w:t>
      </w:r>
    </w:p>
    <w:p w14:paraId="3FAAB8D8">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甲方收取乙方履约保证金：</w:t>
      </w:r>
    </w:p>
    <w:p w14:paraId="7809B5FB">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乙方缴纳人民币20000.00元（大写：贰万元整）履约保证金并签订合同，否则将取消中标资格，乙方履行完合同义务后，甲方退还履约保证金。履约保证金不计息。缴纳履约保证金通过对公账户转账至以下账户：</w:t>
      </w:r>
    </w:p>
    <w:p w14:paraId="3950B38A">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户  名：四川宏达股份有限公司</w:t>
      </w:r>
    </w:p>
    <w:p w14:paraId="6519A6AE">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开户行：中国银行什邡亭江西路支行</w:t>
      </w:r>
    </w:p>
    <w:p w14:paraId="3A747E47">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账  号：1266 7841 0051</w:t>
      </w:r>
    </w:p>
    <w:p w14:paraId="2C0B84C3">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bCs/>
          <w:sz w:val="24"/>
          <w:szCs w:val="24"/>
        </w:rPr>
      </w:pPr>
      <w:r>
        <w:rPr>
          <w:rFonts w:hint="eastAsia" w:ascii="黑体" w:hAnsi="黑体" w:eastAsia="黑体" w:cs="黑体"/>
          <w:bCs/>
          <w:sz w:val="24"/>
          <w:szCs w:val="24"/>
        </w:rPr>
        <w:t>（1）甲方每天通知乙方第二天需承运硫酸数量，乙方应提供足够的硫酸运输车辆并完成甲方每天规定的承运量。若因乙方原因未完成甲方规定的硫酸承运数量，但未对甲方生产造成影响的，扣罚乙方500元/次；若对甲方生产造成影响的，甲方有权扣罚乙方履约保证金总额的20%作为违约金，给甲方及客户造成损失（包括但不限于由此支付的违约金，赔偿金、律师费等维权费用）的，乙方还应当赔偿。若合同期内因乙方原因未完成甲方规定的硫酸承运数量累计达到三次或以上，甲方有权解除合同。</w:t>
      </w:r>
    </w:p>
    <w:p w14:paraId="001C93F9">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bCs/>
          <w:sz w:val="24"/>
          <w:szCs w:val="24"/>
        </w:rPr>
      </w:pPr>
      <w:r>
        <w:rPr>
          <w:rFonts w:hint="eastAsia" w:ascii="黑体" w:hAnsi="黑体" w:eastAsia="黑体" w:cs="黑体"/>
          <w:bCs/>
          <w:sz w:val="24"/>
          <w:szCs w:val="24"/>
        </w:rPr>
        <w:t>（2）乙方必须保证将甲方硫酸完整安全承运至甲方指定到达地点，若出现整车硫酸灭失、毁损、被盗的，乙方除按该批货物购进价值全额赔偿外，甲方有权扣罚乙方履约保证金总额的20%/次作为违约金并解除合同，给甲方及客户造成损失(包括但不限于由此支付的违约金，赔偿金、律师费等维权费用）的，乙方还应赔偿。</w:t>
      </w:r>
    </w:p>
    <w:p w14:paraId="47DF3318">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bCs/>
          <w:sz w:val="24"/>
          <w:szCs w:val="24"/>
        </w:rPr>
      </w:pPr>
      <w:r>
        <w:rPr>
          <w:rFonts w:hint="eastAsia" w:ascii="黑体" w:hAnsi="黑体" w:eastAsia="黑体" w:cs="黑体"/>
          <w:bCs/>
          <w:sz w:val="24"/>
          <w:szCs w:val="24"/>
        </w:rPr>
        <w:t>（3）</w:t>
      </w:r>
      <w:r>
        <w:rPr>
          <w:rFonts w:hint="eastAsia" w:ascii="黑体" w:hAnsi="黑体" w:eastAsia="黑体" w:cs="黑体"/>
          <w:color w:val="000000"/>
          <w:sz w:val="24"/>
          <w:szCs w:val="24"/>
        </w:rPr>
        <w:t>当硫酸罐车进入厂区但尚未进入甲方指定到达地点硫酸储站的过程中，驾、押人员不得与硫酸罐车分离，否则，扣罚乙方1000元/次，若由此造成损失，由乙方承担全部责任；</w:t>
      </w:r>
    </w:p>
    <w:p w14:paraId="2655FB95">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bCs/>
          <w:sz w:val="24"/>
          <w:szCs w:val="24"/>
        </w:rPr>
      </w:pPr>
      <w:r>
        <w:rPr>
          <w:rFonts w:hint="eastAsia" w:ascii="黑体" w:hAnsi="黑体" w:eastAsia="黑体" w:cs="黑体"/>
          <w:bCs/>
          <w:sz w:val="24"/>
          <w:szCs w:val="24"/>
        </w:rPr>
        <w:t>（4）合同期内乙方无违约行为的，待合同期到，甲方全额退还乙方履约保证金（无息）；若乙方存在违约行为的，待合同期到，甲方退还乙方剩余的履约保证金（无息）。</w:t>
      </w:r>
    </w:p>
    <w:p w14:paraId="3DBD95F2">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bCs/>
          <w:sz w:val="24"/>
          <w:szCs w:val="24"/>
        </w:rPr>
      </w:pPr>
      <w:r>
        <w:rPr>
          <w:rFonts w:hint="eastAsia" w:ascii="黑体" w:hAnsi="黑体" w:eastAsia="黑体" w:cs="黑体"/>
          <w:bCs/>
          <w:sz w:val="24"/>
          <w:szCs w:val="24"/>
        </w:rPr>
        <w:t>（5）凡根据本合同约定，乙方应承担的违约金、损失赔偿费用以及其他应向甲方或第三方支付的费用，甲方有权要求乙方限期交纳，也有权在任何一笔应付乙方的款项或乙方存于甲方的其它权益（包括履约保证金）中直接扣除，且甲方对未能扣除的部分享有进一步追偿的权利；若由此导致履约保证金被扣除的，乙方应在被扣除后三日内补足。</w:t>
      </w:r>
    </w:p>
    <w:p w14:paraId="670309DA">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bCs/>
          <w:sz w:val="24"/>
          <w:szCs w:val="24"/>
        </w:rPr>
      </w:pPr>
      <w:r>
        <w:rPr>
          <w:rFonts w:hint="eastAsia" w:ascii="黑体" w:hAnsi="黑体" w:eastAsia="黑体" w:cs="黑体"/>
          <w:bCs/>
          <w:sz w:val="24"/>
          <w:szCs w:val="24"/>
        </w:rPr>
        <w:t>2</w:t>
      </w:r>
      <w:r>
        <w:rPr>
          <w:rFonts w:hint="eastAsia" w:ascii="黑体" w:hAnsi="黑体" w:eastAsia="黑体" w:cs="黑体"/>
          <w:bCs/>
          <w:sz w:val="24"/>
          <w:szCs w:val="24"/>
          <w:lang w:eastAsia="zh-CN"/>
        </w:rPr>
        <w:t>.</w:t>
      </w:r>
      <w:r>
        <w:rPr>
          <w:rFonts w:hint="eastAsia" w:ascii="黑体" w:hAnsi="黑体" w:eastAsia="黑体" w:cs="黑体"/>
          <w:bCs/>
          <w:sz w:val="24"/>
          <w:szCs w:val="24"/>
        </w:rPr>
        <w:t>乙方提前终止/解除合同必须提前10天书面通知甲方。乙方无故提前终止/解除合同的，甲方有权不予退还乙方已交纳的履约保证金；同时，给甲方造成损失（包括但不限于由此支付的违约金、赔偿费、律师费等维权费用）的，乙方还应当赔偿。</w:t>
      </w:r>
    </w:p>
    <w:p w14:paraId="77FF6648">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bCs/>
          <w:sz w:val="24"/>
          <w:szCs w:val="24"/>
        </w:rPr>
      </w:pPr>
      <w:r>
        <w:rPr>
          <w:rFonts w:hint="eastAsia" w:ascii="黑体" w:hAnsi="黑体" w:eastAsia="黑体" w:cs="黑体"/>
          <w:bCs/>
          <w:sz w:val="24"/>
          <w:szCs w:val="24"/>
        </w:rPr>
        <w:t>3</w:t>
      </w:r>
      <w:r>
        <w:rPr>
          <w:rFonts w:hint="eastAsia" w:ascii="黑体" w:hAnsi="黑体" w:eastAsia="黑体" w:cs="黑体"/>
          <w:bCs/>
          <w:sz w:val="24"/>
          <w:szCs w:val="24"/>
          <w:lang w:eastAsia="zh-CN"/>
        </w:rPr>
        <w:t>.</w:t>
      </w:r>
      <w:r>
        <w:rPr>
          <w:rFonts w:hint="eastAsia" w:ascii="黑体" w:hAnsi="黑体" w:eastAsia="黑体" w:cs="黑体"/>
          <w:bCs/>
          <w:sz w:val="24"/>
          <w:szCs w:val="24"/>
        </w:rPr>
        <w:t>乙方车辆进出甲方厂区时应遵守甲方《公司（厂）内部交通安全管理规定》和《公司（厂）内部环境和职业健康安全告知书》，乙方在签署本合同前已知晓并承诺遵守上述文件的全部内容（见合同附件）。</w:t>
      </w:r>
    </w:p>
    <w:p w14:paraId="57C81A05">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bCs/>
          <w:sz w:val="24"/>
          <w:szCs w:val="24"/>
        </w:rPr>
      </w:pPr>
      <w:r>
        <w:rPr>
          <w:rFonts w:hint="eastAsia" w:ascii="黑体" w:hAnsi="黑体" w:eastAsia="黑体" w:cs="黑体"/>
          <w:bCs/>
          <w:sz w:val="24"/>
          <w:szCs w:val="24"/>
        </w:rPr>
        <w:t>4</w:t>
      </w:r>
      <w:r>
        <w:rPr>
          <w:rFonts w:hint="eastAsia" w:ascii="黑体" w:hAnsi="黑体" w:eastAsia="黑体" w:cs="黑体"/>
          <w:bCs/>
          <w:sz w:val="24"/>
          <w:szCs w:val="24"/>
          <w:lang w:eastAsia="zh-CN"/>
        </w:rPr>
        <w:t>.</w:t>
      </w:r>
      <w:r>
        <w:rPr>
          <w:rFonts w:hint="eastAsia" w:ascii="黑体" w:hAnsi="黑体" w:eastAsia="黑体" w:cs="黑体"/>
          <w:bCs/>
          <w:sz w:val="24"/>
          <w:szCs w:val="24"/>
        </w:rPr>
        <w:t>乙方车辆的排放标准必须符合国家相应标准要求，否则不得承运。</w:t>
      </w:r>
    </w:p>
    <w:p w14:paraId="011359F6">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bCs/>
          <w:sz w:val="24"/>
          <w:szCs w:val="24"/>
        </w:rPr>
      </w:pPr>
      <w:r>
        <w:rPr>
          <w:rFonts w:hint="eastAsia" w:ascii="黑体" w:hAnsi="黑体" w:eastAsia="黑体" w:cs="黑体"/>
          <w:bCs/>
          <w:sz w:val="24"/>
          <w:szCs w:val="24"/>
        </w:rPr>
        <w:t>5</w:t>
      </w:r>
      <w:r>
        <w:rPr>
          <w:rFonts w:hint="eastAsia" w:ascii="黑体" w:hAnsi="黑体" w:eastAsia="黑体" w:cs="黑体"/>
          <w:bCs/>
          <w:sz w:val="24"/>
          <w:szCs w:val="24"/>
          <w:lang w:eastAsia="zh-CN"/>
        </w:rPr>
        <w:t>.</w:t>
      </w:r>
      <w:r>
        <w:rPr>
          <w:rFonts w:hint="eastAsia" w:ascii="黑体" w:hAnsi="黑体" w:eastAsia="黑体" w:cs="黑体"/>
          <w:bCs/>
          <w:sz w:val="24"/>
          <w:szCs w:val="24"/>
        </w:rPr>
        <w:t>双方硫酸车调度负责人，甲方：                 乙方：</w:t>
      </w:r>
    </w:p>
    <w:p w14:paraId="13CCCCB4">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bCs/>
          <w:sz w:val="24"/>
          <w:szCs w:val="24"/>
        </w:rPr>
      </w:pPr>
      <w:r>
        <w:rPr>
          <w:rFonts w:hint="eastAsia" w:ascii="黑体" w:hAnsi="黑体" w:eastAsia="黑体" w:cs="黑体"/>
          <w:bCs/>
          <w:sz w:val="24"/>
          <w:szCs w:val="24"/>
        </w:rPr>
        <w:t>6</w:t>
      </w:r>
      <w:r>
        <w:rPr>
          <w:rFonts w:hint="eastAsia" w:ascii="黑体" w:hAnsi="黑体" w:eastAsia="黑体" w:cs="黑体"/>
          <w:bCs/>
          <w:sz w:val="24"/>
          <w:szCs w:val="24"/>
          <w:lang w:eastAsia="zh-CN"/>
        </w:rPr>
        <w:t>.</w:t>
      </w:r>
      <w:r>
        <w:rPr>
          <w:rFonts w:hint="eastAsia" w:ascii="黑体" w:hAnsi="黑体" w:eastAsia="黑体" w:cs="黑体"/>
          <w:bCs/>
          <w:sz w:val="24"/>
          <w:szCs w:val="24"/>
        </w:rPr>
        <w:t>本合同约定的价格为不变价。</w:t>
      </w:r>
    </w:p>
    <w:p w14:paraId="39F39AD1">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第十二条  合同生效及份数</w:t>
      </w:r>
    </w:p>
    <w:p w14:paraId="0671D072">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本合同自甲乙双方加盖合同专用章或公章（多页合同双方应同时加盖骑缝章）后生效。本合同一式肆份，甲乙双方各执贰份，具有同等法律效力。</w:t>
      </w:r>
    </w:p>
    <w:p w14:paraId="1844A463">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（以下无正文）</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55"/>
        <w:gridCol w:w="4467"/>
      </w:tblGrid>
      <w:tr w14:paraId="39915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379" w:type="pct"/>
          </w:tcPr>
          <w:p w14:paraId="30EB7875">
            <w:pPr>
              <w:keepNext w:val="0"/>
              <w:keepLines w:val="0"/>
              <w:pageBreakBefore w:val="0"/>
              <w:widowControl/>
              <w:kinsoku/>
              <w:wordWrap/>
              <w:overflowPunct/>
              <w:topLinePunct w:val="0"/>
              <w:autoSpaceDE/>
              <w:autoSpaceDN/>
              <w:bidi w:val="0"/>
              <w:adjustRightInd/>
              <w:snapToGrid/>
              <w:spacing w:before="100" w:beforeAutospacing="1" w:after="100" w:afterAutospacing="1" w:line="500" w:lineRule="exact"/>
              <w:jc w:val="left"/>
              <w:textAlignment w:val="auto"/>
              <w:rPr>
                <w:rFonts w:hint="eastAsia" w:ascii="黑体" w:hAnsi="黑体" w:eastAsia="黑体" w:cs="黑体"/>
                <w:bCs/>
                <w:kern w:val="0"/>
                <w:sz w:val="24"/>
                <w:szCs w:val="24"/>
              </w:rPr>
            </w:pPr>
            <w:r>
              <w:rPr>
                <w:rFonts w:hint="eastAsia" w:ascii="黑体" w:hAnsi="黑体" w:eastAsia="黑体" w:cs="黑体"/>
                <w:bCs/>
                <w:kern w:val="0"/>
                <w:sz w:val="24"/>
                <w:szCs w:val="24"/>
              </w:rPr>
              <w:t>甲方（盖章）：</w:t>
            </w:r>
          </w:p>
        </w:tc>
        <w:tc>
          <w:tcPr>
            <w:tcW w:w="2621" w:type="pct"/>
          </w:tcPr>
          <w:p w14:paraId="5FBC4003">
            <w:pPr>
              <w:keepNext w:val="0"/>
              <w:keepLines w:val="0"/>
              <w:pageBreakBefore w:val="0"/>
              <w:widowControl/>
              <w:kinsoku/>
              <w:wordWrap/>
              <w:overflowPunct/>
              <w:topLinePunct w:val="0"/>
              <w:autoSpaceDE/>
              <w:autoSpaceDN/>
              <w:bidi w:val="0"/>
              <w:adjustRightInd/>
              <w:snapToGrid/>
              <w:spacing w:before="100" w:beforeAutospacing="1" w:after="100" w:afterAutospacing="1" w:line="500" w:lineRule="exact"/>
              <w:jc w:val="left"/>
              <w:textAlignment w:val="auto"/>
              <w:rPr>
                <w:rFonts w:hint="eastAsia" w:ascii="黑体" w:hAnsi="黑体" w:eastAsia="黑体" w:cs="黑体"/>
                <w:bCs/>
                <w:kern w:val="0"/>
                <w:sz w:val="24"/>
                <w:szCs w:val="24"/>
              </w:rPr>
            </w:pPr>
            <w:r>
              <w:rPr>
                <w:rFonts w:hint="eastAsia" w:ascii="黑体" w:hAnsi="黑体" w:eastAsia="黑体" w:cs="黑体"/>
                <w:bCs/>
                <w:kern w:val="0"/>
                <w:sz w:val="24"/>
                <w:szCs w:val="24"/>
              </w:rPr>
              <w:t>乙方（盖章）：</w:t>
            </w:r>
          </w:p>
        </w:tc>
      </w:tr>
      <w:tr w14:paraId="7EF4C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379" w:type="pct"/>
          </w:tcPr>
          <w:p w14:paraId="28D021CF">
            <w:pPr>
              <w:keepNext w:val="0"/>
              <w:keepLines w:val="0"/>
              <w:pageBreakBefore w:val="0"/>
              <w:widowControl/>
              <w:kinsoku/>
              <w:wordWrap/>
              <w:overflowPunct/>
              <w:topLinePunct w:val="0"/>
              <w:autoSpaceDE/>
              <w:autoSpaceDN/>
              <w:bidi w:val="0"/>
              <w:adjustRightInd/>
              <w:snapToGrid/>
              <w:spacing w:before="100" w:beforeAutospacing="1" w:after="100" w:afterAutospacing="1" w:line="500" w:lineRule="exact"/>
              <w:jc w:val="left"/>
              <w:textAlignment w:val="auto"/>
              <w:rPr>
                <w:rFonts w:hint="eastAsia" w:ascii="黑体" w:hAnsi="黑体" w:eastAsia="黑体" w:cs="黑体"/>
                <w:bCs/>
                <w:kern w:val="0"/>
                <w:sz w:val="24"/>
                <w:szCs w:val="24"/>
              </w:rPr>
            </w:pPr>
            <w:r>
              <w:rPr>
                <w:rFonts w:hint="eastAsia" w:ascii="黑体" w:hAnsi="黑体" w:eastAsia="黑体" w:cs="黑体"/>
                <w:bCs/>
                <w:kern w:val="0"/>
                <w:sz w:val="24"/>
                <w:szCs w:val="24"/>
              </w:rPr>
              <w:t>联系人：</w:t>
            </w:r>
          </w:p>
        </w:tc>
        <w:tc>
          <w:tcPr>
            <w:tcW w:w="2621" w:type="pct"/>
          </w:tcPr>
          <w:p w14:paraId="622B42AF">
            <w:pPr>
              <w:keepNext w:val="0"/>
              <w:keepLines w:val="0"/>
              <w:pageBreakBefore w:val="0"/>
              <w:widowControl/>
              <w:kinsoku/>
              <w:wordWrap/>
              <w:overflowPunct/>
              <w:topLinePunct w:val="0"/>
              <w:autoSpaceDE/>
              <w:autoSpaceDN/>
              <w:bidi w:val="0"/>
              <w:adjustRightInd/>
              <w:snapToGrid/>
              <w:spacing w:before="100" w:beforeAutospacing="1" w:after="100" w:afterAutospacing="1" w:line="500" w:lineRule="exact"/>
              <w:jc w:val="left"/>
              <w:textAlignment w:val="auto"/>
              <w:rPr>
                <w:rFonts w:hint="eastAsia" w:ascii="黑体" w:hAnsi="黑体" w:eastAsia="黑体" w:cs="黑体"/>
                <w:bCs/>
                <w:kern w:val="0"/>
                <w:sz w:val="24"/>
                <w:szCs w:val="24"/>
              </w:rPr>
            </w:pPr>
            <w:r>
              <w:rPr>
                <w:rFonts w:hint="eastAsia" w:ascii="黑体" w:hAnsi="黑体" w:eastAsia="黑体" w:cs="黑体"/>
                <w:bCs/>
                <w:kern w:val="0"/>
                <w:sz w:val="24"/>
                <w:szCs w:val="24"/>
              </w:rPr>
              <w:t>联系人</w:t>
            </w:r>
          </w:p>
        </w:tc>
      </w:tr>
      <w:tr w14:paraId="49F4C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379" w:type="pct"/>
            <w:vAlign w:val="center"/>
          </w:tcPr>
          <w:p w14:paraId="33728548">
            <w:pPr>
              <w:keepNext w:val="0"/>
              <w:keepLines w:val="0"/>
              <w:pageBreakBefore w:val="0"/>
              <w:widowControl/>
              <w:kinsoku/>
              <w:wordWrap/>
              <w:overflowPunct/>
              <w:topLinePunct w:val="0"/>
              <w:autoSpaceDE/>
              <w:autoSpaceDN/>
              <w:bidi w:val="0"/>
              <w:adjustRightInd/>
              <w:snapToGrid/>
              <w:spacing w:before="100" w:beforeAutospacing="1" w:after="100" w:afterAutospacing="1" w:line="500" w:lineRule="exact"/>
              <w:jc w:val="left"/>
              <w:textAlignment w:val="auto"/>
              <w:rPr>
                <w:rFonts w:hint="eastAsia" w:ascii="黑体" w:hAnsi="黑体" w:eastAsia="黑体" w:cs="黑体"/>
                <w:bCs/>
                <w:kern w:val="0"/>
                <w:sz w:val="24"/>
                <w:szCs w:val="24"/>
              </w:rPr>
            </w:pPr>
            <w:r>
              <w:rPr>
                <w:rFonts w:hint="eastAsia" w:ascii="黑体" w:hAnsi="黑体" w:eastAsia="黑体" w:cs="黑体"/>
                <w:bCs/>
                <w:kern w:val="0"/>
                <w:sz w:val="24"/>
                <w:szCs w:val="24"/>
              </w:rPr>
              <w:t>联系电话：</w:t>
            </w:r>
          </w:p>
        </w:tc>
        <w:tc>
          <w:tcPr>
            <w:tcW w:w="2621" w:type="pct"/>
            <w:vAlign w:val="center"/>
          </w:tcPr>
          <w:p w14:paraId="3B3B6247">
            <w:pPr>
              <w:keepNext w:val="0"/>
              <w:keepLines w:val="0"/>
              <w:pageBreakBefore w:val="0"/>
              <w:widowControl/>
              <w:kinsoku/>
              <w:wordWrap/>
              <w:overflowPunct/>
              <w:topLinePunct w:val="0"/>
              <w:autoSpaceDE/>
              <w:autoSpaceDN/>
              <w:bidi w:val="0"/>
              <w:adjustRightInd/>
              <w:snapToGrid/>
              <w:spacing w:before="100" w:beforeAutospacing="1" w:after="100" w:afterAutospacing="1" w:line="500" w:lineRule="exact"/>
              <w:jc w:val="left"/>
              <w:textAlignment w:val="auto"/>
              <w:rPr>
                <w:rFonts w:hint="eastAsia" w:ascii="黑体" w:hAnsi="黑体" w:eastAsia="黑体" w:cs="黑体"/>
                <w:bCs/>
                <w:kern w:val="0"/>
                <w:sz w:val="24"/>
                <w:szCs w:val="24"/>
              </w:rPr>
            </w:pPr>
            <w:r>
              <w:rPr>
                <w:rFonts w:hint="eastAsia" w:ascii="黑体" w:hAnsi="黑体" w:eastAsia="黑体" w:cs="黑体"/>
                <w:bCs/>
                <w:kern w:val="0"/>
                <w:sz w:val="24"/>
                <w:szCs w:val="24"/>
              </w:rPr>
              <w:t>联系电话：</w:t>
            </w:r>
          </w:p>
        </w:tc>
      </w:tr>
      <w:tr w14:paraId="22AF0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379" w:type="pct"/>
            <w:vAlign w:val="center"/>
          </w:tcPr>
          <w:p w14:paraId="5C1CBFE3">
            <w:pPr>
              <w:keepNext w:val="0"/>
              <w:keepLines w:val="0"/>
              <w:pageBreakBefore w:val="0"/>
              <w:widowControl/>
              <w:kinsoku/>
              <w:wordWrap/>
              <w:overflowPunct/>
              <w:topLinePunct w:val="0"/>
              <w:autoSpaceDE/>
              <w:autoSpaceDN/>
              <w:bidi w:val="0"/>
              <w:adjustRightInd/>
              <w:snapToGrid/>
              <w:spacing w:before="100" w:beforeAutospacing="1" w:after="100" w:afterAutospacing="1" w:line="500" w:lineRule="exact"/>
              <w:jc w:val="left"/>
              <w:textAlignment w:val="auto"/>
              <w:rPr>
                <w:rFonts w:hint="eastAsia" w:ascii="黑体" w:hAnsi="黑体" w:eastAsia="黑体" w:cs="黑体"/>
                <w:bCs/>
                <w:kern w:val="0"/>
                <w:sz w:val="24"/>
                <w:szCs w:val="24"/>
              </w:rPr>
            </w:pPr>
            <w:r>
              <w:rPr>
                <w:rFonts w:hint="eastAsia" w:ascii="黑体" w:hAnsi="黑体" w:eastAsia="黑体" w:cs="黑体"/>
                <w:bCs/>
                <w:kern w:val="0"/>
                <w:sz w:val="24"/>
                <w:szCs w:val="24"/>
              </w:rPr>
              <w:t>通讯地址：</w:t>
            </w:r>
          </w:p>
        </w:tc>
        <w:tc>
          <w:tcPr>
            <w:tcW w:w="2621" w:type="pct"/>
            <w:vAlign w:val="center"/>
          </w:tcPr>
          <w:p w14:paraId="6F61F3C9">
            <w:pPr>
              <w:keepNext w:val="0"/>
              <w:keepLines w:val="0"/>
              <w:pageBreakBefore w:val="0"/>
              <w:widowControl/>
              <w:kinsoku/>
              <w:wordWrap/>
              <w:overflowPunct/>
              <w:topLinePunct w:val="0"/>
              <w:autoSpaceDE/>
              <w:autoSpaceDN/>
              <w:bidi w:val="0"/>
              <w:adjustRightInd/>
              <w:snapToGrid/>
              <w:spacing w:before="100" w:beforeAutospacing="1" w:after="100" w:afterAutospacing="1" w:line="500" w:lineRule="exact"/>
              <w:jc w:val="left"/>
              <w:textAlignment w:val="auto"/>
              <w:rPr>
                <w:rFonts w:hint="eastAsia" w:ascii="黑体" w:hAnsi="黑体" w:eastAsia="黑体" w:cs="黑体"/>
                <w:bCs/>
                <w:kern w:val="0"/>
                <w:sz w:val="24"/>
                <w:szCs w:val="24"/>
              </w:rPr>
            </w:pPr>
            <w:r>
              <w:rPr>
                <w:rFonts w:hint="eastAsia" w:ascii="黑体" w:hAnsi="黑体" w:eastAsia="黑体" w:cs="黑体"/>
                <w:bCs/>
                <w:kern w:val="0"/>
                <w:sz w:val="24"/>
                <w:szCs w:val="24"/>
              </w:rPr>
              <w:t>通讯地址:</w:t>
            </w:r>
          </w:p>
        </w:tc>
      </w:tr>
    </w:tbl>
    <w:p w14:paraId="7BBACF40">
      <w:pPr>
        <w:keepNext w:val="0"/>
        <w:keepLines w:val="0"/>
        <w:pageBreakBefore w:val="0"/>
        <w:kinsoku/>
        <w:wordWrap/>
        <w:overflowPunct/>
        <w:topLinePunct w:val="0"/>
        <w:autoSpaceDE/>
        <w:autoSpaceDN/>
        <w:bidi w:val="0"/>
        <w:adjustRightInd/>
        <w:snapToGrid/>
        <w:spacing w:line="500" w:lineRule="exact"/>
        <w:textAlignment w:val="auto"/>
        <w:rPr>
          <w:rFonts w:hint="eastAsia" w:ascii="黑体" w:hAnsi="黑体" w:eastAsia="黑体" w:cs="黑体"/>
          <w:sz w:val="24"/>
          <w:szCs w:val="24"/>
        </w:rPr>
      </w:pPr>
    </w:p>
    <w:p w14:paraId="2E07BEA2">
      <w:pPr>
        <w:rPr>
          <w:rFonts w:hint="eastAsia" w:ascii="黑体" w:hAnsi="黑体" w:eastAsia="黑体" w:cs="黑体"/>
        </w:rPr>
      </w:pPr>
    </w:p>
    <w:p w14:paraId="0B8FAE22">
      <w:pPr>
        <w:spacing w:line="400" w:lineRule="exact"/>
        <w:rPr>
          <w:rFonts w:hint="eastAsia" w:ascii="黑体" w:hAnsi="黑体" w:eastAsia="黑体" w:cs="黑体"/>
          <w:b/>
          <w:sz w:val="32"/>
          <w:szCs w:val="32"/>
        </w:rPr>
      </w:pPr>
      <w:r>
        <w:rPr>
          <w:rFonts w:hint="eastAsia" w:ascii="黑体" w:hAnsi="黑体" w:eastAsia="黑体" w:cs="黑体"/>
          <w:b/>
          <w:sz w:val="32"/>
          <w:szCs w:val="32"/>
        </w:rPr>
        <w:t>附件：</w:t>
      </w:r>
    </w:p>
    <w:p w14:paraId="5E183C5C">
      <w:pPr>
        <w:spacing w:line="400" w:lineRule="exact"/>
        <w:jc w:val="center"/>
        <w:rPr>
          <w:rFonts w:hint="eastAsia" w:ascii="黑体" w:hAnsi="黑体" w:eastAsia="黑体" w:cs="黑体"/>
          <w:b/>
          <w:sz w:val="32"/>
          <w:szCs w:val="32"/>
        </w:rPr>
      </w:pPr>
      <w:r>
        <w:rPr>
          <w:rFonts w:hint="eastAsia" w:ascii="黑体" w:hAnsi="黑体" w:eastAsia="黑体" w:cs="黑体"/>
          <w:b/>
          <w:sz w:val="32"/>
          <w:szCs w:val="32"/>
        </w:rPr>
        <w:t>四川宏达股份有限公司（有色基地）</w:t>
      </w:r>
    </w:p>
    <w:p w14:paraId="791D6FE0">
      <w:pPr>
        <w:spacing w:line="400" w:lineRule="exact"/>
        <w:jc w:val="center"/>
        <w:rPr>
          <w:rFonts w:hint="eastAsia" w:ascii="黑体" w:hAnsi="黑体" w:eastAsia="黑体" w:cs="黑体"/>
          <w:b/>
          <w:sz w:val="32"/>
          <w:szCs w:val="32"/>
        </w:rPr>
      </w:pPr>
      <w:r>
        <w:rPr>
          <w:rFonts w:hint="eastAsia" w:ascii="黑体" w:hAnsi="黑体" w:eastAsia="黑体" w:cs="黑体"/>
          <w:b/>
          <w:sz w:val="32"/>
          <w:szCs w:val="32"/>
        </w:rPr>
        <w:t>环境与职业健康告知书</w:t>
      </w:r>
    </w:p>
    <w:p w14:paraId="476C5FBE">
      <w:pPr>
        <w:spacing w:line="300" w:lineRule="auto"/>
        <w:ind w:firstLine="420" w:firstLineChars="200"/>
        <w:contextualSpacing/>
        <w:rPr>
          <w:rFonts w:hint="eastAsia" w:ascii="黑体" w:hAnsi="黑体" w:eastAsia="黑体" w:cs="黑体"/>
          <w:szCs w:val="21"/>
        </w:rPr>
      </w:pPr>
      <w:r>
        <w:rPr>
          <w:rFonts w:hint="eastAsia" w:ascii="黑体" w:hAnsi="黑体" w:eastAsia="黑体" w:cs="黑体"/>
          <w:szCs w:val="21"/>
        </w:rPr>
        <w:t>尊敬的供应商人员：</w:t>
      </w:r>
    </w:p>
    <w:p w14:paraId="1719D03E">
      <w:pPr>
        <w:spacing w:line="300" w:lineRule="auto"/>
        <w:ind w:firstLine="420" w:firstLineChars="200"/>
        <w:contextualSpacing/>
        <w:rPr>
          <w:rFonts w:hint="eastAsia" w:ascii="黑体" w:hAnsi="黑体" w:eastAsia="黑体" w:cs="黑体"/>
          <w:szCs w:val="21"/>
        </w:rPr>
      </w:pPr>
      <w:r>
        <w:rPr>
          <w:rFonts w:hint="eastAsia" w:ascii="黑体" w:hAnsi="黑体" w:eastAsia="黑体" w:cs="黑体"/>
          <w:szCs w:val="21"/>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49A89666">
      <w:pPr>
        <w:spacing w:line="300" w:lineRule="auto"/>
        <w:ind w:firstLine="420" w:firstLineChars="200"/>
        <w:contextualSpacing/>
        <w:rPr>
          <w:rFonts w:hint="eastAsia" w:ascii="黑体" w:hAnsi="黑体" w:eastAsia="黑体" w:cs="黑体"/>
          <w:szCs w:val="21"/>
        </w:rPr>
      </w:pPr>
      <w:r>
        <w:rPr>
          <w:rFonts w:hint="eastAsia" w:ascii="黑体" w:hAnsi="黑体" w:eastAsia="黑体" w:cs="黑体"/>
          <w:szCs w:val="21"/>
        </w:rPr>
        <w:t>一、作业活动注意事项</w:t>
      </w:r>
    </w:p>
    <w:p w14:paraId="338E7C3B">
      <w:pPr>
        <w:spacing w:line="300" w:lineRule="auto"/>
        <w:ind w:firstLine="420" w:firstLineChars="200"/>
        <w:contextualSpacing/>
        <w:rPr>
          <w:rFonts w:hint="eastAsia" w:ascii="黑体" w:hAnsi="黑体" w:eastAsia="黑体" w:cs="黑体"/>
          <w:szCs w:val="21"/>
        </w:rPr>
      </w:pPr>
      <w:r>
        <w:rPr>
          <w:rFonts w:hint="eastAsia" w:ascii="黑体" w:hAnsi="黑体" w:eastAsia="黑体" w:cs="黑体"/>
          <w:szCs w:val="21"/>
        </w:rPr>
        <w:t>1、甲方厂区人员、物流密集，乙方车辆进入厂区须按甲方厂区限速标识缓慢行驶；</w:t>
      </w:r>
    </w:p>
    <w:p w14:paraId="1CEE0F83">
      <w:pPr>
        <w:spacing w:line="300" w:lineRule="auto"/>
        <w:ind w:firstLine="420" w:firstLineChars="200"/>
        <w:contextualSpacing/>
        <w:rPr>
          <w:rFonts w:hint="eastAsia" w:ascii="黑体" w:hAnsi="黑体" w:eastAsia="黑体" w:cs="黑体"/>
          <w:szCs w:val="21"/>
        </w:rPr>
      </w:pPr>
      <w:r>
        <w:rPr>
          <w:rFonts w:hint="eastAsia" w:ascii="黑体" w:hAnsi="黑体" w:eastAsia="黑体" w:cs="黑体"/>
          <w:szCs w:val="21"/>
        </w:rPr>
        <w:t>2、乙方车辆卸货停放不得堵塞消防通道和影响生产人员操作与巡回检查；</w:t>
      </w:r>
    </w:p>
    <w:p w14:paraId="1DA9631B">
      <w:pPr>
        <w:spacing w:line="300" w:lineRule="auto"/>
        <w:ind w:firstLine="420" w:firstLineChars="200"/>
        <w:contextualSpacing/>
        <w:rPr>
          <w:rFonts w:hint="eastAsia" w:ascii="黑体" w:hAnsi="黑体" w:eastAsia="黑体" w:cs="黑体"/>
          <w:szCs w:val="21"/>
        </w:rPr>
      </w:pPr>
      <w:r>
        <w:rPr>
          <w:rFonts w:hint="eastAsia" w:ascii="黑体" w:hAnsi="黑体" w:eastAsia="黑体" w:cs="黑体"/>
          <w:szCs w:val="21"/>
        </w:rPr>
        <w:t>3、乙方人员严禁触碰甲方正在生产的管道、阀门、电线和设备等；</w:t>
      </w:r>
    </w:p>
    <w:p w14:paraId="08140F60">
      <w:pPr>
        <w:spacing w:line="300" w:lineRule="auto"/>
        <w:ind w:firstLine="420" w:firstLineChars="200"/>
        <w:contextualSpacing/>
        <w:rPr>
          <w:rFonts w:hint="eastAsia" w:ascii="黑体" w:hAnsi="黑体" w:eastAsia="黑体" w:cs="黑体"/>
          <w:szCs w:val="21"/>
        </w:rPr>
      </w:pPr>
      <w:r>
        <w:rPr>
          <w:rFonts w:hint="eastAsia" w:ascii="黑体" w:hAnsi="黑体" w:eastAsia="黑体" w:cs="黑体"/>
          <w:szCs w:val="21"/>
        </w:rPr>
        <w:t>4、乙方作业时应正确穿戴好劳动保护用品，应做到“四不伤害”；</w:t>
      </w:r>
    </w:p>
    <w:p w14:paraId="670882F9">
      <w:pPr>
        <w:spacing w:line="300" w:lineRule="auto"/>
        <w:ind w:firstLine="420" w:firstLineChars="200"/>
        <w:contextualSpacing/>
        <w:rPr>
          <w:rFonts w:hint="eastAsia" w:ascii="黑体" w:hAnsi="黑体" w:eastAsia="黑体" w:cs="黑体"/>
          <w:szCs w:val="21"/>
        </w:rPr>
      </w:pPr>
      <w:r>
        <w:rPr>
          <w:rFonts w:hint="eastAsia" w:ascii="黑体" w:hAnsi="黑体" w:eastAsia="黑体" w:cs="黑体"/>
          <w:szCs w:val="21"/>
        </w:rPr>
        <w:t>5、遇有异常情况，如紧急排放、泄漏、事故处理等，应立即停止一切作业活动，撤离人员并及时报警和报告处理。</w:t>
      </w:r>
    </w:p>
    <w:p w14:paraId="08213793">
      <w:pPr>
        <w:spacing w:line="300" w:lineRule="auto"/>
        <w:ind w:firstLine="420" w:firstLineChars="200"/>
        <w:contextualSpacing/>
        <w:rPr>
          <w:rFonts w:hint="eastAsia" w:ascii="黑体" w:hAnsi="黑体" w:eastAsia="黑体" w:cs="黑体"/>
          <w:szCs w:val="21"/>
        </w:rPr>
      </w:pPr>
      <w:r>
        <w:rPr>
          <w:rFonts w:hint="eastAsia" w:ascii="黑体" w:hAnsi="黑体" w:eastAsia="黑体" w:cs="黑体"/>
          <w:szCs w:val="21"/>
        </w:rPr>
        <w:t>二、我公司主要职业危害因素及预防措施</w:t>
      </w:r>
    </w:p>
    <w:p w14:paraId="16866FF9">
      <w:pPr>
        <w:spacing w:line="300" w:lineRule="auto"/>
        <w:ind w:firstLine="420" w:firstLineChars="200"/>
        <w:contextualSpacing/>
        <w:rPr>
          <w:rFonts w:hint="eastAsia" w:ascii="黑体" w:hAnsi="黑体" w:eastAsia="黑体" w:cs="黑体"/>
          <w:szCs w:val="21"/>
        </w:rPr>
      </w:pPr>
      <w:r>
        <w:rPr>
          <w:rFonts w:hint="eastAsia" w:ascii="黑体" w:hAnsi="黑体" w:eastAsia="黑体" w:cs="黑体"/>
          <w:szCs w:val="21"/>
        </w:rPr>
        <w:t>1、粉尘</w:t>
      </w:r>
    </w:p>
    <w:p w14:paraId="3C9E040B">
      <w:pPr>
        <w:spacing w:line="300" w:lineRule="auto"/>
        <w:ind w:firstLine="420" w:firstLineChars="200"/>
        <w:contextualSpacing/>
        <w:rPr>
          <w:rFonts w:hint="eastAsia" w:ascii="黑体" w:hAnsi="黑体" w:eastAsia="黑体" w:cs="黑体"/>
          <w:szCs w:val="21"/>
        </w:rPr>
      </w:pPr>
      <w:r>
        <w:rPr>
          <w:rFonts w:hint="eastAsia" w:ascii="黑体" w:hAnsi="黑体" w:eastAsia="黑体" w:cs="黑体"/>
          <w:szCs w:val="21"/>
        </w:rPr>
        <w:t>（1）健康危害：长期接触生产性粉尘的作业人员，当吸入的粉尘达到一定数量时即引发尘肺病。还可以引发鼻炎、咽炎、支气管炎、皮疹、皮炎、眼结膜损害等。</w:t>
      </w:r>
    </w:p>
    <w:p w14:paraId="1D337460">
      <w:pPr>
        <w:spacing w:line="300" w:lineRule="auto"/>
        <w:ind w:firstLine="420" w:firstLineChars="200"/>
        <w:contextualSpacing/>
        <w:rPr>
          <w:rFonts w:hint="eastAsia" w:ascii="黑体" w:hAnsi="黑体" w:eastAsia="黑体" w:cs="黑体"/>
          <w:szCs w:val="21"/>
        </w:rPr>
      </w:pPr>
      <w:r>
        <w:rPr>
          <w:rFonts w:hint="eastAsia" w:ascii="黑体" w:hAnsi="黑体" w:eastAsia="黑体" w:cs="黑体"/>
          <w:szCs w:val="21"/>
        </w:rPr>
        <w:t>（2）理化特征：无机性粉尘、有机性粉尘、混合性粉尘。</w:t>
      </w:r>
    </w:p>
    <w:p w14:paraId="7DFCC08C">
      <w:pPr>
        <w:spacing w:line="300" w:lineRule="auto"/>
        <w:ind w:firstLine="420" w:firstLineChars="200"/>
        <w:contextualSpacing/>
        <w:rPr>
          <w:rFonts w:hint="eastAsia" w:ascii="黑体" w:hAnsi="黑体" w:eastAsia="黑体" w:cs="黑体"/>
          <w:szCs w:val="21"/>
        </w:rPr>
      </w:pPr>
      <w:r>
        <w:rPr>
          <w:rFonts w:hint="eastAsia" w:ascii="黑体" w:hAnsi="黑体" w:eastAsia="黑体" w:cs="黑体"/>
          <w:szCs w:val="21"/>
        </w:rPr>
        <w:t>（3）应急处理：发现身体状况异常时要及时去医院检查治疗。</w:t>
      </w:r>
    </w:p>
    <w:p w14:paraId="410641D7">
      <w:pPr>
        <w:spacing w:line="300" w:lineRule="auto"/>
        <w:ind w:firstLine="420" w:firstLineChars="200"/>
        <w:contextualSpacing/>
        <w:rPr>
          <w:rFonts w:hint="eastAsia" w:ascii="黑体" w:hAnsi="黑体" w:eastAsia="黑体" w:cs="黑体"/>
          <w:szCs w:val="21"/>
        </w:rPr>
      </w:pPr>
      <w:r>
        <w:rPr>
          <w:rFonts w:hint="eastAsia" w:ascii="黑体" w:hAnsi="黑体" w:eastAsia="黑体" w:cs="黑体"/>
          <w:szCs w:val="21"/>
        </w:rPr>
        <w:t>（4）注意防护：必须佩戴个人防护用品。</w:t>
      </w:r>
    </w:p>
    <w:p w14:paraId="028CB059">
      <w:pPr>
        <w:spacing w:line="300" w:lineRule="auto"/>
        <w:ind w:firstLine="420" w:firstLineChars="200"/>
        <w:contextualSpacing/>
        <w:rPr>
          <w:rFonts w:hint="eastAsia" w:ascii="黑体" w:hAnsi="黑体" w:eastAsia="黑体" w:cs="黑体"/>
          <w:szCs w:val="21"/>
        </w:rPr>
      </w:pPr>
      <w:r>
        <w:rPr>
          <w:rFonts w:hint="eastAsia" w:ascii="黑体" w:hAnsi="黑体" w:eastAsia="黑体" w:cs="黑体"/>
          <w:szCs w:val="21"/>
        </w:rPr>
        <w:t>（5）图标标识：戴防尘口罩、注意通风。</w:t>
      </w:r>
    </w:p>
    <w:p w14:paraId="131242FB">
      <w:pPr>
        <w:spacing w:line="300" w:lineRule="auto"/>
        <w:ind w:firstLine="420" w:firstLineChars="200"/>
        <w:contextualSpacing/>
        <w:rPr>
          <w:rFonts w:hint="eastAsia" w:ascii="黑体" w:hAnsi="黑体" w:eastAsia="黑体" w:cs="黑体"/>
          <w:szCs w:val="21"/>
        </w:rPr>
      </w:pPr>
      <w:r>
        <w:rPr>
          <w:rFonts w:hint="eastAsia" w:ascii="黑体" w:hAnsi="黑体" w:eastAsia="黑体" w:cs="黑体"/>
          <w:szCs w:val="21"/>
        </w:rPr>
        <w:t>2、噪声</w:t>
      </w:r>
    </w:p>
    <w:p w14:paraId="3645BC38">
      <w:pPr>
        <w:spacing w:line="300" w:lineRule="auto"/>
        <w:ind w:firstLine="420" w:firstLineChars="200"/>
        <w:contextualSpacing/>
        <w:rPr>
          <w:rFonts w:hint="eastAsia" w:ascii="黑体" w:hAnsi="黑体" w:eastAsia="黑体" w:cs="黑体"/>
          <w:szCs w:val="21"/>
        </w:rPr>
      </w:pPr>
      <w:r>
        <w:rPr>
          <w:rFonts w:hint="eastAsia" w:ascii="黑体" w:hAnsi="黑体" w:eastAsia="黑体" w:cs="黑体"/>
          <w:szCs w:val="21"/>
        </w:rPr>
        <w:t>（1）健康危害：致使听力减弱、下降，可引起永久耳聋，并引发消化不良，呕吐、头痛、血压升高、失眠等全身性病症。</w:t>
      </w:r>
    </w:p>
    <w:p w14:paraId="485B6DB1">
      <w:pPr>
        <w:spacing w:line="300" w:lineRule="auto"/>
        <w:ind w:firstLine="420" w:firstLineChars="200"/>
        <w:contextualSpacing/>
        <w:rPr>
          <w:rFonts w:hint="eastAsia" w:ascii="黑体" w:hAnsi="黑体" w:eastAsia="黑体" w:cs="黑体"/>
          <w:szCs w:val="21"/>
        </w:rPr>
      </w:pPr>
      <w:r>
        <w:rPr>
          <w:rFonts w:hint="eastAsia" w:ascii="黑体" w:hAnsi="黑体" w:eastAsia="黑体" w:cs="黑体"/>
          <w:szCs w:val="21"/>
        </w:rPr>
        <w:t>（2）理化特征：声强和频率的变化都无规律，杂乱无章的声音。</w:t>
      </w:r>
    </w:p>
    <w:p w14:paraId="49CD55B2">
      <w:pPr>
        <w:spacing w:line="300" w:lineRule="auto"/>
        <w:ind w:firstLine="420" w:firstLineChars="200"/>
        <w:contextualSpacing/>
        <w:rPr>
          <w:rFonts w:hint="eastAsia" w:ascii="黑体" w:hAnsi="黑体" w:eastAsia="黑体" w:cs="黑体"/>
          <w:szCs w:val="21"/>
        </w:rPr>
      </w:pPr>
      <w:r>
        <w:rPr>
          <w:rFonts w:hint="eastAsia" w:ascii="黑体" w:hAnsi="黑体" w:eastAsia="黑体" w:cs="黑体"/>
          <w:szCs w:val="21"/>
        </w:rPr>
        <w:t>（3）应急处理：使用防声器如：耳塞、耳罩、防声帽等。如发现听力异常，则到医院检查、确诊。</w:t>
      </w:r>
    </w:p>
    <w:p w14:paraId="4F29A2E6">
      <w:pPr>
        <w:spacing w:line="300" w:lineRule="auto"/>
        <w:ind w:firstLine="420" w:firstLineChars="200"/>
        <w:contextualSpacing/>
        <w:rPr>
          <w:rFonts w:hint="eastAsia" w:ascii="黑体" w:hAnsi="黑体" w:eastAsia="黑体" w:cs="黑体"/>
          <w:szCs w:val="21"/>
        </w:rPr>
      </w:pPr>
      <w:r>
        <w:rPr>
          <w:rFonts w:hint="eastAsia" w:ascii="黑体" w:hAnsi="黑体" w:eastAsia="黑体" w:cs="黑体"/>
          <w:szCs w:val="21"/>
        </w:rPr>
        <w:t>（4）注意防护：利用吸声材料或吸声结构来吸收声能：佩戴耳塞、隔声间、隔声屏，将空气中传播的噪声挡住、隔开。</w:t>
      </w:r>
    </w:p>
    <w:p w14:paraId="1EA7DF5E">
      <w:pPr>
        <w:spacing w:line="300" w:lineRule="auto"/>
        <w:ind w:firstLine="420" w:firstLineChars="200"/>
        <w:contextualSpacing/>
        <w:rPr>
          <w:rFonts w:hint="eastAsia" w:ascii="黑体" w:hAnsi="黑体" w:eastAsia="黑体" w:cs="黑体"/>
          <w:szCs w:val="21"/>
        </w:rPr>
      </w:pPr>
      <w:r>
        <w:rPr>
          <w:rFonts w:hint="eastAsia" w:ascii="黑体" w:hAnsi="黑体" w:eastAsia="黑体" w:cs="黑体"/>
          <w:szCs w:val="21"/>
        </w:rPr>
        <w:t>（5）图标标识：噪声污染源戴护耳器。</w:t>
      </w:r>
    </w:p>
    <w:p w14:paraId="0332B55E">
      <w:pPr>
        <w:spacing w:line="300" w:lineRule="auto"/>
        <w:ind w:firstLine="420" w:firstLineChars="200"/>
        <w:contextualSpacing/>
        <w:rPr>
          <w:rFonts w:hint="eastAsia" w:ascii="黑体" w:hAnsi="黑体" w:eastAsia="黑体" w:cs="黑体"/>
          <w:szCs w:val="21"/>
        </w:rPr>
      </w:pPr>
      <w:r>
        <w:rPr>
          <w:rFonts w:hint="eastAsia" w:ascii="黑体" w:hAnsi="黑体" w:eastAsia="黑体" w:cs="黑体"/>
          <w:szCs w:val="21"/>
        </w:rPr>
        <w:t>3、高温</w:t>
      </w:r>
    </w:p>
    <w:p w14:paraId="02634C34">
      <w:pPr>
        <w:spacing w:line="300" w:lineRule="auto"/>
        <w:ind w:firstLine="420" w:firstLineChars="200"/>
        <w:contextualSpacing/>
        <w:rPr>
          <w:rFonts w:hint="eastAsia" w:ascii="黑体" w:hAnsi="黑体" w:eastAsia="黑体" w:cs="黑体"/>
          <w:szCs w:val="21"/>
        </w:rPr>
      </w:pPr>
      <w:r>
        <w:rPr>
          <w:rFonts w:hint="eastAsia" w:ascii="黑体" w:hAnsi="黑体" w:eastAsia="黑体" w:cs="黑体"/>
          <w:szCs w:val="21"/>
        </w:rPr>
        <w:t>（1）健康危害：对人体体温调节、水盐代谢等生理功能产生影响的同时，还可导致中暑性疾病，如热射病、热痉挛、热衰竭。</w:t>
      </w:r>
    </w:p>
    <w:p w14:paraId="01A0F7D6">
      <w:pPr>
        <w:spacing w:line="300" w:lineRule="auto"/>
        <w:ind w:firstLine="420" w:firstLineChars="200"/>
        <w:contextualSpacing/>
        <w:rPr>
          <w:rFonts w:hint="eastAsia" w:ascii="黑体" w:hAnsi="黑体" w:eastAsia="黑体" w:cs="黑体"/>
          <w:szCs w:val="21"/>
        </w:rPr>
      </w:pPr>
      <w:r>
        <w:rPr>
          <w:rFonts w:hint="eastAsia" w:ascii="黑体" w:hAnsi="黑体" w:eastAsia="黑体" w:cs="黑体"/>
          <w:szCs w:val="21"/>
        </w:rPr>
        <w:t>（2）理化特征：热辐射。</w:t>
      </w:r>
    </w:p>
    <w:p w14:paraId="566ABE58">
      <w:pPr>
        <w:spacing w:line="300" w:lineRule="auto"/>
        <w:ind w:firstLine="420" w:firstLineChars="200"/>
        <w:contextualSpacing/>
        <w:rPr>
          <w:rFonts w:hint="eastAsia" w:ascii="黑体" w:hAnsi="黑体" w:eastAsia="黑体" w:cs="黑体"/>
          <w:szCs w:val="21"/>
        </w:rPr>
      </w:pPr>
      <w:r>
        <w:rPr>
          <w:rFonts w:hint="eastAsia" w:ascii="黑体" w:hAnsi="黑体" w:eastAsia="黑体" w:cs="黑体"/>
          <w:szCs w:val="21"/>
        </w:rPr>
        <w:t>（3）应急处理：将患者移至阴凉、通风处，同时垫高头部、解开衣服，用毛巾或冰块敷头部、腋窝等处，并及时送医院。</w:t>
      </w:r>
    </w:p>
    <w:p w14:paraId="4079319F">
      <w:pPr>
        <w:spacing w:line="300" w:lineRule="auto"/>
        <w:ind w:firstLine="420" w:firstLineChars="200"/>
        <w:contextualSpacing/>
        <w:rPr>
          <w:rFonts w:hint="eastAsia" w:ascii="黑体" w:hAnsi="黑体" w:eastAsia="黑体" w:cs="黑体"/>
          <w:szCs w:val="21"/>
        </w:rPr>
      </w:pPr>
      <w:r>
        <w:rPr>
          <w:rFonts w:hint="eastAsia" w:ascii="黑体" w:hAnsi="黑体" w:eastAsia="黑体" w:cs="黑体"/>
          <w:szCs w:val="21"/>
        </w:rPr>
        <w:t>（4）注意防护：隔热、通风；个人防护、卫生保健和健康监护；合理的劳动休息。</w:t>
      </w:r>
    </w:p>
    <w:p w14:paraId="41E2E3D8">
      <w:pPr>
        <w:spacing w:line="300" w:lineRule="auto"/>
        <w:ind w:firstLine="420" w:firstLineChars="200"/>
        <w:contextualSpacing/>
        <w:rPr>
          <w:rFonts w:hint="eastAsia" w:ascii="黑体" w:hAnsi="黑体" w:eastAsia="黑体" w:cs="黑体"/>
          <w:szCs w:val="21"/>
        </w:rPr>
      </w:pPr>
      <w:r>
        <w:rPr>
          <w:rFonts w:hint="eastAsia" w:ascii="黑体" w:hAnsi="黑体" w:eastAsia="黑体" w:cs="黑体"/>
          <w:szCs w:val="21"/>
        </w:rPr>
        <w:t>（5）图标标识：注意高温穿防护服注意通风</w:t>
      </w:r>
    </w:p>
    <w:p w14:paraId="4EBDB494">
      <w:pPr>
        <w:spacing w:line="300" w:lineRule="auto"/>
        <w:ind w:firstLine="420" w:firstLineChars="200"/>
        <w:contextualSpacing/>
        <w:rPr>
          <w:rFonts w:hint="eastAsia" w:ascii="黑体" w:hAnsi="黑体" w:eastAsia="黑体" w:cs="黑体"/>
          <w:szCs w:val="21"/>
        </w:rPr>
      </w:pPr>
      <w:r>
        <w:rPr>
          <w:rFonts w:hint="eastAsia" w:ascii="黑体" w:hAnsi="黑体" w:eastAsia="黑体" w:cs="黑体"/>
          <w:szCs w:val="21"/>
        </w:rPr>
        <w:t>4、硫酸</w:t>
      </w:r>
    </w:p>
    <w:p w14:paraId="7457E55C">
      <w:pPr>
        <w:spacing w:line="300" w:lineRule="auto"/>
        <w:ind w:firstLine="420" w:firstLineChars="200"/>
        <w:contextualSpacing/>
        <w:rPr>
          <w:rFonts w:hint="eastAsia" w:ascii="黑体" w:hAnsi="黑体" w:eastAsia="黑体" w:cs="黑体"/>
          <w:szCs w:val="21"/>
        </w:rPr>
      </w:pPr>
      <w:r>
        <w:rPr>
          <w:rFonts w:hint="eastAsia" w:ascii="黑体" w:hAnsi="黑体" w:eastAsia="黑体" w:cs="黑体"/>
          <w:szCs w:val="21"/>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4300941F">
      <w:pPr>
        <w:spacing w:line="300" w:lineRule="auto"/>
        <w:ind w:firstLine="420" w:firstLineChars="200"/>
        <w:contextualSpacing/>
        <w:rPr>
          <w:rFonts w:hint="eastAsia" w:ascii="黑体" w:hAnsi="黑体" w:eastAsia="黑体" w:cs="黑体"/>
          <w:szCs w:val="21"/>
        </w:rPr>
      </w:pPr>
      <w:r>
        <w:rPr>
          <w:rFonts w:hint="eastAsia" w:ascii="黑体" w:hAnsi="黑体" w:eastAsia="黑体" w:cs="黑体"/>
          <w:szCs w:val="21"/>
        </w:rPr>
        <w:t>（2）理化特征：腐蚀性，易溶于水，易挥发，强氧化性。</w:t>
      </w:r>
    </w:p>
    <w:p w14:paraId="39EA133F">
      <w:pPr>
        <w:spacing w:line="300" w:lineRule="auto"/>
        <w:ind w:firstLine="420" w:firstLineChars="200"/>
        <w:contextualSpacing/>
        <w:rPr>
          <w:rFonts w:hint="eastAsia" w:ascii="黑体" w:hAnsi="黑体" w:eastAsia="黑体" w:cs="黑体"/>
          <w:szCs w:val="21"/>
        </w:rPr>
      </w:pPr>
      <w:r>
        <w:rPr>
          <w:rFonts w:hint="eastAsia" w:ascii="黑体" w:hAnsi="黑体" w:eastAsia="黑体" w:cs="黑体"/>
          <w:szCs w:val="21"/>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E56D4C">
      <w:pPr>
        <w:spacing w:line="300" w:lineRule="auto"/>
        <w:ind w:firstLine="420" w:firstLineChars="200"/>
        <w:contextualSpacing/>
        <w:rPr>
          <w:rFonts w:hint="eastAsia" w:ascii="黑体" w:hAnsi="黑体" w:eastAsia="黑体" w:cs="黑体"/>
          <w:szCs w:val="21"/>
        </w:rPr>
      </w:pPr>
      <w:r>
        <w:rPr>
          <w:rFonts w:hint="eastAsia" w:ascii="黑体" w:hAnsi="黑体" w:eastAsia="黑体" w:cs="黑体"/>
          <w:szCs w:val="21"/>
        </w:rPr>
        <w:t>（4）注意防护：严格佩戴防护用品。</w:t>
      </w:r>
    </w:p>
    <w:p w14:paraId="23AC897A">
      <w:pPr>
        <w:spacing w:line="300" w:lineRule="auto"/>
        <w:ind w:firstLine="420" w:firstLineChars="200"/>
        <w:contextualSpacing/>
        <w:rPr>
          <w:rFonts w:hint="eastAsia" w:ascii="黑体" w:hAnsi="黑体" w:eastAsia="黑体" w:cs="黑体"/>
          <w:szCs w:val="21"/>
        </w:rPr>
      </w:pPr>
      <w:r>
        <w:rPr>
          <w:rFonts w:hint="eastAsia" w:ascii="黑体" w:hAnsi="黑体" w:eastAsia="黑体" w:cs="黑体"/>
          <w:szCs w:val="21"/>
        </w:rPr>
        <w:t>（5）图标标识：当心腐蚀穿防护服戴防护手套戴防毒面具戴防护镜。</w:t>
      </w:r>
    </w:p>
    <w:p w14:paraId="19727271">
      <w:pPr>
        <w:spacing w:line="300" w:lineRule="auto"/>
        <w:ind w:firstLine="420" w:firstLineChars="200"/>
        <w:contextualSpacing/>
        <w:rPr>
          <w:rFonts w:hint="eastAsia" w:ascii="黑体" w:hAnsi="黑体" w:eastAsia="黑体" w:cs="黑体"/>
          <w:szCs w:val="21"/>
        </w:rPr>
      </w:pPr>
      <w:r>
        <w:rPr>
          <w:rFonts w:hint="eastAsia" w:ascii="黑体" w:hAnsi="黑体" w:eastAsia="黑体" w:cs="黑体"/>
          <w:szCs w:val="21"/>
        </w:rPr>
        <w:t>5、液碱</w:t>
      </w:r>
    </w:p>
    <w:p w14:paraId="0DC11822">
      <w:pPr>
        <w:spacing w:line="300" w:lineRule="auto"/>
        <w:ind w:firstLine="420" w:firstLineChars="200"/>
        <w:contextualSpacing/>
        <w:rPr>
          <w:rFonts w:hint="eastAsia" w:ascii="黑体" w:hAnsi="黑体" w:eastAsia="黑体" w:cs="黑体"/>
          <w:szCs w:val="21"/>
        </w:rPr>
      </w:pPr>
      <w:r>
        <w:rPr>
          <w:rFonts w:hint="eastAsia" w:ascii="黑体" w:hAnsi="黑体" w:eastAsia="黑体" w:cs="黑体"/>
          <w:szCs w:val="21"/>
        </w:rPr>
        <w:t>（1）健康危害：摄取对消化系统造成严重的和永久的损伤，粘膜糜烂、出血、休克；吸入刺激呼吸道，腐蚀鼻中隔；对皮肤可引起灼伤直至严重溃疡的症状；对眼睛可引起烧伤甚至损害角膜或结膜。</w:t>
      </w:r>
    </w:p>
    <w:p w14:paraId="439DE98D">
      <w:pPr>
        <w:spacing w:line="300" w:lineRule="auto"/>
        <w:ind w:firstLine="420" w:firstLineChars="200"/>
        <w:contextualSpacing/>
        <w:rPr>
          <w:rFonts w:hint="eastAsia" w:ascii="黑体" w:hAnsi="黑体" w:eastAsia="黑体" w:cs="黑体"/>
          <w:szCs w:val="21"/>
        </w:rPr>
      </w:pPr>
      <w:r>
        <w:rPr>
          <w:rFonts w:hint="eastAsia" w:ascii="黑体" w:hAnsi="黑体" w:eastAsia="黑体" w:cs="黑体"/>
          <w:szCs w:val="21"/>
        </w:rPr>
        <w:t>（2）理化特征：腐蚀性强、易溶于水、不易挥发。</w:t>
      </w:r>
    </w:p>
    <w:p w14:paraId="4F8AB3B7">
      <w:pPr>
        <w:spacing w:line="300" w:lineRule="auto"/>
        <w:ind w:firstLine="420" w:firstLineChars="200"/>
        <w:contextualSpacing/>
        <w:rPr>
          <w:rFonts w:hint="eastAsia" w:ascii="黑体" w:hAnsi="黑体" w:eastAsia="黑体" w:cs="黑体"/>
          <w:szCs w:val="21"/>
        </w:rPr>
      </w:pPr>
      <w:r>
        <w:rPr>
          <w:rFonts w:hint="eastAsia" w:ascii="黑体" w:hAnsi="黑体" w:eastAsia="黑体" w:cs="黑体"/>
          <w:szCs w:val="21"/>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7E6AAC59">
      <w:pPr>
        <w:spacing w:line="300" w:lineRule="auto"/>
        <w:ind w:firstLine="420" w:firstLineChars="200"/>
        <w:contextualSpacing/>
        <w:rPr>
          <w:rFonts w:hint="eastAsia" w:ascii="黑体" w:hAnsi="黑体" w:eastAsia="黑体" w:cs="黑体"/>
          <w:szCs w:val="21"/>
        </w:rPr>
      </w:pPr>
      <w:r>
        <w:rPr>
          <w:rFonts w:hint="eastAsia" w:ascii="黑体" w:hAnsi="黑体" w:eastAsia="黑体" w:cs="黑体"/>
          <w:szCs w:val="21"/>
        </w:rPr>
        <w:t>（4）注意防护：穿防护服、戴防护手套、戴防毒面具、戴防护镜。</w:t>
      </w:r>
    </w:p>
    <w:p w14:paraId="7C580FF6">
      <w:pPr>
        <w:spacing w:line="300" w:lineRule="auto"/>
        <w:ind w:firstLine="420" w:firstLineChars="200"/>
        <w:contextualSpacing/>
        <w:rPr>
          <w:rFonts w:hint="eastAsia" w:ascii="黑体" w:hAnsi="黑体" w:eastAsia="黑体" w:cs="黑体"/>
          <w:szCs w:val="21"/>
        </w:rPr>
      </w:pPr>
      <w:r>
        <w:rPr>
          <w:rFonts w:hint="eastAsia" w:ascii="黑体" w:hAnsi="黑体" w:eastAsia="黑体" w:cs="黑体"/>
          <w:szCs w:val="21"/>
        </w:rPr>
        <w:t>（5）图标：当心腐蚀。</w:t>
      </w:r>
    </w:p>
    <w:p w14:paraId="742EA1E0">
      <w:pPr>
        <w:spacing w:line="300" w:lineRule="auto"/>
        <w:ind w:firstLine="420" w:firstLineChars="200"/>
        <w:contextualSpacing/>
        <w:rPr>
          <w:rFonts w:hint="eastAsia" w:ascii="黑体" w:hAnsi="黑体" w:eastAsia="黑体" w:cs="黑体"/>
          <w:szCs w:val="21"/>
        </w:rPr>
      </w:pPr>
      <w:r>
        <w:rPr>
          <w:rFonts w:hint="eastAsia" w:ascii="黑体" w:hAnsi="黑体" w:eastAsia="黑体" w:cs="黑体"/>
          <w:szCs w:val="21"/>
        </w:rPr>
        <w:t>公司应急电话：0838-8620342      急救电话：120       火警：119</w:t>
      </w:r>
    </w:p>
    <w:p w14:paraId="14129CF7">
      <w:pPr>
        <w:spacing w:line="300" w:lineRule="auto"/>
        <w:ind w:firstLine="420" w:firstLineChars="200"/>
        <w:contextualSpacing/>
        <w:rPr>
          <w:rFonts w:hint="eastAsia" w:ascii="黑体" w:hAnsi="黑体" w:eastAsia="黑体" w:cs="黑体"/>
          <w:szCs w:val="21"/>
        </w:rPr>
      </w:pPr>
      <w:r>
        <w:rPr>
          <w:rFonts w:hint="eastAsia" w:ascii="黑体" w:hAnsi="黑体" w:eastAsia="黑体" w:cs="黑体"/>
          <w:szCs w:val="21"/>
        </w:rPr>
        <w:t>特此告知</w:t>
      </w:r>
    </w:p>
    <w:p w14:paraId="780EFCA0">
      <w:pPr>
        <w:spacing w:line="300" w:lineRule="auto"/>
        <w:ind w:firstLine="420" w:firstLineChars="200"/>
        <w:contextualSpacing/>
        <w:rPr>
          <w:rFonts w:hint="eastAsia" w:ascii="黑体" w:hAnsi="黑体" w:eastAsia="黑体" w:cs="黑体"/>
          <w:szCs w:val="21"/>
        </w:rPr>
      </w:pPr>
    </w:p>
    <w:p w14:paraId="0009B371">
      <w:pPr>
        <w:spacing w:line="300" w:lineRule="auto"/>
        <w:ind w:firstLine="420" w:firstLineChars="200"/>
        <w:contextualSpacing/>
        <w:rPr>
          <w:rFonts w:hint="eastAsia" w:ascii="黑体" w:hAnsi="黑体" w:eastAsia="黑体" w:cs="黑体"/>
          <w:szCs w:val="21"/>
        </w:rPr>
      </w:pPr>
      <w:r>
        <w:rPr>
          <w:rFonts w:hint="eastAsia" w:ascii="黑体" w:hAnsi="黑体" w:eastAsia="黑体" w:cs="黑体"/>
          <w:szCs w:val="21"/>
        </w:rPr>
        <w:t>接收单位：</w:t>
      </w:r>
    </w:p>
    <w:p w14:paraId="03D62559">
      <w:pPr>
        <w:spacing w:line="300" w:lineRule="auto"/>
        <w:ind w:firstLine="5460" w:firstLineChars="2600"/>
        <w:contextualSpacing/>
        <w:rPr>
          <w:rFonts w:hint="eastAsia" w:ascii="黑体" w:hAnsi="黑体" w:eastAsia="黑体" w:cs="黑体"/>
          <w:szCs w:val="21"/>
        </w:rPr>
      </w:pPr>
      <w:r>
        <w:rPr>
          <w:rFonts w:hint="eastAsia" w:ascii="黑体" w:hAnsi="黑体" w:eastAsia="黑体" w:cs="黑体"/>
          <w:szCs w:val="21"/>
        </w:rPr>
        <w:t>被告知人：</w:t>
      </w:r>
    </w:p>
    <w:p w14:paraId="4C384332">
      <w:pPr>
        <w:widowControl/>
        <w:shd w:val="clear" w:color="auto" w:fill="FFFFFF"/>
        <w:tabs>
          <w:tab w:val="left" w:pos="5529"/>
          <w:tab w:val="left" w:pos="5670"/>
          <w:tab w:val="left" w:pos="5812"/>
        </w:tabs>
        <w:spacing w:line="300" w:lineRule="auto"/>
        <w:ind w:firstLine="5460" w:firstLineChars="2600"/>
        <w:contextualSpacing/>
        <w:jc w:val="left"/>
        <w:rPr>
          <w:rFonts w:hint="eastAsia" w:ascii="黑体" w:hAnsi="黑体" w:eastAsia="黑体" w:cs="黑体"/>
          <w:bCs/>
          <w:sz w:val="32"/>
          <w:szCs w:val="32"/>
        </w:rPr>
      </w:pPr>
      <w:r>
        <w:rPr>
          <w:rFonts w:hint="eastAsia" w:ascii="黑体" w:hAnsi="黑体" w:eastAsia="黑体" w:cs="黑体"/>
          <w:szCs w:val="21"/>
        </w:rPr>
        <w:t>年   月   日</w:t>
      </w:r>
    </w:p>
    <w:p w14:paraId="497D4F83">
      <w:pPr>
        <w:spacing w:line="540" w:lineRule="atLeast"/>
        <w:rPr>
          <w:rFonts w:hint="eastAsia" w:ascii="黑体" w:hAnsi="黑体" w:eastAsia="黑体" w:cs="黑体"/>
          <w:bCs/>
          <w:sz w:val="32"/>
          <w:szCs w:val="32"/>
        </w:rPr>
      </w:pPr>
    </w:p>
    <w:p w14:paraId="43EDB183">
      <w:pPr>
        <w:pStyle w:val="9"/>
        <w:rPr>
          <w:rFonts w:hint="eastAsia" w:ascii="黑体" w:hAnsi="黑体" w:eastAsia="黑体" w:cs="黑体"/>
          <w:sz w:val="36"/>
          <w:szCs w:val="36"/>
        </w:rPr>
      </w:pPr>
      <w:r>
        <w:rPr>
          <w:rFonts w:hint="eastAsia" w:ascii="黑体" w:hAnsi="黑体" w:eastAsia="黑体" w:cs="黑体"/>
          <w:sz w:val="36"/>
          <w:szCs w:val="36"/>
        </w:rPr>
        <w:t>入厂车辆告知书</w:t>
      </w:r>
    </w:p>
    <w:p w14:paraId="79D182D8">
      <w:pPr>
        <w:rPr>
          <w:rFonts w:hint="eastAsia" w:ascii="黑体" w:hAnsi="黑体" w:eastAsia="黑体" w:cs="黑体"/>
        </w:rPr>
      </w:pPr>
    </w:p>
    <w:p w14:paraId="1391C1F6">
      <w:pPr>
        <w:spacing w:line="540" w:lineRule="atLeast"/>
        <w:rPr>
          <w:rFonts w:hint="eastAsia" w:ascii="黑体" w:hAnsi="黑体" w:eastAsia="黑体" w:cs="黑体"/>
          <w:sz w:val="24"/>
          <w:szCs w:val="24"/>
        </w:rPr>
      </w:pPr>
      <w:r>
        <w:rPr>
          <w:rFonts w:hint="eastAsia" w:ascii="黑体" w:hAnsi="黑体" w:eastAsia="黑体" w:cs="黑体"/>
          <w:sz w:val="30"/>
          <w:szCs w:val="30"/>
        </w:rPr>
        <w:t xml:space="preserve">   </w:t>
      </w:r>
      <w:r>
        <w:rPr>
          <w:rFonts w:hint="eastAsia" w:ascii="黑体" w:hAnsi="黑体" w:eastAsia="黑体" w:cs="黑体"/>
          <w:sz w:val="24"/>
          <w:szCs w:val="24"/>
        </w:rPr>
        <w:t xml:space="preserve"> 为规范车辆文明行驶，确保进出安全有序，特告知如下：</w:t>
      </w:r>
    </w:p>
    <w:p w14:paraId="1FE2FB79">
      <w:pPr>
        <w:spacing w:line="540" w:lineRule="atLeast"/>
        <w:ind w:firstLine="640"/>
        <w:rPr>
          <w:rFonts w:hint="eastAsia" w:ascii="黑体" w:hAnsi="黑体" w:eastAsia="黑体" w:cs="黑体"/>
          <w:sz w:val="24"/>
          <w:szCs w:val="24"/>
        </w:rPr>
      </w:pPr>
      <w:r>
        <w:rPr>
          <w:rFonts w:hint="eastAsia" w:ascii="黑体" w:hAnsi="黑体" w:eastAsia="黑体" w:cs="黑体"/>
          <w:sz w:val="24"/>
          <w:szCs w:val="24"/>
        </w:rPr>
        <w:t>1、来厂车辆到达后，请立即到地磅房门卫处登记信息，领取《来厂车辆告知卡》。</w:t>
      </w:r>
    </w:p>
    <w:p w14:paraId="4DFC6598">
      <w:pPr>
        <w:spacing w:line="540" w:lineRule="atLeast"/>
        <w:ind w:firstLine="640"/>
        <w:rPr>
          <w:rFonts w:hint="eastAsia" w:ascii="黑体" w:hAnsi="黑体" w:eastAsia="黑体" w:cs="黑体"/>
          <w:sz w:val="24"/>
          <w:szCs w:val="24"/>
        </w:rPr>
      </w:pPr>
      <w:r>
        <w:rPr>
          <w:rFonts w:hint="eastAsia" w:ascii="黑体" w:hAnsi="黑体" w:eastAsia="黑体" w:cs="黑体"/>
          <w:sz w:val="24"/>
          <w:szCs w:val="24"/>
        </w:rPr>
        <w:t>2、车辆在厂外等候以及进厂装卸货物过程中，必须遵守公司管理制度，接受现场指挥和装卸调度。加强随车贵重物品保管，做好防止燃油等物品被盗的自我防范。</w:t>
      </w:r>
    </w:p>
    <w:p w14:paraId="6DBAB437">
      <w:pPr>
        <w:spacing w:line="540" w:lineRule="atLeast"/>
        <w:rPr>
          <w:rFonts w:hint="eastAsia" w:ascii="黑体" w:hAnsi="黑体" w:eastAsia="黑体" w:cs="黑体"/>
          <w:sz w:val="24"/>
          <w:szCs w:val="24"/>
        </w:rPr>
      </w:pPr>
      <w:r>
        <w:rPr>
          <w:rFonts w:hint="eastAsia" w:ascii="黑体" w:hAnsi="黑体" w:eastAsia="黑体" w:cs="黑体"/>
          <w:sz w:val="24"/>
          <w:szCs w:val="24"/>
        </w:rPr>
        <w:t xml:space="preserve">    3、车辆在厂外等候进厂期间，应按先后秩序自觉将车停在路边排队；不得在路边抛撒物料或者丢弃垃圾；严禁在路边随地大小便；不得有影响周边居民生活和休息的行为。违者每次处罚100元。</w:t>
      </w:r>
    </w:p>
    <w:p w14:paraId="22B4E8A9">
      <w:pPr>
        <w:spacing w:line="540" w:lineRule="atLeast"/>
        <w:rPr>
          <w:rFonts w:hint="eastAsia" w:ascii="黑体" w:hAnsi="黑体" w:eastAsia="黑体" w:cs="黑体"/>
          <w:sz w:val="24"/>
          <w:szCs w:val="24"/>
        </w:rPr>
      </w:pPr>
      <w:r>
        <w:rPr>
          <w:rFonts w:hint="eastAsia" w:ascii="黑体" w:hAnsi="黑体" w:eastAsia="黑体" w:cs="黑体"/>
          <w:sz w:val="24"/>
          <w:szCs w:val="24"/>
        </w:rPr>
        <w:t xml:space="preserve">    4、原燃料货车进厂前，必须将水箱中的水放完后才能进厂过磅；出厂后可以在公司准备的临时加水点加水。</w:t>
      </w:r>
    </w:p>
    <w:p w14:paraId="33E4A491">
      <w:pPr>
        <w:spacing w:line="540" w:lineRule="atLeast"/>
        <w:rPr>
          <w:rFonts w:hint="eastAsia" w:ascii="黑体" w:hAnsi="黑体" w:eastAsia="黑体" w:cs="黑体"/>
          <w:sz w:val="24"/>
          <w:szCs w:val="24"/>
        </w:rPr>
      </w:pPr>
      <w:r>
        <w:rPr>
          <w:rFonts w:hint="eastAsia" w:ascii="黑体" w:hAnsi="黑体" w:eastAsia="黑体" w:cs="黑体"/>
          <w:sz w:val="24"/>
          <w:szCs w:val="24"/>
        </w:rPr>
        <w:t xml:space="preserve">    5、车辆在厂区内行驶，必须严格遵守交通标志，不得乱停乱放。厂内车辆限速10公里，违者每次处罚200元。</w:t>
      </w:r>
    </w:p>
    <w:p w14:paraId="04FB9C48">
      <w:pPr>
        <w:spacing w:line="540" w:lineRule="atLeast"/>
        <w:rPr>
          <w:rFonts w:hint="eastAsia" w:ascii="黑体" w:hAnsi="黑体" w:eastAsia="黑体" w:cs="黑体"/>
          <w:sz w:val="24"/>
          <w:szCs w:val="24"/>
        </w:rPr>
      </w:pPr>
      <w:r>
        <w:rPr>
          <w:rFonts w:hint="eastAsia" w:ascii="黑体" w:hAnsi="黑体" w:eastAsia="黑体" w:cs="黑体"/>
          <w:sz w:val="24"/>
          <w:szCs w:val="24"/>
        </w:rPr>
        <w:t xml:space="preserve">    6、车辆只能由驾驶员一人驾车进厂过磅；过磅后不得有放水或其它影响载货重量的行为，违者加重扣除货物重量，并处罚500元。</w:t>
      </w:r>
    </w:p>
    <w:p w14:paraId="1CCE98D2">
      <w:pPr>
        <w:spacing w:line="540" w:lineRule="atLeast"/>
        <w:rPr>
          <w:rFonts w:hint="eastAsia" w:ascii="黑体" w:hAnsi="黑体" w:eastAsia="黑体" w:cs="黑体"/>
          <w:sz w:val="24"/>
          <w:szCs w:val="24"/>
        </w:rPr>
      </w:pPr>
      <w:r>
        <w:rPr>
          <w:rFonts w:hint="eastAsia" w:ascii="黑体" w:hAnsi="黑体" w:eastAsia="黑体" w:cs="黑体"/>
          <w:sz w:val="24"/>
          <w:szCs w:val="24"/>
        </w:rPr>
        <w:t xml:space="preserve">    7、车辆在厂区损坏基础设施或其他财产，应当照价赔偿，否则不予放行。</w:t>
      </w:r>
    </w:p>
    <w:p w14:paraId="0D966FA9">
      <w:pPr>
        <w:numPr>
          <w:ilvl w:val="0"/>
          <w:numId w:val="2"/>
        </w:numPr>
        <w:spacing w:line="540" w:lineRule="atLeast"/>
        <w:ind w:firstLine="640"/>
        <w:rPr>
          <w:rFonts w:hint="eastAsia" w:ascii="黑体" w:hAnsi="黑体" w:eastAsia="黑体" w:cs="黑体"/>
          <w:sz w:val="24"/>
          <w:szCs w:val="24"/>
        </w:rPr>
      </w:pPr>
      <w:r>
        <w:rPr>
          <w:rFonts w:hint="eastAsia" w:ascii="黑体" w:hAnsi="黑体" w:eastAsia="黑体" w:cs="黑体"/>
          <w:sz w:val="24"/>
          <w:szCs w:val="24"/>
        </w:rPr>
        <w:t>车辆出厂应接受门卫检查，拒绝检查者不予放行。</w:t>
      </w:r>
    </w:p>
    <w:p w14:paraId="58327FFD">
      <w:pPr>
        <w:widowControl/>
        <w:shd w:val="clear" w:color="auto" w:fill="FFFFFF"/>
        <w:tabs>
          <w:tab w:val="left" w:pos="5529"/>
          <w:tab w:val="left" w:pos="5670"/>
          <w:tab w:val="left" w:pos="5812"/>
        </w:tabs>
        <w:spacing w:line="360" w:lineRule="auto"/>
        <w:jc w:val="left"/>
        <w:rPr>
          <w:rFonts w:hint="eastAsia" w:ascii="黑体" w:hAnsi="黑体" w:eastAsia="黑体" w:cs="黑体"/>
          <w:sz w:val="24"/>
          <w:szCs w:val="24"/>
        </w:rPr>
      </w:pPr>
      <w:r>
        <w:rPr>
          <w:rFonts w:hint="eastAsia" w:ascii="黑体" w:hAnsi="黑体" w:eastAsia="黑体" w:cs="黑体"/>
          <w:sz w:val="24"/>
          <w:szCs w:val="24"/>
        </w:rPr>
        <w:t xml:space="preserve">                                              四川宏达股份有限公司</w:t>
      </w:r>
    </w:p>
    <w:p w14:paraId="5FB05597">
      <w:pPr>
        <w:rPr>
          <w:rFonts w:hint="eastAsia" w:ascii="黑体" w:hAnsi="黑体" w:eastAsia="黑体" w:cs="黑体"/>
        </w:rPr>
      </w:pPr>
    </w:p>
    <w:p w14:paraId="4A5AA18F">
      <w:pPr>
        <w:pStyle w:val="17"/>
        <w:spacing w:before="120" w:line="500" w:lineRule="exact"/>
        <w:ind w:left="3535" w:leftChars="1597" w:hanging="181" w:hangingChars="50"/>
        <w:jc w:val="both"/>
        <w:rPr>
          <w:rFonts w:hint="eastAsia" w:ascii="黑体" w:hAnsi="黑体" w:eastAsia="黑体" w:cs="黑体"/>
          <w:b/>
          <w:bCs/>
          <w:color w:val="000000" w:themeColor="text1"/>
          <w:sz w:val="36"/>
          <w:szCs w:val="36"/>
          <w14:textFill>
            <w14:solidFill>
              <w14:schemeClr w14:val="tx1"/>
            </w14:solidFill>
          </w14:textFill>
        </w:rPr>
      </w:pPr>
    </w:p>
    <w:p w14:paraId="0864C043">
      <w:pPr>
        <w:pStyle w:val="17"/>
        <w:spacing w:before="120" w:line="500" w:lineRule="exact"/>
        <w:ind w:left="3535" w:leftChars="1597" w:hanging="181" w:hangingChars="50"/>
        <w:jc w:val="both"/>
        <w:rPr>
          <w:rFonts w:hint="eastAsia" w:ascii="黑体" w:hAnsi="黑体" w:eastAsia="黑体" w:cs="黑体"/>
          <w:b/>
          <w:bCs/>
          <w:color w:val="000000" w:themeColor="text1"/>
          <w:sz w:val="36"/>
          <w:szCs w:val="36"/>
          <w14:textFill>
            <w14:solidFill>
              <w14:schemeClr w14:val="tx1"/>
            </w14:solidFill>
          </w14:textFill>
        </w:rPr>
      </w:pPr>
    </w:p>
    <w:p w14:paraId="56312611">
      <w:pPr>
        <w:kinsoku/>
        <w:jc w:val="center"/>
        <w:rPr>
          <w:rFonts w:hint="eastAsia" w:ascii="黑体" w:hAnsi="黑体" w:eastAsia="黑体" w:cs="黑体"/>
          <w:color w:val="auto"/>
          <w:sz w:val="44"/>
          <w:szCs w:val="44"/>
          <w:lang w:eastAsia="zh-CN"/>
        </w:rPr>
      </w:pPr>
    </w:p>
    <w:p w14:paraId="24EDD749">
      <w:pPr>
        <w:kinsoku/>
        <w:jc w:val="center"/>
        <w:rPr>
          <w:rFonts w:hint="eastAsia" w:ascii="黑体" w:hAnsi="黑体" w:eastAsia="黑体" w:cs="黑体"/>
          <w:color w:val="auto"/>
          <w:sz w:val="44"/>
          <w:szCs w:val="44"/>
          <w:lang w:eastAsia="zh-CN"/>
        </w:rPr>
      </w:pPr>
    </w:p>
    <w:p w14:paraId="19FE0D47">
      <w:pPr>
        <w:kinsoku/>
        <w:jc w:val="center"/>
        <w:rPr>
          <w:rFonts w:hint="eastAsia" w:ascii="黑体" w:hAnsi="黑体" w:eastAsia="黑体" w:cs="黑体"/>
          <w:color w:val="auto"/>
          <w:sz w:val="44"/>
          <w:szCs w:val="44"/>
          <w:lang w:eastAsia="zh-CN"/>
        </w:rPr>
      </w:pPr>
    </w:p>
    <w:p w14:paraId="2BB31BAB">
      <w:pPr>
        <w:kinsoku/>
        <w:jc w:val="center"/>
        <w:rPr>
          <w:rFonts w:hint="eastAsia" w:ascii="黑体" w:hAnsi="黑体" w:eastAsia="黑体" w:cs="黑体"/>
          <w:color w:val="auto"/>
          <w:sz w:val="44"/>
          <w:szCs w:val="44"/>
          <w:lang w:eastAsia="zh-CN"/>
        </w:rPr>
      </w:pPr>
    </w:p>
    <w:p w14:paraId="1DF48C03">
      <w:pPr>
        <w:kinsoku/>
        <w:jc w:val="center"/>
        <w:rPr>
          <w:rFonts w:hint="eastAsia" w:ascii="黑体" w:hAnsi="黑体" w:eastAsia="黑体" w:cs="黑体"/>
          <w:color w:val="auto"/>
          <w:sz w:val="44"/>
          <w:szCs w:val="44"/>
          <w:lang w:eastAsia="zh-CN"/>
        </w:rPr>
      </w:pPr>
    </w:p>
    <w:p w14:paraId="65C806B8">
      <w:pPr>
        <w:kinsoku/>
        <w:jc w:val="center"/>
        <w:rPr>
          <w:rFonts w:hint="eastAsia" w:ascii="黑体" w:hAnsi="黑体" w:eastAsia="黑体" w:cs="黑体"/>
          <w:color w:val="auto"/>
          <w:sz w:val="44"/>
          <w:szCs w:val="44"/>
          <w:lang w:eastAsia="zh-CN"/>
        </w:rPr>
      </w:pPr>
    </w:p>
    <w:p w14:paraId="335ADE66">
      <w:pPr>
        <w:kinsoku/>
        <w:jc w:val="center"/>
        <w:rPr>
          <w:rFonts w:hint="eastAsia" w:ascii="黑体" w:hAnsi="黑体" w:eastAsia="黑体" w:cs="黑体"/>
          <w:color w:val="auto"/>
          <w:sz w:val="44"/>
          <w:szCs w:val="44"/>
          <w:lang w:eastAsia="zh-CN"/>
        </w:rPr>
      </w:pPr>
    </w:p>
    <w:p w14:paraId="090BCB3D">
      <w:pPr>
        <w:kinsoku/>
        <w:jc w:val="center"/>
        <w:rPr>
          <w:rFonts w:hint="eastAsia" w:ascii="黑体" w:hAnsi="黑体" w:eastAsia="黑体" w:cs="黑体"/>
          <w:color w:val="auto"/>
          <w:sz w:val="44"/>
          <w:szCs w:val="44"/>
          <w:lang w:eastAsia="zh-CN"/>
        </w:rPr>
      </w:pPr>
    </w:p>
    <w:p w14:paraId="769B9181">
      <w:pPr>
        <w:kinsoku/>
        <w:jc w:val="center"/>
        <w:rPr>
          <w:rFonts w:hint="eastAsia" w:ascii="黑体" w:hAnsi="黑体" w:eastAsia="黑体" w:cs="黑体"/>
          <w:color w:val="auto"/>
          <w:sz w:val="44"/>
          <w:szCs w:val="44"/>
          <w:lang w:eastAsia="zh-CN"/>
        </w:rPr>
      </w:pPr>
    </w:p>
    <w:p w14:paraId="5650026C">
      <w:pPr>
        <w:kinsoku/>
        <w:jc w:val="center"/>
        <w:rPr>
          <w:rFonts w:hint="eastAsia" w:ascii="黑体" w:hAnsi="黑体" w:eastAsia="黑体" w:cs="黑体"/>
          <w:color w:val="auto"/>
          <w:sz w:val="44"/>
          <w:szCs w:val="44"/>
          <w:lang w:eastAsia="zh-CN"/>
        </w:rPr>
      </w:pPr>
    </w:p>
    <w:p w14:paraId="35D0343D">
      <w:pPr>
        <w:kinsoku/>
        <w:jc w:val="center"/>
        <w:rPr>
          <w:rFonts w:hint="eastAsia" w:ascii="黑体" w:hAnsi="黑体" w:eastAsia="黑体" w:cs="黑体"/>
          <w:color w:val="auto"/>
          <w:sz w:val="44"/>
          <w:szCs w:val="44"/>
          <w:lang w:eastAsia="zh-CN"/>
        </w:rPr>
      </w:pPr>
    </w:p>
    <w:p w14:paraId="2BF9E798">
      <w:pPr>
        <w:kinsoku/>
        <w:jc w:val="center"/>
        <w:rPr>
          <w:rFonts w:hint="eastAsia" w:ascii="黑体" w:hAnsi="黑体" w:eastAsia="黑体" w:cs="黑体"/>
          <w:color w:val="auto"/>
          <w:sz w:val="44"/>
          <w:szCs w:val="44"/>
          <w:lang w:eastAsia="zh-CN"/>
        </w:rPr>
      </w:pPr>
    </w:p>
    <w:p w14:paraId="1D5E0DD4">
      <w:pPr>
        <w:kinsoku/>
        <w:jc w:val="center"/>
        <w:rPr>
          <w:rFonts w:hint="eastAsia" w:ascii="黑体" w:hAnsi="黑体" w:eastAsia="黑体" w:cs="黑体"/>
          <w:color w:val="auto"/>
          <w:sz w:val="44"/>
          <w:szCs w:val="44"/>
          <w:lang w:eastAsia="zh-CN"/>
        </w:rPr>
      </w:pPr>
    </w:p>
    <w:p w14:paraId="097F35B7">
      <w:pPr>
        <w:kinsoku/>
        <w:jc w:val="center"/>
        <w:rPr>
          <w:rFonts w:hint="eastAsia" w:ascii="黑体" w:hAnsi="黑体" w:eastAsia="黑体" w:cs="黑体"/>
          <w:color w:val="auto"/>
          <w:sz w:val="44"/>
          <w:szCs w:val="44"/>
          <w:lang w:eastAsia="zh-CN"/>
        </w:rPr>
      </w:pPr>
      <w:r>
        <w:rPr>
          <w:rFonts w:hint="eastAsia" w:ascii="黑体" w:hAnsi="黑体" w:eastAsia="黑体" w:cs="黑体"/>
          <w:color w:val="auto"/>
          <w:sz w:val="44"/>
          <w:szCs w:val="44"/>
          <w:lang w:eastAsia="zh-CN"/>
        </w:rPr>
        <w:t>第三章</w:t>
      </w:r>
    </w:p>
    <w:p w14:paraId="33C92E01">
      <w:pPr>
        <w:kinsoku/>
        <w:spacing w:line="700" w:lineRule="exact"/>
        <w:ind w:firstLine="643" w:firstLineChars="200"/>
        <w:jc w:val="center"/>
        <w:rPr>
          <w:rFonts w:hint="eastAsia" w:ascii="黑体" w:hAnsi="黑体" w:eastAsia="黑体" w:cs="黑体"/>
          <w:b/>
          <w:bCs/>
          <w:color w:val="auto"/>
          <w:sz w:val="32"/>
          <w:szCs w:val="32"/>
          <w:lang w:eastAsia="zh-CN"/>
        </w:rPr>
      </w:pPr>
    </w:p>
    <w:p w14:paraId="7FDE8922">
      <w:pPr>
        <w:kinsoku/>
        <w:spacing w:line="700" w:lineRule="exact"/>
        <w:jc w:val="center"/>
        <w:rPr>
          <w:rFonts w:hint="eastAsia" w:ascii="黑体" w:hAnsi="黑体" w:eastAsia="黑体" w:cs="黑体"/>
          <w:b/>
          <w:color w:val="auto"/>
          <w:sz w:val="32"/>
          <w:szCs w:val="32"/>
          <w:lang w:eastAsia="zh-CN"/>
        </w:rPr>
      </w:pPr>
      <w:r>
        <w:rPr>
          <w:rFonts w:hint="eastAsia" w:ascii="黑体" w:hAnsi="黑体" w:eastAsia="黑体" w:cs="黑体"/>
          <w:b/>
          <w:bCs/>
          <w:color w:val="auto"/>
          <w:sz w:val="32"/>
          <w:szCs w:val="32"/>
          <w:lang w:val="en-US" w:eastAsia="zh-CN"/>
        </w:rPr>
        <w:t>工业硫酸运输</w:t>
      </w:r>
      <w:r>
        <w:rPr>
          <w:rFonts w:hint="eastAsia" w:ascii="黑体" w:hAnsi="黑体" w:eastAsia="黑体" w:cs="黑体"/>
          <w:b/>
          <w:color w:val="auto"/>
          <w:sz w:val="32"/>
          <w:szCs w:val="32"/>
          <w:lang w:eastAsia="zh-CN"/>
        </w:rPr>
        <w:t>响应性文件</w:t>
      </w:r>
    </w:p>
    <w:p w14:paraId="6D132808">
      <w:pPr>
        <w:kinsoku/>
        <w:spacing w:line="700" w:lineRule="exact"/>
        <w:ind w:firstLine="1440" w:firstLineChars="400"/>
        <w:jc w:val="center"/>
        <w:rPr>
          <w:rFonts w:hint="eastAsia" w:ascii="黑体" w:hAnsi="黑体" w:eastAsia="黑体" w:cs="黑体"/>
          <w:color w:val="auto"/>
          <w:sz w:val="36"/>
          <w:szCs w:val="36"/>
          <w:lang w:eastAsia="zh-CN"/>
        </w:rPr>
      </w:pPr>
    </w:p>
    <w:p w14:paraId="1DEFAD9E">
      <w:pPr>
        <w:kinsoku/>
        <w:spacing w:line="440" w:lineRule="exact"/>
        <w:ind w:firstLine="1440" w:firstLineChars="400"/>
        <w:rPr>
          <w:rFonts w:hint="eastAsia" w:ascii="黑体" w:hAnsi="黑体" w:eastAsia="黑体" w:cs="黑体"/>
          <w:color w:val="auto"/>
          <w:sz w:val="36"/>
          <w:szCs w:val="36"/>
          <w:lang w:eastAsia="zh-CN"/>
        </w:rPr>
      </w:pPr>
    </w:p>
    <w:p w14:paraId="34239B99">
      <w:pPr>
        <w:kinsoku/>
        <w:spacing w:line="440" w:lineRule="exact"/>
        <w:ind w:firstLine="720" w:firstLineChars="200"/>
        <w:rPr>
          <w:rFonts w:hint="eastAsia" w:ascii="黑体" w:hAnsi="黑体" w:eastAsia="黑体" w:cs="黑体"/>
          <w:color w:val="auto"/>
          <w:sz w:val="36"/>
          <w:szCs w:val="36"/>
          <w:lang w:eastAsia="zh-CN"/>
        </w:rPr>
      </w:pPr>
      <w:r>
        <w:rPr>
          <w:rFonts w:hint="eastAsia" w:ascii="黑体" w:hAnsi="黑体" w:eastAsia="黑体" w:cs="黑体"/>
          <w:color w:val="auto"/>
          <w:sz w:val="36"/>
          <w:szCs w:val="36"/>
          <w:lang w:val="en-US" w:eastAsia="zh-CN"/>
        </w:rPr>
        <w:t>运输单位</w:t>
      </w:r>
      <w:r>
        <w:rPr>
          <w:rFonts w:hint="eastAsia" w:ascii="黑体" w:hAnsi="黑体" w:eastAsia="黑体" w:cs="黑体"/>
          <w:color w:val="auto"/>
          <w:sz w:val="36"/>
          <w:szCs w:val="36"/>
          <w:lang w:eastAsia="zh-CN"/>
        </w:rPr>
        <w:t>名称：（盖单位章）</w:t>
      </w:r>
    </w:p>
    <w:p w14:paraId="6C8EA7BA">
      <w:pPr>
        <w:kinsoku/>
        <w:ind w:firstLine="720" w:firstLineChars="200"/>
        <w:rPr>
          <w:rFonts w:hint="eastAsia" w:ascii="黑体" w:hAnsi="黑体" w:eastAsia="黑体" w:cs="黑体"/>
          <w:color w:val="auto"/>
          <w:sz w:val="36"/>
          <w:szCs w:val="36"/>
          <w:lang w:eastAsia="zh-CN"/>
        </w:rPr>
      </w:pPr>
    </w:p>
    <w:p w14:paraId="20FDE23E">
      <w:pPr>
        <w:kinsoku/>
        <w:ind w:firstLine="1285" w:firstLineChars="400"/>
        <w:rPr>
          <w:rFonts w:hint="eastAsia" w:ascii="黑体" w:hAnsi="黑体" w:eastAsia="黑体" w:cs="黑体"/>
          <w:b/>
          <w:color w:val="auto"/>
          <w:sz w:val="32"/>
          <w:u w:val="single"/>
          <w:lang w:eastAsia="zh-CN"/>
        </w:rPr>
      </w:pPr>
    </w:p>
    <w:p w14:paraId="1BD8107D">
      <w:pPr>
        <w:spacing w:line="360" w:lineRule="exact"/>
        <w:ind w:firstLine="562" w:firstLineChars="200"/>
        <w:rPr>
          <w:rFonts w:hint="eastAsia" w:ascii="黑体" w:hAnsi="黑体" w:eastAsia="黑体" w:cs="黑体"/>
          <w:b/>
          <w:sz w:val="28"/>
          <w:szCs w:val="28"/>
          <w:lang w:eastAsia="zh-CN"/>
        </w:rPr>
      </w:pPr>
      <w:r>
        <w:rPr>
          <w:rFonts w:hint="eastAsia" w:ascii="黑体" w:hAnsi="黑体" w:eastAsia="黑体" w:cs="黑体"/>
          <w:b/>
          <w:sz w:val="28"/>
          <w:szCs w:val="28"/>
          <w:lang w:eastAsia="zh-CN"/>
        </w:rPr>
        <w:t>一：企业营业执照</w:t>
      </w:r>
    </w:p>
    <w:p w14:paraId="7854F2FD">
      <w:pPr>
        <w:spacing w:line="360" w:lineRule="exact"/>
        <w:rPr>
          <w:rFonts w:hint="eastAsia" w:ascii="黑体" w:hAnsi="黑体" w:eastAsia="黑体" w:cs="黑体"/>
          <w:b/>
          <w:sz w:val="28"/>
          <w:szCs w:val="28"/>
          <w:lang w:eastAsia="zh-CN"/>
        </w:rPr>
      </w:pPr>
    </w:p>
    <w:p w14:paraId="20C7B9F7">
      <w:pPr>
        <w:spacing w:line="251" w:lineRule="auto"/>
        <w:rPr>
          <w:rFonts w:hint="eastAsia" w:ascii="黑体" w:hAnsi="黑体" w:eastAsia="黑体" w:cs="黑体"/>
          <w:sz w:val="24"/>
          <w:szCs w:val="24"/>
          <w:lang w:eastAsia="zh-CN"/>
        </w:rPr>
      </w:pPr>
    </w:p>
    <w:p w14:paraId="005A311D">
      <w:pPr>
        <w:spacing w:line="251" w:lineRule="auto"/>
        <w:rPr>
          <w:rFonts w:hint="eastAsia" w:ascii="黑体" w:hAnsi="黑体" w:eastAsia="黑体" w:cs="黑体"/>
          <w:sz w:val="24"/>
          <w:szCs w:val="24"/>
          <w:lang w:eastAsia="zh-CN"/>
        </w:rPr>
      </w:pPr>
    </w:p>
    <w:p w14:paraId="48366E6F">
      <w:pPr>
        <w:spacing w:line="360" w:lineRule="exact"/>
        <w:ind w:firstLine="562" w:firstLineChars="200"/>
        <w:rPr>
          <w:rFonts w:hint="eastAsia" w:ascii="黑体" w:hAnsi="黑体" w:eastAsia="黑体" w:cs="黑体"/>
          <w:b/>
          <w:sz w:val="28"/>
          <w:szCs w:val="28"/>
          <w:lang w:eastAsia="zh-CN"/>
        </w:rPr>
      </w:pPr>
      <w:r>
        <w:rPr>
          <w:rFonts w:hint="eastAsia" w:ascii="黑体" w:hAnsi="黑体" w:eastAsia="黑体" w:cs="黑体"/>
          <w:b/>
          <w:sz w:val="28"/>
          <w:szCs w:val="28"/>
          <w:lang w:eastAsia="zh-CN"/>
        </w:rPr>
        <w:t>二：</w:t>
      </w:r>
      <w:r>
        <w:rPr>
          <w:rFonts w:hint="eastAsia" w:ascii="黑体" w:hAnsi="黑体" w:eastAsia="黑体" w:cs="黑体"/>
          <w:b/>
          <w:sz w:val="28"/>
          <w:szCs w:val="28"/>
          <w:lang w:val="en-US" w:eastAsia="zh-CN"/>
        </w:rPr>
        <w:t>道路运输</w:t>
      </w:r>
      <w:r>
        <w:rPr>
          <w:rFonts w:hint="eastAsia" w:ascii="黑体" w:hAnsi="黑体" w:eastAsia="黑体" w:cs="黑体"/>
          <w:b/>
          <w:sz w:val="28"/>
          <w:szCs w:val="28"/>
          <w:lang w:eastAsia="zh-CN"/>
        </w:rPr>
        <w:t>许可证</w:t>
      </w:r>
    </w:p>
    <w:p w14:paraId="60919506">
      <w:pPr>
        <w:spacing w:line="251" w:lineRule="auto"/>
        <w:rPr>
          <w:rFonts w:hint="eastAsia" w:ascii="黑体" w:hAnsi="黑体" w:eastAsia="黑体" w:cs="黑体"/>
          <w:lang w:eastAsia="zh-CN"/>
        </w:rPr>
      </w:pPr>
    </w:p>
    <w:p w14:paraId="601873A8">
      <w:pPr>
        <w:pStyle w:val="8"/>
        <w:kinsoku/>
        <w:adjustRightInd/>
        <w:spacing w:before="0" w:beforeAutospacing="0" w:after="0" w:afterAutospacing="0" w:line="500" w:lineRule="exact"/>
        <w:textAlignment w:val="auto"/>
        <w:rPr>
          <w:rFonts w:hint="eastAsia" w:ascii="黑体" w:hAnsi="黑体" w:eastAsia="黑体" w:cs="黑体"/>
          <w:b/>
          <w:bCs/>
        </w:rPr>
      </w:pPr>
    </w:p>
    <w:p w14:paraId="0797488D">
      <w:pPr>
        <w:pStyle w:val="8"/>
        <w:kinsoku/>
        <w:adjustRightInd/>
        <w:spacing w:before="0" w:beforeAutospacing="0" w:after="0" w:afterAutospacing="0" w:line="500" w:lineRule="exact"/>
        <w:textAlignment w:val="auto"/>
        <w:rPr>
          <w:rFonts w:hint="eastAsia" w:ascii="黑体" w:hAnsi="黑体" w:eastAsia="黑体" w:cs="黑体"/>
          <w:b/>
          <w:bCs/>
          <w:sz w:val="36"/>
          <w:szCs w:val="36"/>
        </w:rPr>
      </w:pPr>
    </w:p>
    <w:p w14:paraId="0B5C133A">
      <w:pPr>
        <w:pStyle w:val="8"/>
        <w:kinsoku/>
        <w:adjustRightInd/>
        <w:spacing w:before="0" w:beforeAutospacing="0" w:after="0" w:afterAutospacing="0" w:line="500" w:lineRule="exact"/>
        <w:textAlignment w:val="auto"/>
        <w:rPr>
          <w:rFonts w:hint="eastAsia" w:ascii="黑体" w:hAnsi="黑体" w:eastAsia="黑体" w:cs="黑体"/>
          <w:b/>
          <w:bCs/>
          <w:sz w:val="36"/>
          <w:szCs w:val="36"/>
        </w:rPr>
      </w:pPr>
    </w:p>
    <w:p w14:paraId="7F52FCBF">
      <w:pPr>
        <w:pStyle w:val="8"/>
        <w:kinsoku/>
        <w:adjustRightInd/>
        <w:spacing w:before="0" w:beforeAutospacing="0" w:after="0" w:afterAutospacing="0" w:line="500" w:lineRule="exact"/>
        <w:textAlignment w:val="auto"/>
        <w:rPr>
          <w:rFonts w:hint="eastAsia" w:ascii="黑体" w:hAnsi="黑体" w:eastAsia="黑体" w:cs="黑体"/>
          <w:b/>
          <w:bCs/>
          <w:sz w:val="36"/>
          <w:szCs w:val="36"/>
        </w:rPr>
      </w:pPr>
    </w:p>
    <w:p w14:paraId="1B1F7C4F">
      <w:pPr>
        <w:pStyle w:val="8"/>
        <w:kinsoku/>
        <w:adjustRightInd/>
        <w:spacing w:before="0" w:beforeAutospacing="0" w:after="0" w:afterAutospacing="0" w:line="500" w:lineRule="exact"/>
        <w:textAlignment w:val="auto"/>
        <w:rPr>
          <w:rFonts w:hint="eastAsia" w:ascii="黑体" w:hAnsi="黑体" w:eastAsia="黑体" w:cs="黑体"/>
          <w:b/>
          <w:bCs/>
          <w:sz w:val="36"/>
          <w:szCs w:val="36"/>
        </w:rPr>
      </w:pPr>
    </w:p>
    <w:p w14:paraId="02FEC461">
      <w:pPr>
        <w:pStyle w:val="8"/>
        <w:kinsoku/>
        <w:adjustRightInd/>
        <w:spacing w:before="0" w:beforeAutospacing="0" w:after="0" w:afterAutospacing="0" w:line="500" w:lineRule="exact"/>
        <w:textAlignment w:val="auto"/>
        <w:rPr>
          <w:rFonts w:hint="eastAsia" w:ascii="黑体" w:hAnsi="黑体" w:eastAsia="黑体" w:cs="黑体"/>
          <w:b/>
          <w:bCs/>
          <w:sz w:val="36"/>
          <w:szCs w:val="36"/>
        </w:rPr>
      </w:pPr>
    </w:p>
    <w:p w14:paraId="42B7145E">
      <w:pPr>
        <w:pStyle w:val="8"/>
        <w:kinsoku/>
        <w:adjustRightInd/>
        <w:spacing w:before="0" w:beforeAutospacing="0" w:after="0" w:afterAutospacing="0" w:line="500" w:lineRule="exact"/>
        <w:textAlignment w:val="auto"/>
        <w:rPr>
          <w:rFonts w:hint="eastAsia" w:ascii="黑体" w:hAnsi="黑体" w:eastAsia="黑体" w:cs="黑体"/>
          <w:b/>
          <w:bCs/>
          <w:sz w:val="36"/>
          <w:szCs w:val="36"/>
        </w:rPr>
      </w:pPr>
    </w:p>
    <w:p w14:paraId="2DED8875">
      <w:pPr>
        <w:pStyle w:val="8"/>
        <w:kinsoku/>
        <w:adjustRightInd/>
        <w:spacing w:before="0" w:beforeAutospacing="0" w:after="0" w:afterAutospacing="0" w:line="500" w:lineRule="exact"/>
        <w:textAlignment w:val="auto"/>
        <w:rPr>
          <w:rFonts w:hint="eastAsia" w:ascii="黑体" w:hAnsi="黑体" w:eastAsia="黑体" w:cs="黑体"/>
          <w:b/>
          <w:bCs/>
          <w:sz w:val="36"/>
          <w:szCs w:val="36"/>
        </w:rPr>
      </w:pPr>
    </w:p>
    <w:p w14:paraId="49EEB974">
      <w:pPr>
        <w:pStyle w:val="8"/>
        <w:kinsoku/>
        <w:adjustRightInd/>
        <w:spacing w:before="0" w:beforeAutospacing="0" w:after="0" w:afterAutospacing="0" w:line="500" w:lineRule="exact"/>
        <w:textAlignment w:val="auto"/>
        <w:rPr>
          <w:rFonts w:hint="eastAsia" w:ascii="黑体" w:hAnsi="黑体" w:eastAsia="黑体" w:cs="黑体"/>
          <w:b/>
          <w:bCs/>
          <w:sz w:val="36"/>
          <w:szCs w:val="36"/>
        </w:rPr>
      </w:pPr>
    </w:p>
    <w:p w14:paraId="60EB2A26">
      <w:pPr>
        <w:pStyle w:val="8"/>
        <w:kinsoku/>
        <w:adjustRightInd/>
        <w:spacing w:before="0" w:beforeAutospacing="0" w:after="0" w:afterAutospacing="0" w:line="500" w:lineRule="exact"/>
        <w:textAlignment w:val="auto"/>
        <w:rPr>
          <w:rFonts w:hint="eastAsia" w:ascii="黑体" w:hAnsi="黑体" w:eastAsia="黑体" w:cs="黑体"/>
          <w:b/>
          <w:bCs/>
          <w:sz w:val="36"/>
          <w:szCs w:val="36"/>
        </w:rPr>
      </w:pPr>
    </w:p>
    <w:p w14:paraId="44B7BB41">
      <w:pPr>
        <w:pStyle w:val="8"/>
        <w:kinsoku/>
        <w:adjustRightInd/>
        <w:spacing w:before="0" w:beforeAutospacing="0" w:after="0" w:afterAutospacing="0" w:line="500" w:lineRule="exact"/>
        <w:textAlignment w:val="auto"/>
        <w:rPr>
          <w:rFonts w:hint="eastAsia" w:ascii="黑体" w:hAnsi="黑体" w:eastAsia="黑体" w:cs="黑体"/>
          <w:b/>
          <w:bCs/>
          <w:sz w:val="36"/>
          <w:szCs w:val="36"/>
        </w:rPr>
      </w:pPr>
    </w:p>
    <w:p w14:paraId="29076D69">
      <w:pPr>
        <w:pStyle w:val="8"/>
        <w:kinsoku/>
        <w:adjustRightInd/>
        <w:spacing w:before="0" w:beforeAutospacing="0" w:after="0" w:afterAutospacing="0" w:line="500" w:lineRule="exact"/>
        <w:textAlignment w:val="auto"/>
        <w:rPr>
          <w:rFonts w:hint="eastAsia" w:ascii="黑体" w:hAnsi="黑体" w:eastAsia="黑体" w:cs="黑体"/>
          <w:b/>
          <w:bCs/>
          <w:sz w:val="36"/>
          <w:szCs w:val="36"/>
        </w:rPr>
      </w:pPr>
    </w:p>
    <w:p w14:paraId="04F5C46E">
      <w:pPr>
        <w:pStyle w:val="8"/>
        <w:kinsoku/>
        <w:adjustRightInd/>
        <w:spacing w:before="0" w:beforeAutospacing="0" w:after="0" w:afterAutospacing="0" w:line="500" w:lineRule="exact"/>
        <w:textAlignment w:val="auto"/>
        <w:rPr>
          <w:rFonts w:hint="eastAsia" w:ascii="黑体" w:hAnsi="黑体" w:eastAsia="黑体" w:cs="黑体"/>
          <w:b/>
          <w:bCs/>
          <w:sz w:val="36"/>
          <w:szCs w:val="36"/>
        </w:rPr>
      </w:pPr>
    </w:p>
    <w:p w14:paraId="0B967669">
      <w:pPr>
        <w:pStyle w:val="8"/>
        <w:kinsoku/>
        <w:adjustRightInd/>
        <w:spacing w:before="0" w:beforeAutospacing="0" w:after="0" w:afterAutospacing="0" w:line="500" w:lineRule="exact"/>
        <w:textAlignment w:val="auto"/>
        <w:rPr>
          <w:rFonts w:hint="eastAsia" w:ascii="黑体" w:hAnsi="黑体" w:eastAsia="黑体" w:cs="黑体"/>
          <w:b/>
          <w:bCs/>
          <w:sz w:val="28"/>
          <w:szCs w:val="28"/>
        </w:rPr>
      </w:pPr>
    </w:p>
    <w:p w14:paraId="6E40AA8C">
      <w:pPr>
        <w:pStyle w:val="8"/>
        <w:kinsoku/>
        <w:adjustRightInd/>
        <w:spacing w:before="0" w:beforeAutospacing="0" w:after="0" w:afterAutospacing="0" w:line="500" w:lineRule="exact"/>
        <w:textAlignment w:val="auto"/>
        <w:rPr>
          <w:rFonts w:hint="eastAsia" w:ascii="黑体" w:hAnsi="黑体" w:eastAsia="黑体" w:cs="黑体"/>
          <w:b/>
          <w:bCs/>
          <w:sz w:val="28"/>
          <w:szCs w:val="28"/>
        </w:rPr>
      </w:pPr>
      <w:r>
        <w:rPr>
          <w:rFonts w:hint="eastAsia" w:ascii="黑体" w:hAnsi="黑体" w:eastAsia="黑体" w:cs="黑体"/>
          <w:b/>
          <w:bCs/>
          <w:sz w:val="28"/>
          <w:szCs w:val="28"/>
        </w:rPr>
        <w:t>附件1</w:t>
      </w:r>
    </w:p>
    <w:p w14:paraId="557F985C">
      <w:pPr>
        <w:pStyle w:val="17"/>
        <w:spacing w:before="120" w:line="500" w:lineRule="exact"/>
        <w:ind w:left="3535" w:leftChars="1597" w:hanging="181" w:hangingChars="50"/>
        <w:jc w:val="both"/>
        <w:rPr>
          <w:rFonts w:hint="eastAsia" w:ascii="黑体" w:hAnsi="黑体" w:eastAsia="黑体" w:cs="黑体"/>
          <w:b/>
          <w:bCs/>
          <w:color w:val="000000" w:themeColor="text1"/>
          <w:sz w:val="36"/>
          <w:szCs w:val="36"/>
          <w14:textFill>
            <w14:solidFill>
              <w14:schemeClr w14:val="tx1"/>
            </w14:solidFill>
          </w14:textFill>
        </w:rPr>
      </w:pPr>
      <w:r>
        <w:rPr>
          <w:rFonts w:hint="eastAsia" w:ascii="黑体" w:hAnsi="黑体" w:eastAsia="黑体" w:cs="黑体"/>
          <w:b/>
          <w:bCs/>
          <w:color w:val="000000" w:themeColor="text1"/>
          <w:sz w:val="36"/>
          <w:szCs w:val="36"/>
          <w14:textFill>
            <w14:solidFill>
              <w14:schemeClr w14:val="tx1"/>
            </w14:solidFill>
          </w14:textFill>
        </w:rPr>
        <w:t>报  价  单</w:t>
      </w:r>
    </w:p>
    <w:p w14:paraId="55C747D0">
      <w:pPr>
        <w:pStyle w:val="17"/>
        <w:spacing w:before="120" w:line="360" w:lineRule="auto"/>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四川宏达股份有限公司</w:t>
      </w:r>
    </w:p>
    <w:p w14:paraId="4DEC732A">
      <w:pPr>
        <w:pStyle w:val="8"/>
        <w:spacing w:before="0" w:beforeAutospacing="0" w:after="0" w:afterAutospacing="0" w:line="360" w:lineRule="auto"/>
        <w:ind w:firstLine="480" w:firstLineChars="200"/>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我公司已认真审阅贵司工业硫酸运输</w:t>
      </w:r>
      <w:r>
        <w:rPr>
          <w:rFonts w:hint="eastAsia" w:ascii="黑体" w:hAnsi="黑体" w:eastAsia="黑体" w:cs="黑体"/>
          <w:color w:val="000000" w:themeColor="text1"/>
          <w:lang w:eastAsia="zh-CN"/>
          <w14:textFill>
            <w14:solidFill>
              <w14:schemeClr w14:val="tx1"/>
            </w14:solidFill>
          </w14:textFill>
        </w:rPr>
        <w:t>询比</w:t>
      </w:r>
      <w:r>
        <w:rPr>
          <w:rFonts w:hint="eastAsia" w:ascii="黑体" w:hAnsi="黑体" w:eastAsia="黑体" w:cs="黑体"/>
          <w:color w:val="000000" w:themeColor="text1"/>
          <w14:textFill>
            <w14:solidFill>
              <w14:schemeClr w14:val="tx1"/>
            </w14:solidFill>
          </w14:textFill>
        </w:rPr>
        <w:t>文件，全部知悉并承诺严格遵守贵公司询比要求，现对贵司在2025年12月25日至2026年1月31日期间工业硫酸运输服务报价如下:</w:t>
      </w:r>
    </w:p>
    <w:tbl>
      <w:tblPr>
        <w:tblStyle w:val="11"/>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89"/>
        <w:gridCol w:w="4632"/>
        <w:gridCol w:w="1294"/>
        <w:gridCol w:w="1307"/>
      </w:tblGrid>
      <w:tr w14:paraId="7D9F1C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7" w:hRule="atLeast"/>
        </w:trPr>
        <w:tc>
          <w:tcPr>
            <w:tcW w:w="756" w:type="pct"/>
            <w:vAlign w:val="center"/>
          </w:tcPr>
          <w:p w14:paraId="690C8F4D">
            <w:pPr>
              <w:pStyle w:val="17"/>
              <w:keepNext w:val="0"/>
              <w:keepLines w:val="0"/>
              <w:pageBreakBefore w:val="0"/>
              <w:widowControl/>
              <w:kinsoku/>
              <w:wordWrap/>
              <w:overflowPunct/>
              <w:topLinePunct w:val="0"/>
              <w:autoSpaceDE/>
              <w:autoSpaceDN/>
              <w:bidi w:val="0"/>
              <w:adjustRightInd/>
              <w:spacing w:before="120" w:line="500" w:lineRule="exact"/>
              <w:jc w:val="both"/>
              <w:textAlignment w:val="auto"/>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运输物名称</w:t>
            </w:r>
          </w:p>
        </w:tc>
        <w:tc>
          <w:tcPr>
            <w:tcW w:w="2717" w:type="pct"/>
            <w:tcBorders>
              <w:right w:val="single" w:color="auto" w:sz="4" w:space="0"/>
            </w:tcBorders>
            <w:vAlign w:val="center"/>
          </w:tcPr>
          <w:p w14:paraId="6A5C588E">
            <w:pPr>
              <w:pStyle w:val="17"/>
              <w:keepNext w:val="0"/>
              <w:keepLines w:val="0"/>
              <w:pageBreakBefore w:val="0"/>
              <w:widowControl/>
              <w:kinsoku/>
              <w:wordWrap/>
              <w:overflowPunct/>
              <w:topLinePunct w:val="0"/>
              <w:autoSpaceDE/>
              <w:autoSpaceDN/>
              <w:bidi w:val="0"/>
              <w:adjustRightInd/>
              <w:spacing w:before="120" w:line="500" w:lineRule="exact"/>
              <w:jc w:val="center"/>
              <w:textAlignment w:val="auto"/>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始发地及目的地</w:t>
            </w:r>
          </w:p>
        </w:tc>
        <w:tc>
          <w:tcPr>
            <w:tcW w:w="759" w:type="pct"/>
            <w:tcBorders>
              <w:left w:val="single" w:color="auto" w:sz="4" w:space="0"/>
              <w:right w:val="single" w:color="auto" w:sz="4" w:space="0"/>
            </w:tcBorders>
            <w:vAlign w:val="center"/>
          </w:tcPr>
          <w:p w14:paraId="18284706">
            <w:pPr>
              <w:pStyle w:val="17"/>
              <w:keepNext w:val="0"/>
              <w:keepLines w:val="0"/>
              <w:pageBreakBefore w:val="0"/>
              <w:widowControl/>
              <w:kinsoku/>
              <w:wordWrap/>
              <w:overflowPunct/>
              <w:topLinePunct w:val="0"/>
              <w:autoSpaceDE/>
              <w:autoSpaceDN/>
              <w:bidi w:val="0"/>
              <w:adjustRightInd/>
              <w:spacing w:before="120" w:line="500" w:lineRule="exact"/>
              <w:jc w:val="center"/>
              <w:textAlignment w:val="auto"/>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运输距离</w:t>
            </w:r>
          </w:p>
        </w:tc>
        <w:tc>
          <w:tcPr>
            <w:tcW w:w="766" w:type="pct"/>
            <w:tcBorders>
              <w:left w:val="single" w:color="auto" w:sz="4" w:space="0"/>
            </w:tcBorders>
            <w:vAlign w:val="center"/>
          </w:tcPr>
          <w:p w14:paraId="67A6D110">
            <w:pPr>
              <w:pStyle w:val="17"/>
              <w:keepNext w:val="0"/>
              <w:keepLines w:val="0"/>
              <w:pageBreakBefore w:val="0"/>
              <w:widowControl/>
              <w:kinsoku/>
              <w:wordWrap/>
              <w:overflowPunct/>
              <w:topLinePunct w:val="0"/>
              <w:autoSpaceDE/>
              <w:autoSpaceDN/>
              <w:bidi w:val="0"/>
              <w:adjustRightInd/>
              <w:spacing w:before="120" w:line="500" w:lineRule="exact"/>
              <w:jc w:val="center"/>
              <w:textAlignment w:val="auto"/>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单价</w:t>
            </w:r>
          </w:p>
          <w:p w14:paraId="6C6D8CA3">
            <w:pPr>
              <w:pStyle w:val="17"/>
              <w:keepNext w:val="0"/>
              <w:keepLines w:val="0"/>
              <w:pageBreakBefore w:val="0"/>
              <w:widowControl/>
              <w:kinsoku/>
              <w:wordWrap/>
              <w:overflowPunct/>
              <w:topLinePunct w:val="0"/>
              <w:autoSpaceDE/>
              <w:autoSpaceDN/>
              <w:bidi w:val="0"/>
              <w:adjustRightInd/>
              <w:spacing w:before="120" w:line="500" w:lineRule="exact"/>
              <w:jc w:val="center"/>
              <w:textAlignment w:val="auto"/>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（元/吨）</w:t>
            </w:r>
          </w:p>
        </w:tc>
      </w:tr>
      <w:tr w14:paraId="4B0DD5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99" w:hRule="atLeast"/>
        </w:trPr>
        <w:tc>
          <w:tcPr>
            <w:tcW w:w="756" w:type="pct"/>
            <w:vAlign w:val="center"/>
          </w:tcPr>
          <w:p w14:paraId="777C5118">
            <w:pPr>
              <w:pStyle w:val="17"/>
              <w:keepNext w:val="0"/>
              <w:keepLines w:val="0"/>
              <w:pageBreakBefore w:val="0"/>
              <w:widowControl/>
              <w:kinsoku/>
              <w:wordWrap/>
              <w:overflowPunct/>
              <w:topLinePunct w:val="0"/>
              <w:autoSpaceDE/>
              <w:autoSpaceDN/>
              <w:bidi w:val="0"/>
              <w:adjustRightInd/>
              <w:spacing w:before="120" w:line="500" w:lineRule="exact"/>
              <w:jc w:val="center"/>
              <w:textAlignment w:val="auto"/>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工业硫酸</w:t>
            </w:r>
          </w:p>
          <w:p w14:paraId="758CCAA1">
            <w:pPr>
              <w:pStyle w:val="17"/>
              <w:keepNext w:val="0"/>
              <w:keepLines w:val="0"/>
              <w:pageBreakBefore w:val="0"/>
              <w:widowControl/>
              <w:kinsoku/>
              <w:wordWrap/>
              <w:overflowPunct/>
              <w:topLinePunct w:val="0"/>
              <w:autoSpaceDE/>
              <w:autoSpaceDN/>
              <w:bidi w:val="0"/>
              <w:adjustRightInd/>
              <w:spacing w:before="120" w:line="500" w:lineRule="exact"/>
              <w:jc w:val="center"/>
              <w:textAlignment w:val="auto"/>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运输</w:t>
            </w:r>
          </w:p>
        </w:tc>
        <w:tc>
          <w:tcPr>
            <w:tcW w:w="2717" w:type="pct"/>
            <w:tcBorders>
              <w:right w:val="single" w:color="auto" w:sz="4" w:space="0"/>
            </w:tcBorders>
            <w:vAlign w:val="center"/>
          </w:tcPr>
          <w:p w14:paraId="1EB13A50">
            <w:pPr>
              <w:pStyle w:val="17"/>
              <w:keepNext w:val="0"/>
              <w:keepLines w:val="0"/>
              <w:pageBreakBefore w:val="0"/>
              <w:widowControl/>
              <w:kinsoku/>
              <w:wordWrap/>
              <w:overflowPunct/>
              <w:topLinePunct w:val="0"/>
              <w:autoSpaceDE/>
              <w:autoSpaceDN/>
              <w:bidi w:val="0"/>
              <w:adjustRightInd/>
              <w:spacing w:before="120" w:line="500" w:lineRule="exact"/>
              <w:ind w:firstLine="240"/>
              <w:jc w:val="center"/>
              <w:textAlignment w:val="auto"/>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四川宏达股份有限公司有色分公司硫酸厂（师古镇民金路）至德阳昊华清平磷矿有限公司磷铵厂（绵竹市拱星镇）</w:t>
            </w:r>
          </w:p>
        </w:tc>
        <w:tc>
          <w:tcPr>
            <w:tcW w:w="759" w:type="pct"/>
            <w:tcBorders>
              <w:left w:val="single" w:color="auto" w:sz="4" w:space="0"/>
              <w:right w:val="single" w:color="auto" w:sz="4" w:space="0"/>
            </w:tcBorders>
            <w:vAlign w:val="center"/>
          </w:tcPr>
          <w:p w14:paraId="4133B87E">
            <w:pPr>
              <w:pStyle w:val="17"/>
              <w:keepNext w:val="0"/>
              <w:keepLines w:val="0"/>
              <w:pageBreakBefore w:val="0"/>
              <w:widowControl/>
              <w:kinsoku/>
              <w:wordWrap/>
              <w:overflowPunct/>
              <w:topLinePunct w:val="0"/>
              <w:autoSpaceDE/>
              <w:autoSpaceDN/>
              <w:bidi w:val="0"/>
              <w:adjustRightInd/>
              <w:spacing w:before="120" w:line="500" w:lineRule="exact"/>
              <w:jc w:val="center"/>
              <w:textAlignment w:val="auto"/>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约43公里</w:t>
            </w:r>
          </w:p>
        </w:tc>
        <w:tc>
          <w:tcPr>
            <w:tcW w:w="766" w:type="pct"/>
            <w:tcBorders>
              <w:left w:val="single" w:color="auto" w:sz="4" w:space="0"/>
            </w:tcBorders>
            <w:vAlign w:val="center"/>
          </w:tcPr>
          <w:p w14:paraId="65C9A1A1">
            <w:pPr>
              <w:pStyle w:val="17"/>
              <w:keepNext w:val="0"/>
              <w:keepLines w:val="0"/>
              <w:pageBreakBefore w:val="0"/>
              <w:widowControl/>
              <w:kinsoku/>
              <w:wordWrap/>
              <w:overflowPunct/>
              <w:topLinePunct w:val="0"/>
              <w:autoSpaceDE/>
              <w:autoSpaceDN/>
              <w:bidi w:val="0"/>
              <w:adjustRightInd/>
              <w:spacing w:before="120" w:line="500" w:lineRule="exact"/>
              <w:ind w:firstLine="240"/>
              <w:jc w:val="center"/>
              <w:textAlignment w:val="auto"/>
              <w:rPr>
                <w:rFonts w:hint="eastAsia" w:ascii="黑体" w:hAnsi="黑体" w:eastAsia="黑体" w:cs="黑体"/>
                <w:color w:val="000000" w:themeColor="text1"/>
                <w:sz w:val="21"/>
                <w:szCs w:val="21"/>
                <w14:textFill>
                  <w14:solidFill>
                    <w14:schemeClr w14:val="tx1"/>
                  </w14:solidFill>
                </w14:textFill>
              </w:rPr>
            </w:pPr>
          </w:p>
        </w:tc>
      </w:tr>
    </w:tbl>
    <w:p w14:paraId="73FE6601">
      <w:pPr>
        <w:pStyle w:val="8"/>
        <w:spacing w:before="0" w:beforeAutospacing="0" w:after="0" w:afterAutospacing="0" w:line="360" w:lineRule="auto"/>
        <w:ind w:firstLine="480" w:firstLineChars="200"/>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1</w:t>
      </w:r>
      <w:r>
        <w:rPr>
          <w:rFonts w:hint="eastAsia" w:ascii="黑体" w:hAnsi="黑体" w:eastAsia="黑体" w:cs="黑体"/>
          <w:color w:val="000000" w:themeColor="text1"/>
          <w:lang w:eastAsia="zh-CN"/>
          <w14:textFill>
            <w14:solidFill>
              <w14:schemeClr w14:val="tx1"/>
            </w14:solidFill>
          </w14:textFill>
        </w:rPr>
        <w:t>.</w:t>
      </w:r>
      <w:r>
        <w:rPr>
          <w:rFonts w:hint="eastAsia" w:ascii="黑体" w:hAnsi="黑体" w:eastAsia="黑体" w:cs="黑体"/>
          <w:color w:val="000000" w:themeColor="text1"/>
          <w14:textFill>
            <w14:solidFill>
              <w14:schemeClr w14:val="tx1"/>
            </w14:solidFill>
          </w14:textFill>
        </w:rPr>
        <w:t>一旦我方中标，我方愿意按照</w:t>
      </w:r>
      <w:r>
        <w:rPr>
          <w:rFonts w:hint="eastAsia" w:ascii="黑体" w:hAnsi="黑体" w:eastAsia="黑体" w:cs="黑体"/>
          <w:color w:val="000000" w:themeColor="text1"/>
          <w:lang w:eastAsia="zh-CN"/>
          <w14:textFill>
            <w14:solidFill>
              <w14:schemeClr w14:val="tx1"/>
            </w14:solidFill>
          </w14:textFill>
        </w:rPr>
        <w:t>询比</w:t>
      </w:r>
      <w:r>
        <w:rPr>
          <w:rFonts w:hint="eastAsia" w:ascii="黑体" w:hAnsi="黑体" w:eastAsia="黑体" w:cs="黑体"/>
          <w:color w:val="000000" w:themeColor="text1"/>
          <w14:textFill>
            <w14:solidFill>
              <w14:schemeClr w14:val="tx1"/>
            </w14:solidFill>
          </w14:textFill>
        </w:rPr>
        <w:t>文件和</w:t>
      </w:r>
      <w:r>
        <w:rPr>
          <w:rFonts w:hint="eastAsia" w:ascii="黑体" w:hAnsi="黑体" w:eastAsia="黑体" w:cs="黑体"/>
          <w:color w:val="000000" w:themeColor="text1"/>
          <w:lang w:eastAsia="zh-CN"/>
          <w14:textFill>
            <w14:solidFill>
              <w14:schemeClr w14:val="tx1"/>
            </w14:solidFill>
          </w14:textFill>
        </w:rPr>
        <w:t>询比</w:t>
      </w:r>
      <w:r>
        <w:rPr>
          <w:rFonts w:hint="eastAsia" w:ascii="黑体" w:hAnsi="黑体" w:eastAsia="黑体" w:cs="黑体"/>
          <w:color w:val="000000" w:themeColor="text1"/>
          <w14:textFill>
            <w14:solidFill>
              <w14:schemeClr w14:val="tx1"/>
            </w14:solidFill>
          </w14:textFill>
        </w:rPr>
        <w:t>方的规定和要求签订运输合同，并信守合同、保证质量、如期交货。</w:t>
      </w:r>
    </w:p>
    <w:p w14:paraId="349429C2">
      <w:pPr>
        <w:pStyle w:val="8"/>
        <w:spacing w:before="0" w:beforeAutospacing="0" w:after="0" w:afterAutospacing="0" w:line="360" w:lineRule="auto"/>
        <w:ind w:firstLine="480" w:firstLineChars="200"/>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2</w:t>
      </w:r>
      <w:r>
        <w:rPr>
          <w:rFonts w:hint="eastAsia" w:ascii="黑体" w:hAnsi="黑体" w:eastAsia="黑体" w:cs="黑体"/>
          <w:color w:val="000000" w:themeColor="text1"/>
          <w:lang w:eastAsia="zh-CN"/>
          <w14:textFill>
            <w14:solidFill>
              <w14:schemeClr w14:val="tx1"/>
            </w14:solidFill>
          </w14:textFill>
        </w:rPr>
        <w:t>.</w:t>
      </w:r>
      <w:r>
        <w:rPr>
          <w:rFonts w:hint="eastAsia" w:ascii="黑体" w:hAnsi="黑体" w:eastAsia="黑体" w:cs="黑体"/>
          <w:color w:val="000000" w:themeColor="text1"/>
          <w14:textFill>
            <w14:solidFill>
              <w14:schemeClr w14:val="tx1"/>
            </w14:solidFill>
          </w14:textFill>
        </w:rPr>
        <w:t>投标人同意按照</w:t>
      </w:r>
      <w:r>
        <w:rPr>
          <w:rFonts w:hint="eastAsia" w:ascii="黑体" w:hAnsi="黑体" w:eastAsia="黑体" w:cs="黑体"/>
          <w:color w:val="000000" w:themeColor="text1"/>
          <w:lang w:eastAsia="zh-CN"/>
          <w14:textFill>
            <w14:solidFill>
              <w14:schemeClr w14:val="tx1"/>
            </w14:solidFill>
          </w14:textFill>
        </w:rPr>
        <w:t>询比</w:t>
      </w:r>
      <w:r>
        <w:rPr>
          <w:rFonts w:hint="eastAsia" w:ascii="黑体" w:hAnsi="黑体" w:eastAsia="黑体" w:cs="黑体"/>
          <w:color w:val="000000" w:themeColor="text1"/>
          <w14:textFill>
            <w14:solidFill>
              <w14:schemeClr w14:val="tx1"/>
            </w14:solidFill>
          </w14:textFill>
        </w:rPr>
        <w:t>方的要求，严格遵守</w:t>
      </w:r>
      <w:r>
        <w:rPr>
          <w:rFonts w:hint="eastAsia" w:ascii="黑体" w:hAnsi="黑体" w:eastAsia="黑体" w:cs="黑体"/>
          <w:color w:val="000000" w:themeColor="text1"/>
          <w:lang w:eastAsia="zh-CN"/>
          <w14:textFill>
            <w14:solidFill>
              <w14:schemeClr w14:val="tx1"/>
            </w14:solidFill>
          </w14:textFill>
        </w:rPr>
        <w:t>询比</w:t>
      </w:r>
      <w:r>
        <w:rPr>
          <w:rFonts w:hint="eastAsia" w:ascii="黑体" w:hAnsi="黑体" w:eastAsia="黑体" w:cs="黑体"/>
          <w:color w:val="000000" w:themeColor="text1"/>
          <w14:textFill>
            <w14:solidFill>
              <w14:schemeClr w14:val="tx1"/>
            </w14:solidFill>
          </w14:textFill>
        </w:rPr>
        <w:t>纪律，恪守</w:t>
      </w:r>
      <w:r>
        <w:rPr>
          <w:rFonts w:hint="eastAsia" w:ascii="黑体" w:hAnsi="黑体" w:eastAsia="黑体" w:cs="黑体"/>
          <w:color w:val="000000" w:themeColor="text1"/>
          <w:lang w:val="en-US" w:eastAsia="zh-CN"/>
          <w14:textFill>
            <w14:solidFill>
              <w14:schemeClr w14:val="tx1"/>
            </w14:solidFill>
          </w14:textFill>
        </w:rPr>
        <w:t>采购人</w:t>
      </w:r>
      <w:r>
        <w:rPr>
          <w:rFonts w:hint="eastAsia" w:ascii="黑体" w:hAnsi="黑体" w:eastAsia="黑体" w:cs="黑体"/>
          <w:color w:val="000000" w:themeColor="text1"/>
          <w14:textFill>
            <w14:solidFill>
              <w14:schemeClr w14:val="tx1"/>
            </w14:solidFill>
          </w14:textFill>
        </w:rPr>
        <w:t>的各项规定，保证投标工作的顺利进行。</w:t>
      </w:r>
    </w:p>
    <w:p w14:paraId="7ABA583A">
      <w:pPr>
        <w:pStyle w:val="8"/>
        <w:spacing w:before="0" w:beforeAutospacing="0" w:after="0" w:afterAutospacing="0" w:line="360" w:lineRule="auto"/>
        <w:ind w:firstLine="480" w:firstLineChars="200"/>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3</w:t>
      </w:r>
      <w:r>
        <w:rPr>
          <w:rFonts w:hint="eastAsia" w:ascii="黑体" w:hAnsi="黑体" w:eastAsia="黑体" w:cs="黑体"/>
          <w:color w:val="000000" w:themeColor="text1"/>
          <w:lang w:eastAsia="zh-CN"/>
          <w14:textFill>
            <w14:solidFill>
              <w14:schemeClr w14:val="tx1"/>
            </w14:solidFill>
          </w14:textFill>
        </w:rPr>
        <w:t>.</w:t>
      </w:r>
      <w:r>
        <w:rPr>
          <w:rFonts w:hint="eastAsia" w:ascii="黑体" w:hAnsi="黑体" w:eastAsia="黑体" w:cs="黑体"/>
          <w:color w:val="000000" w:themeColor="text1"/>
          <w14:textFill>
            <w14:solidFill>
              <w14:schemeClr w14:val="tx1"/>
            </w14:solidFill>
          </w14:textFill>
        </w:rPr>
        <w:t>我方已经审查全部的</w:t>
      </w:r>
      <w:r>
        <w:rPr>
          <w:rFonts w:hint="eastAsia" w:ascii="黑体" w:hAnsi="黑体" w:eastAsia="黑体" w:cs="黑体"/>
          <w:color w:val="000000" w:themeColor="text1"/>
          <w:lang w:eastAsia="zh-CN"/>
          <w14:textFill>
            <w14:solidFill>
              <w14:schemeClr w14:val="tx1"/>
            </w14:solidFill>
          </w14:textFill>
        </w:rPr>
        <w:t>询比</w:t>
      </w:r>
      <w:r>
        <w:rPr>
          <w:rFonts w:hint="eastAsia" w:ascii="黑体" w:hAnsi="黑体" w:eastAsia="黑体" w:cs="黑体"/>
          <w:color w:val="000000" w:themeColor="text1"/>
          <w14:textFill>
            <w14:solidFill>
              <w14:schemeClr w14:val="tx1"/>
            </w14:solidFill>
          </w14:textFill>
        </w:rPr>
        <w:t>文件，包括修改文件，以及全部的参考资料和有关附件，我方完全理解同意放弃对这方面有不明和误解的权利。</w:t>
      </w:r>
    </w:p>
    <w:p w14:paraId="328438DF">
      <w:pPr>
        <w:pStyle w:val="8"/>
        <w:spacing w:before="0" w:beforeAutospacing="0" w:after="0" w:afterAutospacing="0" w:line="500" w:lineRule="exact"/>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 xml:space="preserve">         </w:t>
      </w:r>
    </w:p>
    <w:p w14:paraId="3152F78C">
      <w:pPr>
        <w:pStyle w:val="8"/>
        <w:spacing w:line="500" w:lineRule="exact"/>
        <w:ind w:firstLine="5280" w:firstLineChars="2200"/>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公司：（盖章）：</w:t>
      </w:r>
    </w:p>
    <w:p w14:paraId="412255B2">
      <w:pPr>
        <w:pStyle w:val="8"/>
        <w:spacing w:line="500" w:lineRule="exact"/>
        <w:ind w:firstLine="5040" w:firstLineChars="2100"/>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日期：    年   月   日</w:t>
      </w:r>
    </w:p>
    <w:p w14:paraId="7B421562">
      <w:pPr>
        <w:spacing w:line="440" w:lineRule="exact"/>
        <w:rPr>
          <w:rFonts w:hint="eastAsia" w:ascii="黑体" w:hAnsi="黑体" w:eastAsia="黑体" w:cs="Segoe UI"/>
          <w:color w:val="000000" w:themeColor="text1"/>
          <w:sz w:val="28"/>
          <w:szCs w:val="28"/>
          <w14:textFill>
            <w14:solidFill>
              <w14:schemeClr w14:val="tx1"/>
            </w14:solidFill>
          </w14:textFill>
        </w:rPr>
      </w:pPr>
    </w:p>
    <w:p w14:paraId="55936A7B">
      <w:pPr>
        <w:spacing w:line="440" w:lineRule="exact"/>
        <w:rPr>
          <w:rFonts w:ascii="黑体" w:hAnsi="黑体" w:eastAsia="黑体" w:cs="Segoe UI"/>
          <w:color w:val="000000" w:themeColor="text1"/>
          <w:sz w:val="28"/>
          <w:szCs w:val="28"/>
          <w14:textFill>
            <w14:solidFill>
              <w14:schemeClr w14:val="tx1"/>
            </w14:solidFill>
          </w14:textFill>
        </w:rPr>
      </w:pPr>
    </w:p>
    <w:p w14:paraId="39F31F88">
      <w:pPr>
        <w:spacing w:line="440" w:lineRule="exact"/>
        <w:rPr>
          <w:rFonts w:ascii="黑体" w:hAnsi="黑体" w:eastAsia="黑体" w:cs="Segoe UI"/>
          <w:color w:val="4E5463"/>
          <w:sz w:val="28"/>
          <w:szCs w:val="28"/>
        </w:rPr>
      </w:pPr>
    </w:p>
    <w:p w14:paraId="363C06D1">
      <w:pPr>
        <w:spacing w:line="440" w:lineRule="exact"/>
        <w:rPr>
          <w:rFonts w:ascii="黑体" w:hAnsi="黑体" w:eastAsia="黑体" w:cs="Segoe UI"/>
          <w:color w:val="4E5463"/>
          <w:sz w:val="28"/>
          <w:szCs w:val="28"/>
        </w:rPr>
      </w:pPr>
    </w:p>
    <w:p w14:paraId="1A464912">
      <w:pPr>
        <w:spacing w:line="440" w:lineRule="exact"/>
        <w:rPr>
          <w:rFonts w:ascii="黑体" w:hAnsi="黑体" w:eastAsia="黑体" w:cs="Segoe UI"/>
          <w:color w:val="4E5463"/>
          <w:sz w:val="28"/>
          <w:szCs w:val="28"/>
        </w:rPr>
      </w:pPr>
    </w:p>
    <w:sectPr>
      <w:headerReference r:id="rId6" w:type="default"/>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2936F">
    <w:pPr>
      <w:pStyle w:val="5"/>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B7618">
    <w:pPr>
      <w:pStyle w:val="5"/>
      <w:ind w:right="360"/>
      <w:jc w:val="center"/>
    </w:pPr>
    <w:r>
      <w:fldChar w:fldCharType="begin"/>
    </w:r>
    <w:r>
      <w:rPr>
        <w:rStyle w:val="14"/>
      </w:rPr>
      <w:instrText xml:space="preserve"> PAGE </w:instrText>
    </w:r>
    <w:r>
      <w:fldChar w:fldCharType="separate"/>
    </w:r>
    <w:r>
      <w:rPr>
        <w:rStyle w:val="14"/>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61D21">
    <w:pPr>
      <w:pStyle w:val="5"/>
      <w:tabs>
        <w:tab w:val="left" w:pos="645"/>
        <w:tab w:val="clear" w:pos="4153"/>
        <w:tab w:val="clear" w:pos="8306"/>
      </w:tabs>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309C5">
    <w:pPr>
      <w:spacing w:before="100" w:after="1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D2816">
    <w:pPr>
      <w:spacing w:before="100" w:after="1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E12FA4"/>
    <w:multiLevelType w:val="singleLevel"/>
    <w:tmpl w:val="04E12FA4"/>
    <w:lvl w:ilvl="0" w:tentative="0">
      <w:start w:val="9"/>
      <w:numFmt w:val="chineseCounting"/>
      <w:suff w:val="space"/>
      <w:lvlText w:val="第%1条"/>
      <w:lvlJc w:val="left"/>
      <w:rPr>
        <w:rFonts w:hint="eastAsia"/>
      </w:rPr>
    </w:lvl>
  </w:abstractNum>
  <w:abstractNum w:abstractNumId="1">
    <w:nsid w:val="594491F4"/>
    <w:multiLevelType w:val="singleLevel"/>
    <w:tmpl w:val="594491F4"/>
    <w:lvl w:ilvl="0" w:tentative="0">
      <w:start w:val="8"/>
      <w:numFmt w:val="decimal"/>
      <w:suff w:val="nothing"/>
      <w:lvlText w:val="%1、"/>
      <w:lvlJc w:val="left"/>
      <w:pPr>
        <w:ind w:left="0" w:firstLine="0"/>
      </w:pPr>
    </w:lvl>
  </w:abstractNum>
  <w:num w:numId="1">
    <w:abstractNumId w:val="0"/>
  </w:num>
  <w:num w:numId="2">
    <w:abstractNumId w:val="1"/>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E76"/>
    <w:rsid w:val="000F5D6D"/>
    <w:rsid w:val="002D7A96"/>
    <w:rsid w:val="0048056F"/>
    <w:rsid w:val="00680EDB"/>
    <w:rsid w:val="006A2C5D"/>
    <w:rsid w:val="007055AE"/>
    <w:rsid w:val="0079754A"/>
    <w:rsid w:val="00842E76"/>
    <w:rsid w:val="008B3CB8"/>
    <w:rsid w:val="009B5BED"/>
    <w:rsid w:val="00A33FED"/>
    <w:rsid w:val="00AC6DA6"/>
    <w:rsid w:val="00B94EF8"/>
    <w:rsid w:val="00C51C12"/>
    <w:rsid w:val="00F20024"/>
    <w:rsid w:val="00FE6A42"/>
    <w:rsid w:val="34E2781F"/>
    <w:rsid w:val="5F0C7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pPr>
      <w:jc w:val="left"/>
    </w:pPr>
  </w:style>
  <w:style w:type="paragraph" w:styleId="3">
    <w:name w:val="Body Text"/>
    <w:basedOn w:val="1"/>
    <w:next w:val="1"/>
    <w:semiHidden/>
    <w:qFormat/>
    <w:uiPriority w:val="0"/>
    <w:rPr>
      <w:rFonts w:ascii="微软雅黑" w:hAnsi="微软雅黑" w:eastAsia="微软雅黑" w:cs="微软雅黑"/>
      <w:sz w:val="18"/>
      <w:szCs w:val="18"/>
      <w:lang w:val="en-US" w:eastAsia="en-US" w:bidi="ar-SA"/>
    </w:rPr>
  </w:style>
  <w:style w:type="paragraph" w:styleId="4">
    <w:name w:val="Balloon Text"/>
    <w:basedOn w:val="1"/>
    <w:link w:val="19"/>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qFormat/>
    <w:uiPriority w:val="0"/>
    <w:pPr>
      <w:wordWrap w:val="0"/>
      <w:spacing w:after="60"/>
      <w:jc w:val="center"/>
    </w:pPr>
    <w:rPr>
      <w:sz w:val="24"/>
      <w:lang w:val="en-US" w:eastAsia="zh-CN" w:bidi="ar-SA"/>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Title"/>
    <w:basedOn w:val="1"/>
    <w:next w:val="1"/>
    <w:link w:val="20"/>
    <w:qFormat/>
    <w:uiPriority w:val="10"/>
    <w:pPr>
      <w:spacing w:before="240" w:after="60"/>
      <w:jc w:val="center"/>
      <w:outlineLvl w:val="0"/>
    </w:pPr>
    <w:rPr>
      <w:rFonts w:eastAsia="宋体" w:asciiTheme="majorHAnsi" w:hAnsiTheme="majorHAnsi" w:cstheme="majorBidi"/>
      <w:b/>
      <w:bCs/>
      <w:sz w:val="32"/>
      <w:szCs w:val="32"/>
    </w:rPr>
  </w:style>
  <w:style w:type="table" w:styleId="11">
    <w:name w:val="Table Grid"/>
    <w:basedOn w:val="10"/>
    <w:qFormat/>
    <w:uiPriority w:val="59"/>
    <w:rPr>
      <w:rFonts w:ascii="Times New Roman" w:hAnsi="Times New Roman" w:eastAsia="宋体" w:cs="Times New Roman"/>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3">
    <w:name w:val="Strong"/>
    <w:basedOn w:val="12"/>
    <w:qFormat/>
    <w:uiPriority w:val="22"/>
    <w:rPr>
      <w:b/>
      <w:bCs/>
    </w:rPr>
  </w:style>
  <w:style w:type="character" w:styleId="14">
    <w:name w:val="page number"/>
    <w:basedOn w:val="12"/>
    <w:qFormat/>
    <w:uiPriority w:val="0"/>
  </w:style>
  <w:style w:type="character" w:customStyle="1" w:styleId="15">
    <w:name w:val="页眉 Char"/>
    <w:basedOn w:val="12"/>
    <w:link w:val="6"/>
    <w:qFormat/>
    <w:uiPriority w:val="99"/>
    <w:rPr>
      <w:sz w:val="18"/>
      <w:szCs w:val="18"/>
    </w:rPr>
  </w:style>
  <w:style w:type="character" w:customStyle="1" w:styleId="16">
    <w:name w:val="页脚 Char"/>
    <w:basedOn w:val="12"/>
    <w:link w:val="5"/>
    <w:qFormat/>
    <w:uiPriority w:val="99"/>
    <w:rPr>
      <w:sz w:val="18"/>
      <w:szCs w:val="18"/>
    </w:rPr>
  </w:style>
  <w:style w:type="paragraph" w:customStyle="1" w:styleId="17">
    <w:name w:val="p0"/>
    <w:basedOn w:val="1"/>
    <w:qFormat/>
    <w:uiPriority w:val="0"/>
    <w:pPr>
      <w:widowControl/>
      <w:snapToGrid w:val="0"/>
      <w:jc w:val="left"/>
    </w:pPr>
    <w:rPr>
      <w:rFonts w:ascii="宋体" w:hAnsi="宋体" w:eastAsia="宋体" w:cs="宋体"/>
      <w:kern w:val="0"/>
      <w:sz w:val="24"/>
      <w:szCs w:val="24"/>
    </w:rPr>
  </w:style>
  <w:style w:type="character" w:customStyle="1" w:styleId="18">
    <w:name w:val="批注文字 Char"/>
    <w:basedOn w:val="12"/>
    <w:link w:val="2"/>
    <w:semiHidden/>
    <w:qFormat/>
    <w:uiPriority w:val="99"/>
  </w:style>
  <w:style w:type="character" w:customStyle="1" w:styleId="19">
    <w:name w:val="批注框文本 Char"/>
    <w:basedOn w:val="12"/>
    <w:link w:val="4"/>
    <w:semiHidden/>
    <w:qFormat/>
    <w:uiPriority w:val="99"/>
    <w:rPr>
      <w:sz w:val="18"/>
      <w:szCs w:val="18"/>
    </w:rPr>
  </w:style>
  <w:style w:type="character" w:customStyle="1" w:styleId="20">
    <w:name w:val="标题 Char"/>
    <w:basedOn w:val="12"/>
    <w:link w:val="9"/>
    <w:qFormat/>
    <w:uiPriority w:val="10"/>
    <w:rPr>
      <w:rFonts w:eastAsia="宋体" w:asciiTheme="majorHAnsi" w:hAnsiTheme="majorHAnsi" w:cstheme="majorBidi"/>
      <w:b/>
      <w:bCs/>
      <w:sz w:val="32"/>
      <w:szCs w:val="32"/>
    </w:rPr>
  </w:style>
  <w:style w:type="paragraph" w:customStyle="1" w:styleId="21">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15</Pages>
  <Words>7467</Words>
  <Characters>7759</Characters>
  <Lines>58</Lines>
  <Paragraphs>16</Paragraphs>
  <TotalTime>8</TotalTime>
  <ScaleCrop>false</ScaleCrop>
  <LinksUpToDate>false</LinksUpToDate>
  <CharactersWithSpaces>8030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2025-12-23T11:56:00Z</dcterms:created>
  <dc:creator>Windows User</dc:creator>
  <cp:lastModifiedBy>张志伟</cp:lastModifiedBy>
  <dcterms:modified xsi:type="dcterms:W3CDTF">2025-12-23T14:20:35Z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eyJoZGlkIjoiM2I1ZGFhZTU1MmExN2UwYzVkZTcxOTJlOWQ1YjI0ZTQiLCJ1c2VySWQiOiI1MTYyNTA4NTAifQ==</vt:lpwstr>
  </property>
  <property fmtid="{D5CDD505-2E9C-101B-9397-08002B2CF9AE}" pid="3" name="KSOProductBuildVer">
    <vt:lpwstr>2052-12.1.0.24034</vt:lpwstr>
  </property>
  <property fmtid="{D5CDD505-2E9C-101B-9397-08002B2CF9AE}" pid="4" name="ICV">
    <vt:lpwstr>0B0FB3A54F014B50A296EAEC8BC539B7_13</vt:lpwstr>
  </property>
</Properties>
</file>