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1DDFE">
      <w:pPr>
        <w:autoSpaceDE w:val="0"/>
        <w:autoSpaceDN w:val="0"/>
        <w:adjustRightInd w:val="0"/>
        <w:spacing w:before="100" w:after="100" w:line="360" w:lineRule="auto"/>
        <w:jc w:val="center"/>
        <w:rPr>
          <w:rFonts w:hint="eastAsia" w:ascii="宋体" w:hAnsi="宋体" w:cs="宋体"/>
          <w:b/>
          <w:bCs/>
          <w:color w:val="auto"/>
          <w:sz w:val="48"/>
          <w:szCs w:val="48"/>
          <w:highlight w:val="none"/>
          <w:lang w:val="en-US" w:eastAsia="zh-CN"/>
        </w:rPr>
      </w:pPr>
    </w:p>
    <w:p w14:paraId="528FC022">
      <w:pPr>
        <w:autoSpaceDE w:val="0"/>
        <w:autoSpaceDN w:val="0"/>
        <w:adjustRightInd w:val="0"/>
        <w:spacing w:before="100" w:after="100"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四川宏达股份有限公司</w:t>
      </w:r>
    </w:p>
    <w:p w14:paraId="3E5A19FE">
      <w:pPr>
        <w:autoSpaceDE w:val="0"/>
        <w:autoSpaceDN w:val="0"/>
        <w:adjustRightInd w:val="0"/>
        <w:spacing w:before="100" w:after="100" w:line="360" w:lineRule="auto"/>
        <w:jc w:val="center"/>
        <w:rPr>
          <w:rFonts w:cs="黑体" w:asciiTheme="minorEastAsia" w:hAnsiTheme="minorEastAsia" w:eastAsiaTheme="minorEastAsia"/>
          <w:color w:val="auto"/>
          <w:sz w:val="84"/>
          <w:szCs w:val="84"/>
          <w:highlight w:val="none"/>
          <w:lang w:val="zh-CN"/>
        </w:rPr>
      </w:pPr>
      <w:r>
        <w:rPr>
          <w:rFonts w:hint="eastAsia" w:ascii="宋体" w:hAnsi="宋体" w:cs="宋体"/>
          <w:b/>
          <w:bCs/>
          <w:color w:val="auto"/>
          <w:sz w:val="48"/>
          <w:szCs w:val="48"/>
          <w:highlight w:val="none"/>
          <w:lang w:val="en-US" w:eastAsia="zh-CN"/>
        </w:rPr>
        <w:t>焙沙制液压滤渣</w:t>
      </w:r>
      <w:bookmarkStart w:id="28" w:name="_GoBack"/>
      <w:bookmarkEnd w:id="28"/>
      <w:r>
        <w:rPr>
          <w:rFonts w:hint="eastAsia" w:ascii="宋体" w:hAnsi="宋体" w:cs="宋体"/>
          <w:b/>
          <w:bCs/>
          <w:color w:val="auto"/>
          <w:sz w:val="48"/>
          <w:szCs w:val="48"/>
          <w:highlight w:val="none"/>
          <w:lang w:val="en-US" w:eastAsia="zh-CN"/>
        </w:rPr>
        <w:t>浆化槽搅拌器</w:t>
      </w:r>
      <w:r>
        <w:rPr>
          <w:rFonts w:hint="eastAsia" w:ascii="宋体" w:hAnsi="宋体" w:eastAsia="宋体" w:cs="宋体"/>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编号：YS-GKBX-2025-FW113</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12</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21</w:t>
      </w:r>
      <w:r>
        <w:rPr>
          <w:rFonts w:hint="eastAsia" w:cs="黑体" w:asciiTheme="minorEastAsia" w:hAnsiTheme="minorEastAsia" w:eastAsiaTheme="minorEastAsia"/>
          <w:b/>
          <w:bCs/>
          <w:color w:val="auto"/>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有色金属分公司焙砂制液压滤渣浆化槽搅拌器</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                     编号：YS-GKBX-2025-FW113</w:t>
      </w:r>
    </w:p>
    <w:p w14:paraId="23CFBEF3">
      <w:pPr>
        <w:keepNext w:val="0"/>
        <w:keepLines w:val="0"/>
        <w:pageBreakBefore w:val="0"/>
        <w:wordWrap/>
        <w:overflowPunct/>
        <w:topLinePunct w:val="0"/>
        <w:bidi w:val="0"/>
        <w:spacing w:line="48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keepNext w:val="0"/>
        <w:keepLines w:val="0"/>
        <w:pageBreakBefore w:val="0"/>
        <w:wordWrap/>
        <w:overflowPunct/>
        <w:topLinePunct w:val="0"/>
        <w:bidi w:val="0"/>
        <w:spacing w:line="48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由四川宏达股份有限公司什邡有色金属分公司电锌厂因设备更新改造需要，</w:t>
      </w: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对焙砂制液压滤渣浆化槽搅拌器</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237E2C88">
      <w:pPr>
        <w:keepNext w:val="0"/>
        <w:keepLines w:val="0"/>
        <w:pageBreakBefore w:val="0"/>
        <w:numPr>
          <w:ilvl w:val="0"/>
          <w:numId w:val="1"/>
        </w:numPr>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焙沙制液压滤浆化槽搅拌器   3台套</w:t>
      </w:r>
    </w:p>
    <w:p w14:paraId="3189E225">
      <w:pPr>
        <w:keepNext w:val="0"/>
        <w:keepLines w:val="0"/>
        <w:pageBreakBefore w:val="0"/>
        <w:numPr>
          <w:ilvl w:val="0"/>
          <w:numId w:val="0"/>
        </w:numPr>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67EB3B3D">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78BA9BEF">
      <w:pPr>
        <w:pStyle w:val="12"/>
        <w:keepNext w:val="0"/>
        <w:keepLines w:val="0"/>
        <w:pageBreakBefore w:val="0"/>
        <w:kinsoku/>
        <w:wordWrap/>
        <w:overflowPunct/>
        <w:topLinePunct w:val="0"/>
        <w:autoSpaceDE/>
        <w:autoSpaceDN/>
        <w:bidi w:val="0"/>
        <w:adjustRightInd/>
        <w:spacing w:before="0" w:beforeAutospacing="0" w:after="0" w:afterAutospacing="0" w:line="480" w:lineRule="exact"/>
        <w:rPr>
          <w:rFonts w:ascii="黑体" w:hAnsi="黑体" w:eastAsia="黑体" w:cs="黑体"/>
          <w:color w:val="auto"/>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eastAsia="zh-CN"/>
        </w:rPr>
        <w:t>.</w:t>
      </w:r>
      <w:r>
        <w:rPr>
          <w:rFonts w:hint="eastAsia" w:ascii="黑体" w:hAnsi="黑体" w:eastAsia="黑体" w:cs="黑体"/>
          <w:color w:val="auto"/>
          <w:sz w:val="28"/>
          <w:szCs w:val="28"/>
        </w:rPr>
        <w:t>标的物工艺条件及技术要求：</w:t>
      </w:r>
    </w:p>
    <w:p w14:paraId="438CC69B">
      <w:pPr>
        <w:keepNext w:val="0"/>
        <w:keepLines w:val="0"/>
        <w:pageBreakBefore w:val="0"/>
        <w:kinsoku/>
        <w:wordWrap/>
        <w:overflowPunct/>
        <w:topLinePunct w:val="0"/>
        <w:autoSpaceDE/>
        <w:autoSpaceDN/>
        <w:bidi w:val="0"/>
        <w:adjustRightInd/>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.1工艺条件</w:t>
      </w:r>
    </w:p>
    <w:tbl>
      <w:tblPr>
        <w:tblStyle w:val="16"/>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996"/>
        <w:gridCol w:w="5705"/>
        <w:gridCol w:w="883"/>
      </w:tblGrid>
      <w:tr w14:paraId="04AA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4" w:type="dxa"/>
            <w:noWrap/>
          </w:tcPr>
          <w:p w14:paraId="631E4B05">
            <w:pPr>
              <w:keepNext w:val="0"/>
              <w:keepLines w:val="0"/>
              <w:pageBreakBefore w:val="0"/>
              <w:kinsoku/>
              <w:wordWrap/>
              <w:overflowPunct/>
              <w:topLinePunct w:val="0"/>
              <w:autoSpaceDE/>
              <w:autoSpaceDN/>
              <w:bidi w:val="0"/>
              <w:adjustRightInd/>
              <w:snapToGrid w:val="0"/>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材料</w:t>
            </w:r>
            <w:r>
              <w:rPr>
                <w:rFonts w:hint="eastAsia" w:ascii="黑体" w:hAnsi="黑体" w:eastAsia="黑体" w:cs="黑体"/>
                <w:color w:val="auto"/>
                <w:sz w:val="28"/>
                <w:szCs w:val="28"/>
              </w:rPr>
              <w:t>名称</w:t>
            </w:r>
          </w:p>
        </w:tc>
        <w:tc>
          <w:tcPr>
            <w:tcW w:w="6701" w:type="dxa"/>
            <w:gridSpan w:val="2"/>
            <w:noWrap/>
          </w:tcPr>
          <w:p w14:paraId="73C0F0EA">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主要技术参数</w:t>
            </w:r>
          </w:p>
        </w:tc>
        <w:tc>
          <w:tcPr>
            <w:tcW w:w="883" w:type="dxa"/>
            <w:noWrap/>
          </w:tcPr>
          <w:p w14:paraId="7375E034">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数量</w:t>
            </w:r>
          </w:p>
        </w:tc>
      </w:tr>
      <w:tr w14:paraId="739B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50" w:type="dxa"/>
            <w:gridSpan w:val="2"/>
            <w:noWrap/>
            <w:vAlign w:val="center"/>
          </w:tcPr>
          <w:p w14:paraId="7827D238">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rPr>
            </w:pPr>
            <w:r>
              <w:rPr>
                <w:rFonts w:hint="eastAsia" w:ascii="黑体" w:hAnsi="黑体" w:eastAsia="黑体" w:cs="宋体"/>
                <w:color w:val="auto"/>
                <w:kern w:val="0"/>
                <w:sz w:val="28"/>
                <w:szCs w:val="28"/>
                <w:lang w:val="en-US" w:eastAsia="zh-CN"/>
              </w:rPr>
              <w:t>焙砂制液压滤渣浆化槽搅拌器</w:t>
            </w:r>
          </w:p>
        </w:tc>
        <w:tc>
          <w:tcPr>
            <w:tcW w:w="5705" w:type="dxa"/>
            <w:shd w:val="clear" w:color="auto" w:fill="auto"/>
            <w:noWrap/>
            <w:vAlign w:val="center"/>
          </w:tcPr>
          <w:p w14:paraId="044128C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黑体" w:hAnsi="黑体" w:eastAsia="黑体" w:cs="宋体"/>
                <w:color w:val="auto"/>
                <w:kern w:val="0"/>
                <w:sz w:val="28"/>
                <w:szCs w:val="28"/>
                <w:lang w:val="en-US" w:eastAsia="zh-CN"/>
              </w:rPr>
              <w:t>详见《焙砂制液 净化、渣处理压滤渣浆化槽搅拌器订货技术条件》</w:t>
            </w:r>
          </w:p>
        </w:tc>
        <w:tc>
          <w:tcPr>
            <w:tcW w:w="883" w:type="dxa"/>
            <w:shd w:val="clear" w:color="auto" w:fill="auto"/>
            <w:noWrap/>
            <w:vAlign w:val="center"/>
          </w:tcPr>
          <w:p w14:paraId="0F5677A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center"/>
              <w:textAlignment w:val="top"/>
              <w:rPr>
                <w:rStyle w:val="53"/>
                <w:rFonts w:hint="default"/>
                <w:sz w:val="28"/>
                <w:szCs w:val="28"/>
                <w:lang w:val="en-US" w:eastAsia="zh-CN" w:bidi="ar"/>
              </w:rPr>
            </w:pPr>
            <w:r>
              <w:rPr>
                <w:rStyle w:val="53"/>
                <w:rFonts w:hint="eastAsia"/>
                <w:sz w:val="28"/>
                <w:szCs w:val="28"/>
                <w:lang w:val="en-US" w:eastAsia="zh-CN" w:bidi="ar"/>
              </w:rPr>
              <w:t>3</w:t>
            </w:r>
          </w:p>
          <w:p w14:paraId="5620FC0F">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center"/>
              <w:textAlignment w:val="top"/>
              <w:rPr>
                <w:rStyle w:val="53"/>
                <w:rFonts w:hint="default"/>
                <w:sz w:val="28"/>
                <w:szCs w:val="28"/>
                <w:lang w:val="en-US" w:eastAsia="zh-CN" w:bidi="ar"/>
              </w:rPr>
            </w:pPr>
            <w:r>
              <w:rPr>
                <w:rStyle w:val="53"/>
                <w:rFonts w:hint="eastAsia"/>
                <w:sz w:val="28"/>
                <w:szCs w:val="28"/>
                <w:lang w:val="en-US" w:eastAsia="zh-CN" w:bidi="ar"/>
              </w:rPr>
              <w:t>台套</w:t>
            </w:r>
          </w:p>
        </w:tc>
      </w:tr>
    </w:tbl>
    <w:p w14:paraId="39043D1A">
      <w:pPr>
        <w:keepNext w:val="0"/>
        <w:keepLines w:val="0"/>
        <w:pageBreakBefore w:val="0"/>
        <w:wordWrap/>
        <w:overflowPunct/>
        <w:topLinePunct w:val="0"/>
        <w:bidi w:val="0"/>
        <w:spacing w:line="480" w:lineRule="exac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1.2</w:t>
      </w:r>
    </w:p>
    <w:tbl>
      <w:tblPr>
        <w:tblStyle w:val="16"/>
        <w:tblW w:w="944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2769"/>
        <w:gridCol w:w="1296"/>
        <w:gridCol w:w="4788"/>
      </w:tblGrid>
      <w:tr w14:paraId="1E29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42" w:type="dxa"/>
            <w:gridSpan w:val="4"/>
            <w:tcBorders>
              <w:top w:val="nil"/>
              <w:left w:val="nil"/>
              <w:bottom w:val="single" w:color="000000" w:sz="4" w:space="0"/>
              <w:right w:val="nil"/>
            </w:tcBorders>
            <w:shd w:val="clear" w:color="auto" w:fill="auto"/>
            <w:noWrap/>
            <w:vAlign w:val="center"/>
          </w:tcPr>
          <w:p w14:paraId="25A138A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搅拌器设计、制造技术条件</w:t>
            </w:r>
          </w:p>
        </w:tc>
      </w:tr>
      <w:tr w14:paraId="4608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EB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5B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31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使用工位</w:t>
            </w:r>
          </w:p>
        </w:tc>
      </w:tr>
      <w:tr w14:paraId="31D0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38D3">
            <w:pPr>
              <w:jc w:val="center"/>
              <w:rPr>
                <w:rFonts w:hint="eastAsia" w:ascii="宋体" w:hAnsi="宋体" w:eastAsia="宋体" w:cs="宋体"/>
                <w:b/>
                <w:bCs/>
                <w:i w:val="0"/>
                <w:iCs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ADD9">
            <w:pPr>
              <w:jc w:val="center"/>
              <w:rPr>
                <w:rFonts w:hint="eastAsia" w:ascii="宋体" w:hAnsi="宋体" w:eastAsia="宋体" w:cs="宋体"/>
                <w:b/>
                <w:bCs/>
                <w:i w:val="0"/>
                <w:iCs w:val="0"/>
                <w:color w:val="000000"/>
                <w:sz w:val="24"/>
                <w:szCs w:val="24"/>
                <w:u w:val="none"/>
              </w:rPr>
            </w:pPr>
          </w:p>
        </w:tc>
        <w:tc>
          <w:tcPr>
            <w:tcW w:w="4788" w:type="dxa"/>
            <w:tcBorders>
              <w:top w:val="nil"/>
              <w:left w:val="single" w:color="000000" w:sz="4" w:space="0"/>
              <w:bottom w:val="single" w:color="000000" w:sz="4" w:space="0"/>
              <w:right w:val="single" w:color="000000" w:sz="4" w:space="0"/>
            </w:tcBorders>
            <w:shd w:val="clear" w:color="auto" w:fill="auto"/>
            <w:noWrap/>
            <w:vAlign w:val="center"/>
          </w:tcPr>
          <w:p w14:paraId="570643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净化、渣处理压滤渣浆化槽</w:t>
            </w:r>
          </w:p>
        </w:tc>
      </w:tr>
      <w:tr w14:paraId="660D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71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8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工作压力</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kPa</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常压</w:t>
            </w:r>
          </w:p>
        </w:tc>
      </w:tr>
      <w:tr w14:paraId="35A1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E035">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B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工作温度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8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5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5BAD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28DE9">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B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E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2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r>
      <w:tr w14:paraId="41B3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5D8F5">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5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液固比</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9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0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r>
      <w:tr w14:paraId="253F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CD74">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1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比重</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5"/>
                <w:lang w:val="en-US" w:eastAsia="zh-CN" w:bidi="ar"/>
              </w:rPr>
              <w:t>g/cm</w:t>
            </w:r>
            <w:r>
              <w:rPr>
                <w:rStyle w:val="56"/>
                <w:lang w:val="en-US" w:eastAsia="zh-CN" w:bidi="ar"/>
              </w:rPr>
              <w:t>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1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1.45-1.65</w:t>
            </w:r>
          </w:p>
        </w:tc>
      </w:tr>
      <w:tr w14:paraId="3BB2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4CD2">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6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氯离子含量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9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mg/L</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6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2D7D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E80D">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1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氟离子含量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B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mg/L</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5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58DC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6D50B">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6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含酸（以硫酸计）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C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A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844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4771">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9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处理能力</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B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5"/>
                <w:lang w:val="en-US" w:eastAsia="zh-CN" w:bidi="ar"/>
              </w:rPr>
              <w:t>m</w:t>
            </w:r>
            <w:r>
              <w:rPr>
                <w:rStyle w:val="56"/>
                <w:lang w:val="en-US" w:eastAsia="zh-CN" w:bidi="ar"/>
              </w:rPr>
              <w:t>3</w:t>
            </w:r>
            <w:r>
              <w:rPr>
                <w:rStyle w:val="55"/>
                <w:lang w:val="en-US" w:eastAsia="zh-CN" w:bidi="ar"/>
              </w:rPr>
              <w:t>/h</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D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r>
      <w:tr w14:paraId="749B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9C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罐</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4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内直径</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3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2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Φ3000</w:t>
            </w:r>
          </w:p>
        </w:tc>
      </w:tr>
      <w:tr w14:paraId="2891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20618">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2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直段高度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5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E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2A9B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C2524">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A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罐底结构形式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9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1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平底</w:t>
            </w:r>
          </w:p>
        </w:tc>
      </w:tr>
      <w:tr w14:paraId="3F07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2FB97">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A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全容积</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4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5"/>
                <w:lang w:val="en-US" w:eastAsia="zh-CN" w:bidi="ar"/>
              </w:rPr>
              <w:t>m</w:t>
            </w:r>
            <w:r>
              <w:rPr>
                <w:rStyle w:val="56"/>
                <w:lang w:val="en-US" w:eastAsia="zh-CN" w:bidi="ar"/>
              </w:rPr>
              <w:t>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A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r>
      <w:tr w14:paraId="5F54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8C28">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6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有效容积</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6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5"/>
                <w:lang w:val="en-US" w:eastAsia="zh-CN" w:bidi="ar"/>
              </w:rPr>
              <w:t>m</w:t>
            </w:r>
            <w:r>
              <w:rPr>
                <w:rStyle w:val="56"/>
                <w:lang w:val="en-US" w:eastAsia="zh-CN" w:bidi="ar"/>
              </w:rPr>
              <w:t>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A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46C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566D8">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1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内壁挡板条件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F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8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w:t>
            </w:r>
          </w:p>
        </w:tc>
      </w:tr>
      <w:tr w14:paraId="423C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71AC">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1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挡板宽度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8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F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0B0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084A">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6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挡板数量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5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1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D1D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10E4">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B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导流筒</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5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D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336F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FF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统</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A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电机型号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C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9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（供方自行确定）</w:t>
            </w:r>
          </w:p>
        </w:tc>
      </w:tr>
      <w:tr w14:paraId="6AB9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8E0F9">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D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电机功率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3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Kw</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0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（供方自行确定）</w:t>
            </w:r>
          </w:p>
        </w:tc>
      </w:tr>
      <w:tr w14:paraId="7A74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F662">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0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电机额定转速</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E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1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4极</w:t>
            </w:r>
          </w:p>
        </w:tc>
      </w:tr>
      <w:tr w14:paraId="5828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B7CCA">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8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电机类型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7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2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YE3系列</w:t>
            </w:r>
          </w:p>
        </w:tc>
      </w:tr>
      <w:tr w14:paraId="28B3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88ED0">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B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减速器类型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42F6">
            <w:pPr>
              <w:jc w:val="center"/>
              <w:rPr>
                <w:rFonts w:hint="eastAsia" w:ascii="宋体" w:hAnsi="宋体" w:eastAsia="宋体" w:cs="宋体"/>
                <w:i w:val="0"/>
                <w:iCs w:val="0"/>
                <w:color w:val="000000"/>
                <w:sz w:val="22"/>
                <w:szCs w:val="22"/>
                <w:u w:val="none"/>
              </w:rPr>
            </w:pP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3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垂直轴斜齿面减速机</w:t>
            </w:r>
          </w:p>
        </w:tc>
      </w:tr>
      <w:tr w14:paraId="358E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1FD85">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B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减速器推荐品牌</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1C1C">
            <w:pPr>
              <w:jc w:val="center"/>
              <w:rPr>
                <w:rFonts w:hint="eastAsia" w:ascii="宋体" w:hAnsi="宋体" w:eastAsia="宋体" w:cs="宋体"/>
                <w:i w:val="0"/>
                <w:iCs w:val="0"/>
                <w:color w:val="000000"/>
                <w:sz w:val="22"/>
                <w:szCs w:val="22"/>
                <w:u w:val="none"/>
              </w:rPr>
            </w:pP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8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博能、通力、国茂</w:t>
            </w:r>
          </w:p>
        </w:tc>
      </w:tr>
      <w:tr w14:paraId="5853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124E9">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4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减速机型号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C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（供方自行确定）</w:t>
            </w:r>
          </w:p>
        </w:tc>
      </w:tr>
      <w:tr w14:paraId="5579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FF351">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0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减速机减速比</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9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9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（供方自行确定）</w:t>
            </w:r>
          </w:p>
        </w:tc>
      </w:tr>
      <w:tr w14:paraId="52D6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667F8">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7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搅拌器转速</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A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rpm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E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（供方自行确定）</w:t>
            </w:r>
          </w:p>
        </w:tc>
      </w:tr>
      <w:tr w14:paraId="53D1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4ABD">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8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搅拌轴联轴器类型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B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E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（供方自行确定）</w:t>
            </w:r>
          </w:p>
        </w:tc>
      </w:tr>
      <w:tr w14:paraId="4639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77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搅拌器结构要求</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0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搅拌目的</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6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2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液固快速混合，防止沉积</w:t>
            </w:r>
          </w:p>
        </w:tc>
      </w:tr>
      <w:tr w14:paraId="0D9B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BA41D">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E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桨叶层数</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0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3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C4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686A">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E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桨叶型式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3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C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变截面旋桨式</w:t>
            </w:r>
          </w:p>
        </w:tc>
      </w:tr>
      <w:tr w14:paraId="2640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6435">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D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桨叶与搅拌轴连接方式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D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9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可拆卸结构</w:t>
            </w:r>
          </w:p>
        </w:tc>
      </w:tr>
      <w:tr w14:paraId="7999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85F3">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1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桨叶距槽底距离</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6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3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（供方自行确定）</w:t>
            </w:r>
          </w:p>
        </w:tc>
      </w:tr>
      <w:tr w14:paraId="1E88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E070">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D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搅拌机座安装平面距槽口距离</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9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mm</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4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3CBA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EB15C">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B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搅拌机座单支点结构</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A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6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单支点</w:t>
            </w:r>
          </w:p>
        </w:tc>
      </w:tr>
      <w:tr w14:paraId="6A7B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EC6F0">
            <w:pPr>
              <w:jc w:val="center"/>
              <w:rPr>
                <w:rFonts w:hint="eastAsia" w:ascii="宋体" w:hAnsi="宋体" w:eastAsia="宋体" w:cs="宋体"/>
                <w:i w:val="0"/>
                <w:iCs w:val="0"/>
                <w:color w:val="000000"/>
                <w:sz w:val="22"/>
                <w:szCs w:val="22"/>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9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搅拌器材质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6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DDC6">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316L</w:t>
            </w:r>
          </w:p>
        </w:tc>
      </w:tr>
    </w:tbl>
    <w:p w14:paraId="00932954">
      <w:pPr>
        <w:keepNext w:val="0"/>
        <w:keepLines w:val="0"/>
        <w:pageBreakBefore w:val="0"/>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3.</w:t>
      </w:r>
      <w:r>
        <w:rPr>
          <w:rFonts w:hint="eastAsia" w:ascii="黑体" w:hAnsi="黑体" w:eastAsia="黑体" w:cs="宋体"/>
          <w:color w:val="auto"/>
          <w:kern w:val="0"/>
          <w:sz w:val="28"/>
          <w:szCs w:val="28"/>
          <w:lang w:val="en-US" w:eastAsia="zh-CN"/>
        </w:rPr>
        <w:t>交货</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什邡有色金属分公司（四川省德阳市什邡市师古镇）</w:t>
      </w:r>
    </w:p>
    <w:p w14:paraId="65D426B4">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交货期：</w:t>
      </w:r>
      <w:r>
        <w:rPr>
          <w:rFonts w:hint="eastAsia" w:ascii="黑体" w:hAnsi="黑体" w:eastAsia="黑体" w:cs="Times New Roman"/>
          <w:color w:val="auto"/>
          <w:sz w:val="28"/>
          <w:szCs w:val="28"/>
        </w:rPr>
        <w:t>合同生效之日起</w:t>
      </w:r>
      <w:r>
        <w:rPr>
          <w:rFonts w:hint="eastAsia" w:ascii="黑体" w:hAnsi="黑体" w:eastAsia="黑体" w:cs="Times New Roman"/>
          <w:color w:val="auto"/>
          <w:sz w:val="28"/>
          <w:szCs w:val="28"/>
          <w:lang w:val="en-US" w:eastAsia="zh-CN"/>
        </w:rPr>
        <w:t>50</w:t>
      </w:r>
      <w:r>
        <w:rPr>
          <w:rFonts w:hint="eastAsia" w:ascii="黑体" w:hAnsi="黑体" w:eastAsia="黑体" w:cs="Times New Roman"/>
          <w:color w:val="auto"/>
          <w:sz w:val="28"/>
          <w:szCs w:val="28"/>
        </w:rPr>
        <w:t>个自然日内</w:t>
      </w:r>
      <w:r>
        <w:rPr>
          <w:rFonts w:hint="eastAsia" w:ascii="黑体" w:hAnsi="黑体" w:eastAsia="黑体" w:cs="宋体"/>
          <w:color w:val="auto"/>
          <w:kern w:val="1"/>
          <w:sz w:val="28"/>
          <w:szCs w:val="28"/>
        </w:rPr>
        <w:t>。</w:t>
      </w:r>
    </w:p>
    <w:p w14:paraId="318C942C">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22B0CB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宋体"/>
          <w:color w:val="auto"/>
          <w:kern w:val="0"/>
          <w:sz w:val="28"/>
          <w:szCs w:val="28"/>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val="en-US" w:eastAsia="zh-CN"/>
        </w:rPr>
        <w:t>：</w:t>
      </w:r>
      <w:r>
        <w:rPr>
          <w:rFonts w:hint="eastAsia" w:ascii="黑体" w:hAnsi="黑体" w:eastAsia="黑体" w:cs="宋体"/>
          <w:color w:val="auto"/>
          <w:kern w:val="0"/>
          <w:sz w:val="28"/>
          <w:szCs w:val="28"/>
        </w:rPr>
        <w:t>以现汇或银行电子承兑汇票支付。合同签订生效后，买方按合同总金额的30%向卖方支付预付款；卖方将标的物送（发）到买方指定交货地点，经买方初步验收合格，且开具合法有效、符合买方要求的全额增值税专用发票后，买方按合同总金额的30%支付到货款；</w:t>
      </w:r>
      <w:bookmarkStart w:id="0" w:name="OLE_LINK43"/>
      <w:bookmarkStart w:id="1" w:name="OLE_LINK42"/>
      <w:bookmarkStart w:id="2" w:name="OLE_LINK47"/>
      <w:bookmarkStart w:id="3" w:name="OLE_LINK48"/>
      <w:r>
        <w:rPr>
          <w:rFonts w:hint="eastAsia" w:ascii="黑体" w:hAnsi="黑体" w:eastAsia="黑体" w:cs="宋体"/>
          <w:color w:val="auto"/>
          <w:kern w:val="0"/>
          <w:sz w:val="28"/>
          <w:szCs w:val="28"/>
        </w:rPr>
        <w:t>标的物安装调试好经运行验收合格后</w:t>
      </w:r>
      <w:bookmarkEnd w:id="0"/>
      <w:bookmarkEnd w:id="1"/>
      <w:r>
        <w:rPr>
          <w:rFonts w:hint="eastAsia" w:ascii="黑体" w:hAnsi="黑体" w:eastAsia="黑体" w:cs="宋体"/>
          <w:color w:val="auto"/>
          <w:kern w:val="0"/>
          <w:sz w:val="28"/>
          <w:szCs w:val="28"/>
        </w:rPr>
        <w:t>，买方按合同总金额的30%支付货款。</w:t>
      </w:r>
      <w:bookmarkEnd w:id="2"/>
      <w:bookmarkEnd w:id="3"/>
      <w:r>
        <w:rPr>
          <w:rFonts w:hint="eastAsia" w:ascii="黑体" w:hAnsi="黑体" w:eastAsia="黑体" w:cs="宋体"/>
          <w:color w:val="auto"/>
          <w:kern w:val="0"/>
          <w:sz w:val="28"/>
          <w:szCs w:val="28"/>
        </w:rPr>
        <w:t>剩余合同总金额的10%作为质保金，</w:t>
      </w:r>
      <w:bookmarkStart w:id="4" w:name="OLE_LINK19"/>
      <w:bookmarkStart w:id="5" w:name="OLE_LINK18"/>
      <w:r>
        <w:rPr>
          <w:rFonts w:hint="eastAsia" w:ascii="黑体" w:hAnsi="黑体" w:eastAsia="黑体" w:cs="宋体"/>
          <w:color w:val="auto"/>
          <w:kern w:val="0"/>
          <w:sz w:val="28"/>
          <w:szCs w:val="28"/>
        </w:rPr>
        <w:t>待质保期到期且无任何质量异议后一次性付清（无息）。</w:t>
      </w:r>
    </w:p>
    <w:bookmarkEnd w:id="4"/>
    <w:bookmarkEnd w:id="5"/>
    <w:p w14:paraId="3914BA72">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13</w:t>
      </w:r>
      <w:r>
        <w:rPr>
          <w:rFonts w:hint="eastAsia" w:ascii="黑体" w:hAnsi="黑体" w:eastAsia="黑体" w:cs="宋体"/>
          <w:color w:val="auto"/>
          <w:kern w:val="0"/>
          <w:sz w:val="28"/>
          <w:szCs w:val="28"/>
        </w:rPr>
        <w:t>%)。</w:t>
      </w:r>
    </w:p>
    <w:p w14:paraId="24A08032">
      <w:pPr>
        <w:keepNext w:val="0"/>
        <w:keepLines w:val="0"/>
        <w:pageBreakBefore w:val="0"/>
        <w:numPr>
          <w:ilvl w:val="0"/>
          <w:numId w:val="2"/>
        </w:numPr>
        <w:wordWrap/>
        <w:overflowPunct/>
        <w:topLinePunct w:val="0"/>
        <w:bidi w:val="0"/>
        <w:spacing w:line="48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w:t>
      </w:r>
      <w:r>
        <w:rPr>
          <w:rFonts w:hint="eastAsia" w:ascii="黑体" w:hAnsi="黑体" w:eastAsia="黑体" w:cs="黑体"/>
          <w:sz w:val="28"/>
          <w:szCs w:val="28"/>
        </w:rPr>
        <w:t>12个月，</w:t>
      </w:r>
      <w:r>
        <w:rPr>
          <w:rFonts w:hint="eastAsia" w:ascii="黑体" w:hAnsi="黑体" w:eastAsia="黑体" w:cs="黑体"/>
          <w:sz w:val="28"/>
          <w:szCs w:val="28"/>
          <w:lang w:val="en-US" w:eastAsia="zh-CN"/>
        </w:rPr>
        <w:t>质保期</w:t>
      </w:r>
      <w:r>
        <w:rPr>
          <w:rFonts w:hint="eastAsia" w:ascii="黑体" w:hAnsi="黑体" w:eastAsia="黑体" w:cs="黑体"/>
          <w:sz w:val="28"/>
          <w:szCs w:val="28"/>
        </w:rPr>
        <w:t>自货物验收合格并投用之日起开始计算或货到验收合格</w:t>
      </w:r>
      <w:r>
        <w:rPr>
          <w:rFonts w:hint="eastAsia" w:ascii="黑体" w:hAnsi="黑体" w:eastAsia="黑体" w:cs="黑体"/>
          <w:sz w:val="28"/>
          <w:szCs w:val="28"/>
          <w:lang w:val="en-US" w:eastAsia="zh-CN"/>
        </w:rPr>
        <w:t>180</w:t>
      </w:r>
      <w:r>
        <w:rPr>
          <w:rFonts w:hint="eastAsia" w:ascii="黑体" w:hAnsi="黑体" w:eastAsia="黑体" w:cs="黑体"/>
          <w:sz w:val="28"/>
          <w:szCs w:val="28"/>
        </w:rPr>
        <w:t>个自然日之日起开始计算（因买方原因未安装使用情形适用）。</w:t>
      </w:r>
    </w:p>
    <w:p w14:paraId="6F201807">
      <w:pPr>
        <w:keepNext w:val="0"/>
        <w:keepLines w:val="0"/>
        <w:pageBreakBefore w:val="0"/>
        <w:numPr>
          <w:ilvl w:val="0"/>
          <w:numId w:val="2"/>
        </w:numPr>
        <w:wordWrap/>
        <w:overflowPunct/>
        <w:topLinePunct w:val="0"/>
        <w:bidi w:val="0"/>
        <w:spacing w:line="48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keepNext w:val="0"/>
        <w:keepLines w:val="0"/>
        <w:pageBreakBefore w:val="0"/>
        <w:numPr>
          <w:ilvl w:val="0"/>
          <w:numId w:val="0"/>
        </w:numPr>
        <w:wordWrap/>
        <w:overflowPunct/>
        <w:topLinePunct w:val="0"/>
        <w:bidi w:val="0"/>
        <w:spacing w:line="48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2025年12月23日 00 时 00 分至 2025年12月29日 23 时 59 分通过四川宏达股份有限公司集采中心招投标平台(以下简称“ 宏达股份集采平台”）（http://jc.sichuanhongda.com/）进行注册并登录后参与投标并下载比选文件。 </w:t>
      </w:r>
    </w:p>
    <w:p w14:paraId="504767B0">
      <w:pPr>
        <w:keepNext w:val="0"/>
        <w:keepLines w:val="0"/>
        <w:pageBreakBefore w:val="0"/>
        <w:numPr>
          <w:ilvl w:val="0"/>
          <w:numId w:val="2"/>
        </w:numPr>
        <w:wordWrap/>
        <w:overflowPunct/>
        <w:topLinePunct w:val="0"/>
        <w:bidi w:val="0"/>
        <w:spacing w:line="48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递交截止时间：2025年12月30日 9 时 30 分。</w:t>
      </w:r>
    </w:p>
    <w:p w14:paraId="0E7C9B66">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6" w:name="OLE_LINK3"/>
      <w:bookmarkStart w:id="7" w:name="OLE_LINK4"/>
      <w:r>
        <w:rPr>
          <w:rFonts w:hint="eastAsia" w:ascii="黑体" w:hAnsi="黑体" w:eastAsia="黑体" w:cs="仿宋_GB2312"/>
          <w:sz w:val="28"/>
          <w:szCs w:val="28"/>
          <w:lang w:val="en-US" w:eastAsia="zh-CN"/>
        </w:rPr>
        <w:t>营业执照（三证合一）</w:t>
      </w:r>
      <w:bookmarkEnd w:id="6"/>
      <w:bookmarkEnd w:id="7"/>
      <w:r>
        <w:rPr>
          <w:rFonts w:hint="eastAsia" w:ascii="黑体" w:hAnsi="黑体" w:eastAsia="黑体" w:cs="仿宋_GB2312"/>
          <w:sz w:val="28"/>
          <w:szCs w:val="28"/>
          <w:lang w:val="en-US" w:eastAsia="zh-CN"/>
        </w:rPr>
        <w:t>。</w:t>
      </w:r>
    </w:p>
    <w:p w14:paraId="539C008C">
      <w:pPr>
        <w:keepNext w:val="0"/>
        <w:keepLines w:val="0"/>
        <w:pageBreakBefore w:val="0"/>
        <w:numPr>
          <w:ilvl w:val="0"/>
          <w:numId w:val="0"/>
        </w:numPr>
        <w:wordWrap/>
        <w:overflowPunct/>
        <w:topLinePunct w:val="0"/>
        <w:bidi w:val="0"/>
        <w:spacing w:line="480" w:lineRule="exact"/>
        <w:ind w:leftChars="0"/>
        <w:rPr>
          <w:rFonts w:ascii="黑体" w:hAnsi="黑体" w:eastAsia="黑体" w:cs="Segoe UI"/>
          <w:color w:val="auto"/>
          <w:kern w:val="0"/>
          <w:sz w:val="28"/>
          <w:szCs w:val="28"/>
        </w:rPr>
      </w:pPr>
      <w:r>
        <w:rPr>
          <w:rFonts w:hint="eastAsia" w:ascii="黑体" w:hAnsi="黑体" w:eastAsia="黑体" w:cs="仿宋_GB2312"/>
          <w:sz w:val="28"/>
          <w:szCs w:val="28"/>
          <w:lang w:val="en-US" w:eastAsia="zh-CN"/>
        </w:rPr>
        <w:t>②提供近三年（2022年12月-2025年12月）相关制造及销售业绩（附中标通知书或合同扫描件，中标通知书或合同包括已履约完成和正在履约均可，同一家</w:t>
      </w:r>
      <w:r>
        <w:rPr>
          <w:rFonts w:hint="eastAsia" w:ascii="黑体" w:hAnsi="黑体" w:eastAsia="黑体" w:cs="Segoe UI"/>
          <w:color w:val="auto"/>
          <w:kern w:val="0"/>
          <w:sz w:val="28"/>
          <w:szCs w:val="28"/>
        </w:rPr>
        <w:t>单位多次采购，合同数量可累计）。</w:t>
      </w:r>
    </w:p>
    <w:p w14:paraId="54DDC833">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3C6833CA">
      <w:pPr>
        <w:keepNext w:val="0"/>
        <w:keepLines w:val="0"/>
        <w:pageBreakBefore w:val="0"/>
        <w:wordWrap/>
        <w:overflowPunct/>
        <w:topLinePunct w:val="0"/>
        <w:bidi w:val="0"/>
        <w:spacing w:line="48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宋体"/>
          <w:kern w:val="0"/>
          <w:sz w:val="28"/>
          <w:szCs w:val="28"/>
        </w:rPr>
        <w:t>72小时运行验收并签署验收报告。</w:t>
      </w:r>
    </w:p>
    <w:p w14:paraId="56674FAE">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keepNext w:val="0"/>
        <w:keepLines w:val="0"/>
        <w:pageBreakBefore w:val="0"/>
        <w:wordWrap/>
        <w:overflowPunct/>
        <w:topLinePunct w:val="0"/>
        <w:bidi w:val="0"/>
        <w:spacing w:line="48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胡登兵 13890279598</w:t>
      </w:r>
    </w:p>
    <w:p w14:paraId="41A3F521">
      <w:pPr>
        <w:keepNext w:val="0"/>
        <w:keepLines w:val="0"/>
        <w:pageBreakBefore w:val="0"/>
        <w:wordWrap/>
        <w:overflowPunct/>
        <w:topLinePunct w:val="0"/>
        <w:bidi w:val="0"/>
        <w:spacing w:line="48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商务联系人：谢恩贵13890228228</w:t>
      </w:r>
    </w:p>
    <w:p w14:paraId="446C7FA9">
      <w:pPr>
        <w:keepNext w:val="0"/>
        <w:keepLines w:val="0"/>
        <w:pageBreakBefore w:val="0"/>
        <w:wordWrap/>
        <w:overflowPunct/>
        <w:topLinePunct w:val="0"/>
        <w:bidi w:val="0"/>
        <w:adjustRightInd w:val="0"/>
        <w:spacing w:line="48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keepNext w:val="0"/>
        <w:keepLines w:val="0"/>
        <w:pageBreakBefore w:val="0"/>
        <w:wordWrap/>
        <w:overflowPunct/>
        <w:topLinePunct w:val="0"/>
        <w:bidi w:val="0"/>
        <w:spacing w:line="480" w:lineRule="exact"/>
        <w:ind w:left="0" w:leftChars="0" w:firstLine="0" w:firstLineChars="0"/>
        <w:rPr>
          <w:rFonts w:ascii="黑体" w:hAnsi="黑体" w:eastAsia="黑体" w:cs="宋体"/>
          <w:kern w:val="0"/>
          <w:sz w:val="28"/>
          <w:szCs w:val="28"/>
        </w:rPr>
      </w:pPr>
    </w:p>
    <w:p w14:paraId="6ED43AE4">
      <w:pPr>
        <w:keepNext w:val="0"/>
        <w:keepLines w:val="0"/>
        <w:pageBreakBefore w:val="0"/>
        <w:wordWrap/>
        <w:overflowPunct/>
        <w:topLinePunct w:val="0"/>
        <w:bidi w:val="0"/>
        <w:spacing w:line="480" w:lineRule="exact"/>
        <w:rPr>
          <w:rFonts w:ascii="黑体" w:hAnsi="黑体" w:eastAsia="黑体" w:cs="宋体"/>
          <w:kern w:val="0"/>
          <w:sz w:val="28"/>
          <w:szCs w:val="28"/>
        </w:rPr>
      </w:pPr>
    </w:p>
    <w:p w14:paraId="20636B28">
      <w:pPr>
        <w:pStyle w:val="5"/>
        <w:keepNext w:val="0"/>
        <w:keepLines w:val="0"/>
        <w:pageBreakBefore w:val="0"/>
        <w:wordWrap/>
        <w:overflowPunct/>
        <w:topLinePunct w:val="0"/>
        <w:bidi w:val="0"/>
        <w:spacing w:line="480" w:lineRule="exact"/>
      </w:pPr>
    </w:p>
    <w:p w14:paraId="7F1145CE">
      <w:pPr>
        <w:keepNext w:val="0"/>
        <w:keepLines w:val="0"/>
        <w:pageBreakBefore w:val="0"/>
        <w:wordWrap/>
        <w:overflowPunct/>
        <w:topLinePunct w:val="0"/>
        <w:bidi w:val="0"/>
        <w:adjustRightInd w:val="0"/>
        <w:spacing w:line="48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keepNext w:val="0"/>
        <w:keepLines w:val="0"/>
        <w:pageBreakBefore w:val="0"/>
        <w:wordWrap/>
        <w:overflowPunct/>
        <w:topLinePunct w:val="0"/>
        <w:bidi w:val="0"/>
        <w:spacing w:line="48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17071F13">
      <w:pPr>
        <w:spacing w:line="360" w:lineRule="exact"/>
        <w:rPr>
          <w:rFonts w:hint="eastAsia" w:ascii="黑体" w:hAnsi="黑体" w:eastAsia="黑体" w:cs="宋体"/>
          <w:b/>
          <w:kern w:val="0"/>
          <w:sz w:val="28"/>
          <w:szCs w:val="28"/>
        </w:rPr>
      </w:pPr>
    </w:p>
    <w:p w14:paraId="5B31E754">
      <w:pPr>
        <w:spacing w:line="360" w:lineRule="exact"/>
        <w:rPr>
          <w:rFonts w:hint="eastAsia" w:ascii="黑体" w:hAnsi="黑体" w:eastAsia="黑体" w:cs="宋体"/>
          <w:b/>
          <w:kern w:val="0"/>
          <w:sz w:val="28"/>
          <w:szCs w:val="28"/>
        </w:rPr>
      </w:pPr>
    </w:p>
    <w:p w14:paraId="0BCCF26D">
      <w:pPr>
        <w:spacing w:line="360" w:lineRule="exact"/>
        <w:rPr>
          <w:rFonts w:hint="eastAsia" w:ascii="黑体" w:hAnsi="黑体" w:eastAsia="黑体" w:cs="宋体"/>
          <w:b/>
          <w:kern w:val="0"/>
          <w:sz w:val="28"/>
          <w:szCs w:val="28"/>
        </w:rPr>
      </w:pPr>
    </w:p>
    <w:p w14:paraId="3A832450">
      <w:pPr>
        <w:spacing w:line="360" w:lineRule="exact"/>
        <w:rPr>
          <w:rFonts w:hint="eastAsia" w:ascii="黑体" w:hAnsi="黑体" w:eastAsia="黑体" w:cs="宋体"/>
          <w:b/>
          <w:kern w:val="0"/>
          <w:sz w:val="28"/>
          <w:szCs w:val="28"/>
        </w:rPr>
      </w:pPr>
    </w:p>
    <w:p w14:paraId="703C72C9">
      <w:pPr>
        <w:spacing w:line="360" w:lineRule="exact"/>
        <w:rPr>
          <w:rFonts w:hint="eastAsia" w:ascii="黑体" w:hAnsi="黑体" w:eastAsia="黑体" w:cs="宋体"/>
          <w:b/>
          <w:kern w:val="0"/>
          <w:sz w:val="28"/>
          <w:szCs w:val="28"/>
        </w:rPr>
      </w:pPr>
    </w:p>
    <w:p w14:paraId="221A30C2">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0E13937E">
      <w:pPr>
        <w:spacing w:line="360" w:lineRule="exact"/>
        <w:rPr>
          <w:rFonts w:hint="eastAsia" w:ascii="黑体" w:hAnsi="黑体" w:eastAsia="黑体" w:cs="宋体"/>
          <w:b/>
          <w:kern w:val="0"/>
          <w:sz w:val="28"/>
          <w:szCs w:val="28"/>
        </w:rPr>
      </w:pPr>
    </w:p>
    <w:p w14:paraId="2BF41B1B">
      <w:pPr>
        <w:spacing w:line="360" w:lineRule="exact"/>
        <w:rPr>
          <w:rFonts w:hint="eastAsia" w:ascii="黑体" w:hAnsi="黑体" w:eastAsia="黑体" w:cs="宋体"/>
          <w:b/>
          <w:kern w:val="0"/>
          <w:sz w:val="28"/>
          <w:szCs w:val="28"/>
        </w:rPr>
      </w:pPr>
    </w:p>
    <w:p w14:paraId="075AB75D">
      <w:pPr>
        <w:spacing w:line="360" w:lineRule="exact"/>
        <w:rPr>
          <w:rFonts w:hint="eastAsia" w:ascii="黑体" w:hAnsi="黑体" w:eastAsia="黑体" w:cs="宋体"/>
          <w:b/>
          <w:kern w:val="0"/>
          <w:sz w:val="28"/>
          <w:szCs w:val="28"/>
        </w:rPr>
      </w:pPr>
    </w:p>
    <w:p w14:paraId="2BEA744B">
      <w:pPr>
        <w:spacing w:line="360" w:lineRule="exact"/>
        <w:rPr>
          <w:rFonts w:hint="eastAsia" w:ascii="黑体" w:hAnsi="黑体" w:eastAsia="黑体" w:cs="宋体"/>
          <w:b/>
          <w:kern w:val="0"/>
          <w:sz w:val="28"/>
          <w:szCs w:val="28"/>
        </w:rPr>
      </w:pPr>
    </w:p>
    <w:p w14:paraId="4E722068">
      <w:pPr>
        <w:spacing w:line="360" w:lineRule="exact"/>
        <w:rPr>
          <w:rFonts w:hint="eastAsia" w:ascii="黑体" w:hAnsi="黑体" w:eastAsia="黑体" w:cs="宋体"/>
          <w:b/>
          <w:kern w:val="0"/>
          <w:sz w:val="28"/>
          <w:szCs w:val="28"/>
        </w:rPr>
      </w:pPr>
    </w:p>
    <w:p w14:paraId="72F95539">
      <w:pPr>
        <w:spacing w:line="360" w:lineRule="exact"/>
        <w:rPr>
          <w:rFonts w:hint="eastAsia" w:ascii="黑体" w:hAnsi="黑体" w:eastAsia="黑体" w:cs="宋体"/>
          <w:b/>
          <w:kern w:val="0"/>
          <w:sz w:val="28"/>
          <w:szCs w:val="28"/>
        </w:rPr>
      </w:pPr>
    </w:p>
    <w:p w14:paraId="2BD8E153">
      <w:pPr>
        <w:spacing w:line="360" w:lineRule="exact"/>
        <w:rPr>
          <w:rFonts w:hint="eastAsia" w:ascii="黑体" w:hAnsi="黑体" w:eastAsia="黑体" w:cs="宋体"/>
          <w:b/>
          <w:kern w:val="0"/>
          <w:sz w:val="28"/>
          <w:szCs w:val="28"/>
        </w:rPr>
      </w:pPr>
    </w:p>
    <w:p w14:paraId="15D91919">
      <w:pPr>
        <w:jc w:val="center"/>
        <w:rPr>
          <w:rFonts w:hint="eastAsia" w:ascii="宋体" w:hAnsi="宋体"/>
          <w:b/>
          <w:bCs/>
          <w:color w:val="auto"/>
          <w:sz w:val="36"/>
          <w:szCs w:val="36"/>
          <w:lang w:val="en-US" w:eastAsia="zh-CN"/>
        </w:rPr>
      </w:pPr>
      <w:bookmarkStart w:id="8" w:name="_Hlk155791057"/>
      <w:bookmarkStart w:id="9" w:name="_Toc274596702"/>
      <w:bookmarkStart w:id="10" w:name="_Toc268793030"/>
      <w:bookmarkStart w:id="11" w:name="_Toc275019836"/>
      <w:bookmarkStart w:id="12" w:name="_Toc275019684"/>
      <w:bookmarkStart w:id="13" w:name="_Toc275019290"/>
      <w:bookmarkStart w:id="14" w:name="_Toc274236999"/>
      <w:bookmarkStart w:id="15" w:name="_Toc269113527"/>
      <w:bookmarkStart w:id="16" w:name="_Toc275014947"/>
      <w:bookmarkStart w:id="17" w:name="_Toc238797630"/>
      <w:bookmarkStart w:id="18" w:name="_Toc16684"/>
      <w:bookmarkStart w:id="19" w:name="_Toc303149804"/>
      <w:bookmarkStart w:id="20" w:name="_Toc318986166"/>
      <w:bookmarkStart w:id="21" w:name="_Toc238552273"/>
    </w:p>
    <w:p w14:paraId="751D3F58">
      <w:pPr>
        <w:jc w:val="center"/>
        <w:rPr>
          <w:rFonts w:hint="eastAsia" w:ascii="宋体" w:hAnsi="宋体"/>
          <w:b/>
          <w:bCs/>
          <w:color w:val="auto"/>
          <w:sz w:val="36"/>
          <w:szCs w:val="36"/>
          <w:lang w:val="en-US" w:eastAsia="zh-CN"/>
        </w:rPr>
      </w:pPr>
    </w:p>
    <w:p w14:paraId="748D08BE">
      <w:pPr>
        <w:jc w:val="center"/>
        <w:rPr>
          <w:rFonts w:hint="eastAsia" w:ascii="宋体" w:hAnsi="宋体"/>
          <w:b/>
          <w:bCs/>
          <w:color w:val="auto"/>
          <w:sz w:val="36"/>
          <w:szCs w:val="36"/>
          <w:lang w:val="en-US" w:eastAsia="zh-CN"/>
        </w:rPr>
      </w:pPr>
    </w:p>
    <w:p w14:paraId="4E5EBB72">
      <w:pPr>
        <w:jc w:val="center"/>
        <w:rPr>
          <w:rFonts w:hint="eastAsia" w:ascii="宋体" w:hAnsi="宋体"/>
          <w:b/>
          <w:bCs/>
          <w:color w:val="auto"/>
          <w:sz w:val="36"/>
          <w:szCs w:val="36"/>
          <w:lang w:val="en-US" w:eastAsia="zh-CN"/>
        </w:rPr>
      </w:pPr>
    </w:p>
    <w:p w14:paraId="19204643">
      <w:pPr>
        <w:jc w:val="center"/>
        <w:rPr>
          <w:rFonts w:hint="eastAsia" w:ascii="宋体" w:hAnsi="宋体"/>
          <w:b/>
          <w:bCs/>
          <w:color w:val="auto"/>
          <w:sz w:val="36"/>
          <w:szCs w:val="36"/>
          <w:lang w:val="en-US" w:eastAsia="zh-CN"/>
        </w:rPr>
      </w:pPr>
    </w:p>
    <w:p w14:paraId="1B0FBBCF">
      <w:pPr>
        <w:jc w:val="center"/>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第二章</w:t>
      </w:r>
    </w:p>
    <w:p w14:paraId="151C3386">
      <w:pPr>
        <w:jc w:val="center"/>
        <w:rPr>
          <w:rFonts w:hint="eastAsia" w:ascii="宋体" w:hAnsi="宋体"/>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p w14:paraId="02C75D7E">
      <w:pPr>
        <w:jc w:val="center"/>
        <w:rPr>
          <w:rFonts w:hint="eastAsia" w:ascii="宋体" w:hAnsi="宋体"/>
          <w:b/>
          <w:bCs/>
          <w:color w:val="auto"/>
          <w:sz w:val="36"/>
          <w:szCs w:val="36"/>
          <w:lang w:val="en-US" w:eastAsia="zh-CN"/>
        </w:rPr>
      </w:pPr>
    </w:p>
    <w:p w14:paraId="075E83EC">
      <w:pPr>
        <w:jc w:val="center"/>
        <w:rPr>
          <w:rFonts w:hint="default" w:ascii="宋体" w:hAnsi="宋体"/>
          <w:b/>
          <w:bCs/>
          <w:color w:val="auto"/>
          <w:sz w:val="36"/>
          <w:szCs w:val="36"/>
          <w:lang w:val="en-US" w:eastAsia="zh-CN"/>
        </w:rPr>
      </w:pPr>
    </w:p>
    <w:bookmarkEnd w:id="8"/>
    <w:p w14:paraId="7264C4C6">
      <w:pPr>
        <w:spacing w:line="400" w:lineRule="exact"/>
        <w:jc w:val="center"/>
        <w:rPr>
          <w:rFonts w:asciiTheme="minorEastAsia" w:hAnsiTheme="minorEastAsia"/>
          <w:b/>
          <w:sz w:val="36"/>
          <w:szCs w:val="36"/>
        </w:rPr>
      </w:pPr>
      <w:r>
        <w:rPr>
          <w:rFonts w:hint="eastAsia" w:asciiTheme="minorEastAsia" w:hAnsiTheme="minorEastAsia"/>
          <w:b/>
          <w:sz w:val="36"/>
          <w:szCs w:val="36"/>
          <w:lang w:val="en-US" w:eastAsia="zh-CN"/>
        </w:rPr>
        <w:t xml:space="preserve"> 搅拌器</w:t>
      </w:r>
      <w:r>
        <w:rPr>
          <w:rFonts w:hint="eastAsia" w:asciiTheme="minorEastAsia" w:hAnsiTheme="minorEastAsia"/>
          <w:b/>
          <w:sz w:val="36"/>
          <w:szCs w:val="36"/>
        </w:rPr>
        <w:t>购销合同</w:t>
      </w:r>
    </w:p>
    <w:p w14:paraId="4C2029D2">
      <w:pPr>
        <w:spacing w:line="400" w:lineRule="exact"/>
        <w:jc w:val="center"/>
        <w:rPr>
          <w:rFonts w:asciiTheme="minorEastAsia" w:hAnsiTheme="minorEastAsia"/>
          <w:bCs/>
          <w:sz w:val="36"/>
          <w:szCs w:val="36"/>
        </w:rPr>
      </w:pPr>
    </w:p>
    <w:p w14:paraId="1C5CC268">
      <w:pPr>
        <w:spacing w:line="400" w:lineRule="exact"/>
        <w:ind w:right="750"/>
        <w:jc w:val="right"/>
        <w:rPr>
          <w:rFonts w:cs="黑体" w:asciiTheme="minorEastAsia" w:hAnsiTheme="minorEastAsia"/>
          <w:sz w:val="28"/>
          <w:szCs w:val="28"/>
          <w:u w:val="single"/>
        </w:rPr>
      </w:pPr>
      <w:r>
        <w:rPr>
          <w:rFonts w:hint="eastAsia" w:cs="黑体" w:asciiTheme="minorEastAsia" w:hAnsiTheme="minorEastAsia"/>
          <w:sz w:val="28"/>
          <w:szCs w:val="28"/>
        </w:rPr>
        <w:t xml:space="preserve">  合同编号：GY-2025-</w:t>
      </w:r>
    </w:p>
    <w:p w14:paraId="08145274">
      <w:pPr>
        <w:spacing w:line="400" w:lineRule="exact"/>
        <w:rPr>
          <w:rFonts w:cs="黑体" w:asciiTheme="minorEastAsia" w:hAnsiTheme="minorEastAsia"/>
          <w:sz w:val="28"/>
          <w:szCs w:val="28"/>
        </w:rPr>
      </w:pPr>
      <w:r>
        <w:rPr>
          <w:rFonts w:hint="eastAsia" w:cs="黑体" w:asciiTheme="minorEastAsia" w:hAnsiTheme="minorEastAsia"/>
          <w:sz w:val="28"/>
          <w:szCs w:val="28"/>
        </w:rPr>
        <w:t>买方：四川宏达股份有限公司</w:t>
      </w:r>
    </w:p>
    <w:p w14:paraId="346D31FA">
      <w:pPr>
        <w:spacing w:line="400" w:lineRule="exact"/>
        <w:rPr>
          <w:rFonts w:cs="黑体" w:asciiTheme="minorEastAsia" w:hAnsiTheme="minorEastAsia"/>
          <w:b/>
          <w:sz w:val="28"/>
          <w:szCs w:val="28"/>
        </w:rPr>
      </w:pPr>
      <w:r>
        <w:rPr>
          <w:rFonts w:hint="eastAsia" w:cs="黑体" w:asciiTheme="minorEastAsia" w:hAnsiTheme="minorEastAsia"/>
          <w:sz w:val="28"/>
          <w:szCs w:val="28"/>
        </w:rPr>
        <w:t>卖方：</w:t>
      </w:r>
    </w:p>
    <w:p w14:paraId="4E087F79">
      <w:pPr>
        <w:spacing w:line="40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根据《中华人民共和国民法典》及相关法律法规的规定，本着平等互利、诚实守信的原则，经买卖双方协商一致，就买方向卖方购买</w:t>
      </w:r>
      <w:r>
        <w:rPr>
          <w:rFonts w:hint="eastAsia" w:cs="黑体" w:asciiTheme="minorEastAsia" w:hAnsiTheme="minorEastAsia"/>
          <w:sz w:val="28"/>
          <w:szCs w:val="28"/>
          <w:lang w:val="en-US" w:eastAsia="zh-CN"/>
        </w:rPr>
        <w:t>搅拌器</w:t>
      </w:r>
      <w:r>
        <w:rPr>
          <w:rFonts w:hint="eastAsia" w:cs="黑体" w:asciiTheme="minorEastAsia" w:hAnsiTheme="minorEastAsia"/>
          <w:sz w:val="28"/>
          <w:szCs w:val="28"/>
        </w:rPr>
        <w:t>事宜达成本合同，具体内容如下：</w:t>
      </w:r>
    </w:p>
    <w:p w14:paraId="487C1C55">
      <w:pPr>
        <w:pStyle w:val="48"/>
        <w:numPr>
          <w:ilvl w:val="0"/>
          <w:numId w:val="3"/>
        </w:numPr>
        <w:spacing w:line="400" w:lineRule="exact"/>
        <w:ind w:firstLineChars="0"/>
        <w:jc w:val="left"/>
        <w:rPr>
          <w:rFonts w:cs="黑体" w:asciiTheme="minorEastAsia" w:hAnsiTheme="minorEastAsia"/>
          <w:b/>
          <w:sz w:val="28"/>
          <w:szCs w:val="28"/>
        </w:rPr>
      </w:pPr>
      <w:r>
        <w:rPr>
          <w:rFonts w:hint="eastAsia" w:cs="黑体" w:asciiTheme="minorEastAsia" w:hAnsiTheme="minorEastAsia"/>
          <w:b/>
          <w:sz w:val="28"/>
          <w:szCs w:val="28"/>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707"/>
        <w:gridCol w:w="851"/>
        <w:gridCol w:w="1134"/>
        <w:gridCol w:w="567"/>
        <w:gridCol w:w="992"/>
        <w:gridCol w:w="1276"/>
        <w:gridCol w:w="1438"/>
      </w:tblGrid>
      <w:tr w14:paraId="7454C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1B0E3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CFC0A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品种规格</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FF6C85">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计量</w:t>
            </w:r>
          </w:p>
          <w:p w14:paraId="66E1E019">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单位</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23A266">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数量</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A6A1CE">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到厂单价（元）</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330A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税率</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49638BBF">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税额（元）</w:t>
            </w: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0C73C2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不含税金额（元）</w:t>
            </w: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EC6D71">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含税金额（元）</w:t>
            </w:r>
          </w:p>
        </w:tc>
      </w:tr>
      <w:tr w14:paraId="2A796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E841BE">
            <w:pPr>
              <w:pStyle w:val="48"/>
              <w:spacing w:line="400" w:lineRule="exact"/>
              <w:ind w:firstLine="0" w:firstLineChars="0"/>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焙砂制液压滤渣浆化搅拌器</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79B602">
            <w:pPr>
              <w:pStyle w:val="48"/>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B043C">
            <w:pPr>
              <w:pStyle w:val="48"/>
              <w:spacing w:line="400" w:lineRule="exact"/>
              <w:ind w:firstLine="0" w:firstLineChars="0"/>
              <w:jc w:val="center"/>
              <w:rPr>
                <w:rFonts w:cs="黑体" w:asciiTheme="minorEastAsia" w:hAnsiTheme="minorEastAsia"/>
                <w:szCs w:val="21"/>
              </w:rPr>
            </w:pPr>
            <w:r>
              <w:rPr>
                <w:rFonts w:hint="eastAsia" w:cs="黑体" w:asciiTheme="minorEastAsia" w:hAnsiTheme="minorEastAsia"/>
                <w:szCs w:val="21"/>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203055">
            <w:pPr>
              <w:pStyle w:val="48"/>
              <w:spacing w:line="400" w:lineRule="exact"/>
              <w:ind w:firstLine="0" w:firstLineChars="0"/>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B22192">
            <w:pPr>
              <w:pStyle w:val="48"/>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5A13A1">
            <w:pPr>
              <w:pStyle w:val="48"/>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5AC71250">
            <w:pPr>
              <w:pStyle w:val="48"/>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51DF5031">
            <w:pPr>
              <w:pStyle w:val="48"/>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987559">
            <w:pPr>
              <w:pStyle w:val="48"/>
              <w:spacing w:line="400" w:lineRule="exact"/>
              <w:ind w:firstLine="0" w:firstLineChars="0"/>
              <w:jc w:val="center"/>
              <w:rPr>
                <w:rFonts w:cs="黑体" w:asciiTheme="minorEastAsia" w:hAnsiTheme="minorEastAsia"/>
                <w:szCs w:val="21"/>
              </w:rPr>
            </w:pPr>
          </w:p>
        </w:tc>
      </w:tr>
      <w:tr w14:paraId="15813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546FF0">
            <w:pPr>
              <w:pStyle w:val="48"/>
              <w:spacing w:line="400" w:lineRule="exact"/>
              <w:ind w:firstLine="0" w:firstLineChars="0"/>
              <w:rPr>
                <w:rFonts w:cs="黑体" w:asciiTheme="minorEastAsia" w:hAnsiTheme="minorEastAsia"/>
                <w:b/>
                <w:szCs w:val="21"/>
              </w:rPr>
            </w:pPr>
            <w:r>
              <w:rPr>
                <w:rFonts w:hint="eastAsia" w:cs="黑体" w:asciiTheme="minorEastAsia" w:hAnsiTheme="minorEastAsia"/>
                <w:b/>
                <w:szCs w:val="21"/>
              </w:rPr>
              <w:t>合计人民币总金额（大写）：元。该价款为一次性包干总价，系卖方履行本合同项下的所有内容而能获得的全部价款，包括但不限于材料费、制作加工费、包装费、装车费、运费、保险费、税金等，不含卸车费、安装费，采购方负责安装。除此之外，不做任何调整，如有遗漏，均视为卖方的自愿让利行为。</w:t>
            </w:r>
          </w:p>
        </w:tc>
      </w:tr>
    </w:tbl>
    <w:p w14:paraId="5E1FC451">
      <w:pPr>
        <w:pStyle w:val="52"/>
        <w:keepNext w:val="0"/>
        <w:keepLines w:val="0"/>
        <w:pageBreakBefore w:val="0"/>
        <w:widowControl w:val="0"/>
        <w:kinsoku/>
        <w:wordWrap/>
        <w:overflowPunct/>
        <w:topLinePunct w:val="0"/>
        <w:autoSpaceDE/>
        <w:autoSpaceDN/>
        <w:bidi w:val="0"/>
        <w:snapToGrid/>
        <w:spacing w:line="400" w:lineRule="exact"/>
        <w:rPr>
          <w:rFonts w:cs="宋体" w:asciiTheme="minorEastAsia" w:hAnsiTheme="minorEastAsia" w:eastAsiaTheme="minorEastAsia"/>
          <w:color w:val="000000"/>
          <w:kern w:val="0"/>
          <w:sz w:val="28"/>
          <w:szCs w:val="28"/>
        </w:rPr>
      </w:pPr>
      <w:bookmarkStart w:id="22" w:name="OLE_LINK5"/>
      <w:r>
        <w:rPr>
          <w:rFonts w:hint="eastAsia" w:cs="黑体" w:asciiTheme="minorEastAsia" w:hAnsiTheme="minorEastAsia" w:eastAsiaTheme="minorEastAsia"/>
          <w:color w:val="000000"/>
          <w:sz w:val="28"/>
          <w:szCs w:val="28"/>
        </w:rPr>
        <w:t>第二条质量标准及要求</w:t>
      </w:r>
      <w:r>
        <w:rPr>
          <w:rFonts w:hint="eastAsia" w:cs="黑体" w:asciiTheme="minorEastAsia" w:hAnsiTheme="minorEastAsia" w:eastAsiaTheme="minorEastAsia"/>
          <w:color w:val="000000"/>
          <w:sz w:val="28"/>
          <w:szCs w:val="28"/>
        </w:rPr>
        <w:br w:type="textWrapping"/>
      </w:r>
      <w:r>
        <w:rPr>
          <w:rFonts w:hint="eastAsia" w:cs="黑体" w:asciiTheme="minorEastAsia" w:hAnsiTheme="minorEastAsia" w:eastAsiaTheme="minorEastAsia"/>
          <w:color w:val="000000"/>
          <w:sz w:val="28"/>
          <w:szCs w:val="28"/>
        </w:rPr>
        <w:t>1</w:t>
      </w:r>
      <w:r>
        <w:rPr>
          <w:rFonts w:cs="黑体" w:asciiTheme="minorEastAsia" w:hAnsiTheme="minorEastAsia" w:eastAsiaTheme="minorEastAsia"/>
          <w:color w:val="000000"/>
          <w:sz w:val="28"/>
          <w:szCs w:val="28"/>
        </w:rPr>
        <w:t>.</w:t>
      </w:r>
      <w:r>
        <w:rPr>
          <w:rFonts w:hint="eastAsia" w:cs="黑体" w:asciiTheme="minorEastAsia" w:hAnsiTheme="minorEastAsia" w:eastAsiaTheme="minorEastAsia"/>
          <w:color w:val="000000"/>
          <w:sz w:val="28"/>
          <w:szCs w:val="28"/>
        </w:rPr>
        <w:t>质量要求：</w:t>
      </w:r>
      <w:r>
        <w:rPr>
          <w:rFonts w:hint="eastAsia" w:cs="宋体" w:asciiTheme="minorEastAsia" w:hAnsiTheme="minorEastAsia" w:eastAsiaTheme="minorEastAsia"/>
          <w:color w:val="000000"/>
          <w:kern w:val="0"/>
          <w:sz w:val="28"/>
          <w:szCs w:val="28"/>
        </w:rPr>
        <w:t>投标设备技术性能质量、安全环保要求必须符合相关国家标准和行业标准。</w:t>
      </w:r>
    </w:p>
    <w:p w14:paraId="7C6398DF">
      <w:pPr>
        <w:keepNext w:val="0"/>
        <w:keepLines w:val="0"/>
        <w:pageBreakBefore w:val="0"/>
        <w:widowControl w:val="0"/>
        <w:kinsoku/>
        <w:wordWrap/>
        <w:overflowPunct/>
        <w:topLinePunct w:val="0"/>
        <w:autoSpaceDE/>
        <w:autoSpaceDN/>
        <w:bidi w:val="0"/>
        <w:snapToGrid/>
        <w:spacing w:line="400" w:lineRule="exact"/>
        <w:rPr>
          <w:rFonts w:cs="黑体" w:asciiTheme="minorEastAsia" w:hAnsiTheme="minorEastAsia"/>
          <w:color w:val="000000"/>
          <w:sz w:val="28"/>
          <w:szCs w:val="28"/>
        </w:rPr>
      </w:pPr>
      <w:r>
        <w:rPr>
          <w:rFonts w:hint="eastAsia" w:cs="黑体" w:asciiTheme="minorEastAsia" w:hAnsiTheme="minorEastAsia"/>
          <w:color w:val="000000"/>
          <w:sz w:val="28"/>
          <w:szCs w:val="28"/>
        </w:rPr>
        <w:t>2</w:t>
      </w:r>
      <w:r>
        <w:rPr>
          <w:rFonts w:cs="黑体" w:asciiTheme="minorEastAsia" w:hAnsiTheme="minorEastAsia"/>
          <w:color w:val="000000"/>
          <w:sz w:val="28"/>
          <w:szCs w:val="28"/>
        </w:rPr>
        <w:t>.</w:t>
      </w:r>
      <w:r>
        <w:rPr>
          <w:rFonts w:hint="eastAsia" w:cs="黑体" w:asciiTheme="minorEastAsia" w:hAnsiTheme="minorEastAsia"/>
          <w:color w:val="000000"/>
          <w:sz w:val="28"/>
          <w:szCs w:val="28"/>
        </w:rPr>
        <w:t>质保期：产品质量实行质保期内“三包”，质保期1年。质保期自货物验收合格并投入使用之日起或货到验收合格后180个自然日起（因买方原因未安装使用）开始计算。</w:t>
      </w:r>
    </w:p>
    <w:p w14:paraId="2350C0B1">
      <w:pPr>
        <w:keepNext w:val="0"/>
        <w:keepLines w:val="0"/>
        <w:pageBreakBefore w:val="0"/>
        <w:widowControl w:val="0"/>
        <w:kinsoku/>
        <w:wordWrap/>
        <w:overflowPunct/>
        <w:topLinePunct w:val="0"/>
        <w:autoSpaceDE/>
        <w:autoSpaceDN/>
        <w:bidi w:val="0"/>
        <w:snapToGrid/>
        <w:spacing w:line="400" w:lineRule="exact"/>
        <w:rPr>
          <w:rFonts w:hint="eastAsia" w:cs="黑体" w:asciiTheme="minorEastAsia" w:hAnsiTheme="minorEastAsia"/>
          <w:color w:val="000000"/>
          <w:sz w:val="28"/>
          <w:szCs w:val="28"/>
        </w:rPr>
      </w:pPr>
      <w:r>
        <w:rPr>
          <w:rFonts w:hint="eastAsia" w:cs="黑体" w:asciiTheme="minorEastAsia" w:hAnsiTheme="minorEastAsia"/>
          <w:color w:val="000000"/>
          <w:sz w:val="28"/>
          <w:szCs w:val="28"/>
        </w:rPr>
        <w:t>第三条交货地点、交货方式及交货时间</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1.交货地点：买方</w:t>
      </w:r>
      <w:r>
        <w:rPr>
          <w:rFonts w:hint="eastAsia" w:cs="黑体" w:asciiTheme="minorEastAsia" w:hAnsiTheme="minorEastAsia"/>
          <w:color w:val="000000"/>
          <w:sz w:val="28"/>
          <w:szCs w:val="28"/>
          <w:lang w:val="en-US" w:eastAsia="zh-CN"/>
        </w:rPr>
        <w:t>有色金属</w:t>
      </w:r>
      <w:r>
        <w:rPr>
          <w:rFonts w:hint="eastAsia" w:cs="黑体" w:asciiTheme="minorEastAsia" w:hAnsiTheme="minorEastAsia"/>
          <w:color w:val="000000"/>
          <w:sz w:val="28"/>
          <w:szCs w:val="28"/>
        </w:rPr>
        <w:t>分公司指定地点（四川省什邡市</w:t>
      </w:r>
      <w:r>
        <w:rPr>
          <w:rFonts w:hint="eastAsia" w:cs="黑体" w:asciiTheme="minorEastAsia" w:hAnsiTheme="minorEastAsia"/>
          <w:color w:val="000000"/>
          <w:sz w:val="28"/>
          <w:szCs w:val="28"/>
          <w:lang w:val="en-US" w:eastAsia="zh-CN"/>
        </w:rPr>
        <w:t>师古镇</w:t>
      </w:r>
      <w:r>
        <w:rPr>
          <w:rFonts w:hint="eastAsia" w:cs="黑体" w:asciiTheme="minorEastAsia" w:hAnsiTheme="minorEastAsia"/>
          <w:color w:val="000000"/>
          <w:sz w:val="28"/>
          <w:szCs w:val="28"/>
        </w:rPr>
        <w:t>）。</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2.交货方式：卖方负责发（送）货到交货地点。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3.交货时间：</w:t>
      </w:r>
      <w:r>
        <w:rPr>
          <w:rFonts w:hint="eastAsia" w:cs="黑体" w:asciiTheme="minorEastAsia" w:hAnsiTheme="minorEastAsia"/>
          <w:sz w:val="28"/>
          <w:szCs w:val="28"/>
          <w:lang w:val="en-US" w:eastAsia="zh-CN"/>
        </w:rPr>
        <w:t>预付款到账</w:t>
      </w:r>
      <w:r>
        <w:rPr>
          <w:rFonts w:hint="eastAsia" w:cs="黑体" w:asciiTheme="minorEastAsia" w:hAnsiTheme="minorEastAsia"/>
          <w:sz w:val="28"/>
          <w:szCs w:val="28"/>
        </w:rPr>
        <w:t>之日起</w:t>
      </w:r>
      <w:r>
        <w:rPr>
          <w:rFonts w:hint="eastAsia" w:cs="黑体" w:asciiTheme="minorEastAsia" w:hAnsiTheme="minorEastAsia"/>
          <w:color w:val="000000" w:themeColor="text1"/>
          <w:sz w:val="28"/>
          <w:szCs w:val="28"/>
          <w14:textFill>
            <w14:solidFill>
              <w14:schemeClr w14:val="tx1"/>
            </w14:solidFill>
          </w14:textFill>
        </w:rPr>
        <w:t>个</w:t>
      </w:r>
      <w:r>
        <w:rPr>
          <w:rFonts w:hint="eastAsia" w:cs="黑体" w:asciiTheme="minorEastAsia" w:hAnsiTheme="minorEastAsia"/>
          <w:color w:val="000000" w:themeColor="text1"/>
          <w:sz w:val="28"/>
          <w:szCs w:val="28"/>
          <w:lang w:val="en-US" w:eastAsia="zh-CN"/>
          <w14:textFill>
            <w14:solidFill>
              <w14:schemeClr w14:val="tx1"/>
            </w14:solidFill>
          </w14:textFill>
        </w:rPr>
        <w:t>50</w:t>
      </w:r>
      <w:r>
        <w:rPr>
          <w:rFonts w:hint="eastAsia" w:cs="黑体" w:asciiTheme="minorEastAsia" w:hAnsiTheme="minorEastAsia"/>
          <w:sz w:val="28"/>
          <w:szCs w:val="28"/>
        </w:rPr>
        <w:t>自然日内交货</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第四条运输方式、包装要求、费用承担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1.运输方式：汽车运输。</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第五条标的物验收及异议处理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1.标的物验收标准按本合同第二条要求执行，标的物的数量、质量、型号规格、外观等一切货物指标以买方的验收结果为准。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第六条付款方式及发票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付款方式：以现汇或银行电子承兑汇票支付。合同签订生效后，买方按合同总金额的30%向卖方支付预付款；卖方将标的物送（发）到买方指定交货地点，经买方初步验收合格，且开具合法有效、符合买方要求的全额增值税专用发票后，买方按合同总金额的30%支付到货款；标的物安装调试好经运行验收合格后，买方按合同总金额的30%支付货款。剩余合同总金额的10%作为质保金，待质保期到期且无任何质量异议后一次性付清（无息）。</w:t>
      </w:r>
    </w:p>
    <w:p w14:paraId="5A63BD6C">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2.发票：一票制，卖方开具全额增值税专用发票（税率13%）。</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第七条违约责任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1.卖方应具备合法的经营资质，并向买方主动提供相应证件。如因弄虚作假造成的一切法律责任和经济纠纷由卖方承担。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3.卖方必须按合同约定，提前或按时交付标的物。否则，每逾期一天，卖方按合同总金额的</w:t>
      </w:r>
      <w:r>
        <w:rPr>
          <w:rFonts w:cs="黑体" w:asciiTheme="minorEastAsia" w:hAnsiTheme="minorEastAsia"/>
          <w:color w:val="000000"/>
          <w:sz w:val="28"/>
          <w:szCs w:val="28"/>
        </w:rPr>
        <w:t>0.5％</w:t>
      </w:r>
      <w:r>
        <w:rPr>
          <w:rFonts w:hint="eastAsia" w:cs="黑体" w:asciiTheme="minorEastAsia" w:hAnsiTheme="minorEastAsia"/>
          <w:color w:val="000000"/>
          <w:sz w:val="28"/>
          <w:szCs w:val="28"/>
        </w:rPr>
        <w:t>向买方支付违约金。若逾期时间超过20个自然日，买方有权提前终止/解除合同，卖方应在合同终止之日起5个工作日内全额退还买方已支付的全部款项，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第八条争议解决方式</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第九条合同有效期限</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本合同有效期自2025年</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月</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日起至质保期结束之日止。</w:t>
      </w:r>
    </w:p>
    <w:p w14:paraId="064B0AC2">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第十条合同生效及份数                 </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本合同自买卖双方盖章后生效。本合同一式肆份，买卖双方各执贰份，具有同等法律效力。</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第十一条其它约定事项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3.双方以本合同载明的通讯联络方式作为通知的依据，前述通讯方式变更的，应提前三天书面通知对方，否则按原通讯方式送达仍视为有效送达。</w:t>
      </w:r>
    </w:p>
    <w:p w14:paraId="28090523">
      <w:pPr>
        <w:keepNext w:val="0"/>
        <w:keepLines w:val="0"/>
        <w:pageBreakBefore w:val="0"/>
        <w:widowControl w:val="0"/>
        <w:numPr>
          <w:ilvl w:val="0"/>
          <w:numId w:val="4"/>
        </w:numPr>
        <w:kinsoku/>
        <w:wordWrap/>
        <w:overflowPunct/>
        <w:topLinePunct w:val="0"/>
        <w:autoSpaceDE/>
        <w:autoSpaceDN/>
        <w:bidi w:val="0"/>
        <w:snapToGrid/>
        <w:spacing w:line="400" w:lineRule="exact"/>
        <w:jc w:val="left"/>
        <w:rPr>
          <w:rFonts w:hint="eastAsia" w:cs="黑体" w:asciiTheme="minorEastAsia" w:hAnsiTheme="minorEastAsia"/>
          <w:color w:val="000000"/>
          <w:sz w:val="28"/>
          <w:szCs w:val="28"/>
        </w:rPr>
      </w:pPr>
      <w:r>
        <w:rPr>
          <w:rFonts w:hint="eastAsia" w:cs="黑体" w:asciiTheme="minorEastAsia" w:hAnsiTheme="minorEastAsia"/>
          <w:color w:val="000000"/>
          <w:sz w:val="28"/>
          <w:szCs w:val="28"/>
        </w:rPr>
        <w:t>随机附产品使用说明书、产品合格证等文件资料。</w:t>
      </w:r>
    </w:p>
    <w:p w14:paraId="1C5E53AA">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rPr>
          <w:rFonts w:cs="黑体" w:asciiTheme="minorEastAsia" w:hAnsiTheme="minorEastAsia"/>
          <w:sz w:val="28"/>
          <w:szCs w:val="28"/>
        </w:rPr>
      </w:pPr>
      <w:r>
        <w:rPr>
          <w:rFonts w:hint="eastAsia" w:cs="黑体" w:asciiTheme="minorEastAsia" w:hAnsiTheme="minorEastAsia"/>
          <w:color w:val="000000"/>
          <w:sz w:val="28"/>
          <w:szCs w:val="28"/>
          <w:lang w:val="en-US" w:eastAsia="zh-CN"/>
        </w:rPr>
        <w:t>5.买方逾期付款的，卖方自愿给与买方一定的宽限期。宽限期经过买方仍未付款的，则以逾期未付金额为基础按发生时中国人民 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（以下无正文）</w:t>
      </w:r>
      <w:bookmarkEnd w:id="22"/>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6D5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7A7B166C">
            <w:pPr>
              <w:spacing w:line="400" w:lineRule="exact"/>
              <w:rPr>
                <w:rFonts w:cs="黑体" w:asciiTheme="minorEastAsia" w:hAnsiTheme="minorEastAsia"/>
                <w:sz w:val="28"/>
                <w:szCs w:val="28"/>
              </w:rPr>
            </w:pPr>
            <w:r>
              <w:rPr>
                <w:rFonts w:hint="eastAsia" w:cs="黑体" w:asciiTheme="minorEastAsia" w:hAnsiTheme="minorEastAsia"/>
                <w:sz w:val="28"/>
                <w:szCs w:val="28"/>
              </w:rPr>
              <w:t>买方（盖章）：四川宏达股份有限公司</w:t>
            </w:r>
          </w:p>
        </w:tc>
        <w:tc>
          <w:tcPr>
            <w:tcW w:w="4819" w:type="dxa"/>
            <w:tcBorders>
              <w:top w:val="single" w:color="auto" w:sz="4" w:space="0"/>
              <w:left w:val="nil"/>
              <w:bottom w:val="single" w:color="auto" w:sz="4" w:space="0"/>
              <w:right w:val="single" w:color="auto" w:sz="4" w:space="0"/>
            </w:tcBorders>
          </w:tcPr>
          <w:p w14:paraId="157F985A">
            <w:pPr>
              <w:spacing w:line="400" w:lineRule="exact"/>
              <w:rPr>
                <w:rFonts w:cs="黑体" w:asciiTheme="minorEastAsia" w:hAnsiTheme="minorEastAsia"/>
                <w:sz w:val="28"/>
                <w:szCs w:val="28"/>
              </w:rPr>
            </w:pPr>
            <w:r>
              <w:rPr>
                <w:rFonts w:hint="eastAsia" w:cs="黑体" w:asciiTheme="minorEastAsia" w:hAnsiTheme="minorEastAsia"/>
                <w:sz w:val="28"/>
                <w:szCs w:val="28"/>
              </w:rPr>
              <w:t>卖方（盖章）：</w:t>
            </w:r>
          </w:p>
        </w:tc>
      </w:tr>
      <w:tr w14:paraId="1803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0E7BB934">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c>
          <w:tcPr>
            <w:tcW w:w="4819" w:type="dxa"/>
            <w:tcBorders>
              <w:top w:val="single" w:color="auto" w:sz="4" w:space="0"/>
              <w:left w:val="nil"/>
              <w:bottom w:val="single" w:color="auto" w:sz="4" w:space="0"/>
              <w:right w:val="single" w:color="auto" w:sz="4" w:space="0"/>
            </w:tcBorders>
          </w:tcPr>
          <w:p w14:paraId="41B5D752">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r>
      <w:tr w14:paraId="0E8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F843FAB">
            <w:pPr>
              <w:spacing w:line="400" w:lineRule="exact"/>
              <w:rPr>
                <w:rFonts w:cs="黑体" w:asciiTheme="minorEastAsia" w:hAnsiTheme="minorEastAsia"/>
                <w:sz w:val="28"/>
                <w:szCs w:val="28"/>
              </w:rPr>
            </w:pPr>
            <w:r>
              <w:rPr>
                <w:rFonts w:hint="eastAsia" w:cs="黑体" w:asciiTheme="minorEastAsia" w:hAnsiTheme="minorEastAsia"/>
                <w:sz w:val="28"/>
                <w:szCs w:val="28"/>
              </w:rPr>
              <w:t>联系电话：08388702056</w:t>
            </w:r>
          </w:p>
        </w:tc>
        <w:tc>
          <w:tcPr>
            <w:tcW w:w="4819" w:type="dxa"/>
            <w:tcBorders>
              <w:top w:val="single" w:color="auto" w:sz="4" w:space="0"/>
              <w:left w:val="nil"/>
              <w:bottom w:val="single" w:color="auto" w:sz="4" w:space="0"/>
              <w:right w:val="single" w:color="auto" w:sz="4" w:space="0"/>
            </w:tcBorders>
            <w:vAlign w:val="center"/>
          </w:tcPr>
          <w:p w14:paraId="46AD9D19">
            <w:pPr>
              <w:spacing w:line="400" w:lineRule="exact"/>
              <w:rPr>
                <w:rFonts w:cs="黑体" w:asciiTheme="minorEastAsia" w:hAnsiTheme="minorEastAsia"/>
                <w:sz w:val="28"/>
                <w:szCs w:val="28"/>
              </w:rPr>
            </w:pPr>
            <w:r>
              <w:rPr>
                <w:rFonts w:hint="eastAsia" w:cs="黑体" w:asciiTheme="minorEastAsia" w:hAnsiTheme="minorEastAsia"/>
                <w:sz w:val="28"/>
                <w:szCs w:val="28"/>
              </w:rPr>
              <w:t>联系电话：</w:t>
            </w:r>
          </w:p>
        </w:tc>
      </w:tr>
      <w:tr w14:paraId="207E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3A5C9DB">
            <w:pPr>
              <w:spacing w:line="400" w:lineRule="exact"/>
              <w:rPr>
                <w:rFonts w:cs="黑体" w:asciiTheme="minorEastAsia" w:hAnsiTheme="minorEastAsia"/>
                <w:sz w:val="28"/>
                <w:szCs w:val="28"/>
              </w:rPr>
            </w:pPr>
            <w:r>
              <w:rPr>
                <w:rFonts w:hint="eastAsia" w:cs="黑体" w:asciiTheme="minorEastAsia" w:hAnsiTheme="minorEastAsia"/>
                <w:sz w:val="28"/>
                <w:szCs w:val="28"/>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20388781">
            <w:pPr>
              <w:spacing w:line="400" w:lineRule="exact"/>
              <w:rPr>
                <w:rFonts w:cs="黑体" w:asciiTheme="minorEastAsia" w:hAnsiTheme="minorEastAsia"/>
                <w:sz w:val="28"/>
                <w:szCs w:val="28"/>
              </w:rPr>
            </w:pPr>
            <w:r>
              <w:rPr>
                <w:rFonts w:hint="eastAsia" w:cs="黑体" w:asciiTheme="minorEastAsia" w:hAnsiTheme="minorEastAsia"/>
                <w:sz w:val="28"/>
                <w:szCs w:val="28"/>
              </w:rPr>
              <w:t>通讯地址：</w:t>
            </w:r>
          </w:p>
        </w:tc>
      </w:tr>
      <w:tr w14:paraId="2BB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2ADFD78">
            <w:pPr>
              <w:spacing w:line="400" w:lineRule="exact"/>
              <w:rPr>
                <w:rFonts w:cs="黑体" w:asciiTheme="minorEastAsia" w:hAnsiTheme="minorEastAsia"/>
                <w:sz w:val="28"/>
                <w:szCs w:val="28"/>
              </w:rPr>
            </w:pPr>
            <w:r>
              <w:rPr>
                <w:rFonts w:hint="eastAsia" w:cs="黑体" w:asciiTheme="minorEastAsia" w:hAnsiTheme="minorEastAsia"/>
                <w:sz w:val="28"/>
                <w:szCs w:val="28"/>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79415E43">
            <w:pPr>
              <w:spacing w:line="400" w:lineRule="exact"/>
              <w:rPr>
                <w:rFonts w:cs="黑体" w:asciiTheme="minorEastAsia" w:hAnsiTheme="minorEastAsia"/>
                <w:sz w:val="28"/>
                <w:szCs w:val="28"/>
              </w:rPr>
            </w:pPr>
            <w:r>
              <w:rPr>
                <w:rFonts w:hint="eastAsia" w:cs="黑体" w:asciiTheme="minorEastAsia" w:hAnsiTheme="minorEastAsia"/>
                <w:sz w:val="28"/>
                <w:szCs w:val="28"/>
              </w:rPr>
              <w:t>开户行：</w:t>
            </w:r>
          </w:p>
        </w:tc>
      </w:tr>
      <w:tr w14:paraId="64FA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73C4BD">
            <w:pPr>
              <w:spacing w:line="400" w:lineRule="exact"/>
              <w:rPr>
                <w:rFonts w:cs="黑体" w:asciiTheme="minorEastAsia" w:hAnsiTheme="minorEastAsia"/>
                <w:sz w:val="28"/>
                <w:szCs w:val="28"/>
              </w:rPr>
            </w:pPr>
            <w:r>
              <w:rPr>
                <w:rFonts w:hint="eastAsia" w:cs="黑体" w:asciiTheme="minorEastAsia" w:hAnsiTheme="minorEastAsia"/>
                <w:sz w:val="28"/>
                <w:szCs w:val="28"/>
              </w:rPr>
              <w:t>帐号：121203636202</w:t>
            </w:r>
          </w:p>
        </w:tc>
        <w:tc>
          <w:tcPr>
            <w:tcW w:w="4819" w:type="dxa"/>
            <w:tcBorders>
              <w:top w:val="single" w:color="auto" w:sz="4" w:space="0"/>
              <w:left w:val="nil"/>
              <w:bottom w:val="single" w:color="auto" w:sz="4" w:space="0"/>
              <w:right w:val="single" w:color="auto" w:sz="4" w:space="0"/>
            </w:tcBorders>
            <w:vAlign w:val="center"/>
          </w:tcPr>
          <w:p w14:paraId="07A252CB">
            <w:pPr>
              <w:spacing w:line="400" w:lineRule="exact"/>
              <w:rPr>
                <w:rFonts w:cs="黑体" w:asciiTheme="minorEastAsia" w:hAnsiTheme="minorEastAsia"/>
                <w:sz w:val="28"/>
                <w:szCs w:val="28"/>
              </w:rPr>
            </w:pPr>
            <w:r>
              <w:rPr>
                <w:rFonts w:hint="eastAsia" w:cs="黑体" w:asciiTheme="minorEastAsia" w:hAnsiTheme="minorEastAsia"/>
                <w:sz w:val="28"/>
                <w:szCs w:val="28"/>
              </w:rPr>
              <w:t>帐号：</w:t>
            </w:r>
          </w:p>
        </w:tc>
      </w:tr>
      <w:tr w14:paraId="6BCD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458EA68">
            <w:pPr>
              <w:spacing w:line="400" w:lineRule="exact"/>
              <w:rPr>
                <w:rFonts w:cs="黑体" w:asciiTheme="minorEastAsia" w:hAnsiTheme="minorEastAsia"/>
                <w:sz w:val="28"/>
                <w:szCs w:val="28"/>
              </w:rPr>
            </w:pPr>
            <w:r>
              <w:rPr>
                <w:rFonts w:hint="eastAsia" w:cs="黑体" w:asciiTheme="minorEastAsia" w:hAnsiTheme="minorEastAsia"/>
                <w:sz w:val="28"/>
                <w:szCs w:val="28"/>
              </w:rPr>
              <w:t>税号：91510600205363163Y</w:t>
            </w:r>
          </w:p>
        </w:tc>
        <w:tc>
          <w:tcPr>
            <w:tcW w:w="4819" w:type="dxa"/>
            <w:tcBorders>
              <w:top w:val="single" w:color="auto" w:sz="4" w:space="0"/>
              <w:left w:val="nil"/>
              <w:bottom w:val="single" w:color="auto" w:sz="4" w:space="0"/>
              <w:right w:val="single" w:color="auto" w:sz="4" w:space="0"/>
            </w:tcBorders>
            <w:vAlign w:val="center"/>
          </w:tcPr>
          <w:p w14:paraId="07FA5810">
            <w:pPr>
              <w:spacing w:line="400" w:lineRule="exact"/>
              <w:rPr>
                <w:rFonts w:cs="黑体" w:asciiTheme="minorEastAsia" w:hAnsiTheme="minorEastAsia"/>
                <w:sz w:val="28"/>
                <w:szCs w:val="28"/>
              </w:rPr>
            </w:pPr>
            <w:r>
              <w:rPr>
                <w:rFonts w:hint="eastAsia" w:cs="黑体" w:asciiTheme="minorEastAsia" w:hAnsiTheme="minorEastAsia"/>
                <w:sz w:val="28"/>
                <w:szCs w:val="28"/>
              </w:rPr>
              <w:t>税号:</w:t>
            </w:r>
          </w:p>
        </w:tc>
      </w:tr>
      <w:tr w14:paraId="4AD5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A946131">
            <w:pPr>
              <w:spacing w:line="400" w:lineRule="exact"/>
              <w:rPr>
                <w:rFonts w:hint="default" w:cs="黑体" w:asciiTheme="minorEastAsia" w:hAnsiTheme="minorEastAsia" w:eastAsiaTheme="minorEastAsia"/>
                <w:sz w:val="28"/>
                <w:szCs w:val="28"/>
                <w:lang w:val="en-US" w:eastAsia="zh-CN"/>
              </w:rPr>
            </w:pPr>
            <w:r>
              <w:rPr>
                <w:rFonts w:hint="eastAsia" w:cs="黑体" w:asciiTheme="minorEastAsia" w:hAnsiTheme="minorEastAsia"/>
                <w:sz w:val="28"/>
                <w:szCs w:val="28"/>
              </w:rPr>
              <w:t>签订地点：</w:t>
            </w:r>
            <w:r>
              <w:rPr>
                <w:rFonts w:hint="eastAsia" w:cs="黑体" w:asciiTheme="minorEastAsia" w:hAnsiTheme="minorEastAsia"/>
                <w:sz w:val="28"/>
                <w:szCs w:val="28"/>
                <w:lang w:val="en-US" w:eastAsia="zh-CN"/>
              </w:rPr>
              <w:t>四川省什邡市师古镇</w:t>
            </w:r>
          </w:p>
        </w:tc>
        <w:tc>
          <w:tcPr>
            <w:tcW w:w="4819" w:type="dxa"/>
            <w:tcBorders>
              <w:top w:val="single" w:color="auto" w:sz="4" w:space="0"/>
              <w:left w:val="nil"/>
              <w:bottom w:val="single" w:color="auto" w:sz="4" w:space="0"/>
              <w:right w:val="single" w:color="auto" w:sz="4" w:space="0"/>
            </w:tcBorders>
            <w:vAlign w:val="center"/>
          </w:tcPr>
          <w:p w14:paraId="54DD5A25">
            <w:pPr>
              <w:spacing w:line="400" w:lineRule="exact"/>
              <w:rPr>
                <w:rFonts w:cs="黑体" w:asciiTheme="minorEastAsia" w:hAnsiTheme="minorEastAsia"/>
                <w:sz w:val="28"/>
                <w:szCs w:val="28"/>
              </w:rPr>
            </w:pPr>
            <w:r>
              <w:rPr>
                <w:rFonts w:hint="eastAsia" w:cs="黑体" w:asciiTheme="minorEastAsia" w:hAnsiTheme="minorEastAsia"/>
                <w:sz w:val="28"/>
                <w:szCs w:val="28"/>
              </w:rPr>
              <w:t>签订日期：</w:t>
            </w:r>
          </w:p>
        </w:tc>
      </w:tr>
    </w:tbl>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9"/>
      <w:bookmarkEnd w:id="10"/>
      <w:bookmarkEnd w:id="11"/>
      <w:bookmarkEnd w:id="12"/>
      <w:bookmarkEnd w:id="13"/>
      <w:bookmarkEnd w:id="14"/>
      <w:bookmarkEnd w:id="15"/>
      <w:bookmarkEnd w:id="16"/>
      <w:bookmarkEnd w:id="17"/>
      <w:bookmarkEnd w:id="18"/>
      <w:bookmarkEnd w:id="19"/>
      <w:bookmarkEnd w:id="20"/>
      <w:bookmarkEnd w:id="21"/>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rPr>
      </w:pPr>
      <w:r>
        <w:rPr>
          <w:rFonts w:hint="eastAsia" w:ascii="黑体" w:hAnsi="黑体" w:eastAsia="黑体" w:cs="宋体"/>
          <w:color w:val="auto"/>
          <w:sz w:val="40"/>
          <w:szCs w:val="40"/>
          <w:lang w:val="en-US" w:eastAsia="zh-CN"/>
        </w:rPr>
        <w:t>焙砂制液压滤渣浆化槽搅拌器</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23" w:name="_Toc4384"/>
      <w:bookmarkStart w:id="24" w:name="_Toc30198"/>
      <w:bookmarkStart w:id="25"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b/>
          <w:bCs/>
          <w:kern w:val="44"/>
          <w:sz w:val="28"/>
          <w:szCs w:val="28"/>
          <w:highlight w:val="none"/>
          <w:lang w:val="en-US" w:eastAsia="zh-CN"/>
        </w:rPr>
        <w:t>投标</w:t>
      </w:r>
      <w:r>
        <w:rPr>
          <w:rFonts w:hint="eastAsia" w:cs="黑体" w:asciiTheme="minorEastAsia" w:hAnsiTheme="minorEastAsia" w:eastAsiaTheme="minorEastAsia"/>
          <w:b/>
          <w:bCs/>
          <w:kern w:val="44"/>
          <w:sz w:val="28"/>
          <w:szCs w:val="28"/>
          <w:highlight w:val="none"/>
          <w:lang w:val="en-US" w:eastAsia="zh-CN"/>
        </w:rPr>
        <w:t>报价</w:t>
      </w:r>
      <w:bookmarkEnd w:id="23"/>
      <w:bookmarkEnd w:id="24"/>
      <w:bookmarkEnd w:id="25"/>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bCs/>
          <w:color w:val="auto"/>
          <w:highlight w:val="none"/>
          <w:u w:val="single"/>
          <w:lang w:val="en-US" w:eastAsia="zh-CN"/>
        </w:rPr>
        <w:t>焙砂制液压滤渣浆化槽搅拌器</w:t>
      </w:r>
      <w:r>
        <w:rPr>
          <w:rFonts w:hint="eastAsia" w:asciiTheme="minorEastAsia" w:hAnsiTheme="minorEastAsia" w:eastAsiaTheme="minorEastAsia"/>
          <w:color w:val="auto"/>
          <w:highlight w:val="none"/>
        </w:rPr>
        <w:t>)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71FDC693">
      <w:pPr>
        <w:pStyle w:val="51"/>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color w:val="auto"/>
          <w:highlight w:val="none"/>
          <w:lang w:val="en-US" w:eastAsia="zh-CN"/>
        </w:rPr>
        <w:t>分项报价：</w:t>
      </w:r>
    </w:p>
    <w:p w14:paraId="564578C1">
      <w:pPr>
        <w:pStyle w:val="51"/>
        <w:keepNext w:val="0"/>
        <w:keepLines w:val="0"/>
        <w:pageBreakBefore w:val="0"/>
        <w:numPr>
          <w:ilvl w:val="0"/>
          <w:numId w:val="0"/>
        </w:numPr>
        <w:kinsoku/>
        <w:wordWrap/>
        <w:overflowPunct/>
        <w:topLinePunct w:val="0"/>
        <w:autoSpaceDE/>
        <w:autoSpaceDN/>
        <w:bidi w:val="0"/>
        <w:adjustRightInd w:val="0"/>
        <w:snapToGrid w:val="0"/>
        <w:spacing w:line="560" w:lineRule="exact"/>
        <w:ind w:firstLine="720" w:firstLineChars="300"/>
        <w:jc w:val="both"/>
        <w:textAlignment w:val="auto"/>
        <w:rPr>
          <w:rFonts w:hint="eastAsia" w:asciiTheme="minorEastAsia" w:hAnsiTheme="minorEastAsia" w:eastAsiaTheme="minorEastAsia"/>
          <w:b w:val="0"/>
          <w:bCs/>
          <w:color w:val="auto"/>
          <w:highlight w:val="none"/>
        </w:rPr>
      </w:pPr>
      <w:r>
        <w:rPr>
          <w:rFonts w:hint="eastAsia" w:ascii="宋体" w:hAnsi="宋体" w:eastAsia="宋体" w:cs="宋体"/>
          <w:color w:val="auto"/>
          <w:highlight w:val="none"/>
          <w:lang w:val="en-US" w:eastAsia="zh-CN"/>
        </w:rPr>
        <w:t>⑴</w:t>
      </w:r>
      <w:r>
        <w:rPr>
          <w:rFonts w:hint="eastAsia" w:asciiTheme="minorEastAsia" w:hAnsiTheme="minorEastAsia"/>
          <w:color w:val="auto"/>
          <w:highlight w:val="none"/>
          <w:lang w:val="en-US" w:eastAsia="zh-CN"/>
        </w:rPr>
        <w:t>焙砂制液压滤渣浆化槽搅拌器</w:t>
      </w:r>
      <w:r>
        <w:rPr>
          <w:rFonts w:hint="eastAsia" w:cs="Segoe UI" w:asciiTheme="minorEastAsia" w:hAnsiTheme="minorEastAsia" w:eastAsiaTheme="minorEastAsia"/>
          <w:b w:val="0"/>
          <w:bCs/>
        </w:rPr>
        <w:t>（</w:t>
      </w:r>
      <w:r>
        <w:rPr>
          <w:rFonts w:hint="eastAsia" w:asciiTheme="minorEastAsia" w:hAnsiTheme="minorEastAsia" w:eastAsiaTheme="minorEastAsia"/>
          <w:b w:val="0"/>
          <w:bCs/>
        </w:rPr>
        <w:t>搅拌+减速机+机架+电机</w:t>
      </w:r>
      <w:r>
        <w:rPr>
          <w:rFonts w:hint="eastAsia" w:cs="Segoe UI" w:asciiTheme="minorEastAsia" w:hAnsiTheme="minorEastAsia" w:eastAsiaTheme="minorEastAsia"/>
          <w:b w:val="0"/>
          <w:bCs/>
        </w:rPr>
        <w:t>）</w:t>
      </w:r>
      <w:r>
        <w:rPr>
          <w:rFonts w:hint="eastAsia" w:asciiTheme="minorEastAsia" w:hAnsiTheme="minorEastAsia"/>
          <w:b w:val="0"/>
          <w:bCs/>
          <w:color w:val="auto"/>
          <w:highlight w:val="none"/>
          <w:u w:val="single"/>
          <w:lang w:val="en-US" w:eastAsia="zh-CN"/>
        </w:rPr>
        <w:t xml:space="preserve">      </w:t>
      </w:r>
      <w:r>
        <w:rPr>
          <w:rFonts w:hint="eastAsia" w:asciiTheme="minorEastAsia" w:hAnsiTheme="minorEastAsia"/>
          <w:b w:val="0"/>
          <w:bCs/>
          <w:color w:val="auto"/>
          <w:highlight w:val="none"/>
          <w:u w:val="none"/>
          <w:lang w:val="en-US" w:eastAsia="zh-CN"/>
        </w:rPr>
        <w:t>元/台（含税）</w:t>
      </w:r>
    </w:p>
    <w:p w14:paraId="0B8FD28D">
      <w:pPr>
        <w:pStyle w:val="51"/>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color w:val="auto"/>
          <w:highlight w:val="none"/>
        </w:rPr>
        <w:t>我公司承诺在</w:t>
      </w:r>
      <w:r>
        <w:rPr>
          <w:rFonts w:hint="eastAsia" w:asciiTheme="minorEastAsia" w:hAnsiTheme="minorEastAsia" w:eastAsiaTheme="minorEastAsia"/>
          <w:color w:val="auto"/>
          <w:highlight w:val="none"/>
          <w:lang w:eastAsia="zh-CN"/>
        </w:rPr>
        <w:t>投标有效期</w:t>
      </w:r>
      <w:r>
        <w:rPr>
          <w:rFonts w:hint="eastAsia" w:asciiTheme="minorEastAsia" w:hAnsiTheme="minorEastAsia" w:eastAsiaTheme="minorEastAsia"/>
          <w:color w:val="auto"/>
          <w:highlight w:val="none"/>
          <w:lang w:val="en-US" w:eastAsia="zh-CN"/>
        </w:rPr>
        <w:t>30</w:t>
      </w:r>
      <w:r>
        <w:rPr>
          <w:rFonts w:hint="eastAsia" w:asciiTheme="minorEastAsia" w:hAnsiTheme="minorEastAsia" w:eastAsiaTheme="minorEastAsia"/>
          <w:color w:val="auto"/>
          <w:highlight w:val="none"/>
        </w:rPr>
        <w:t>日历天内不</w:t>
      </w:r>
      <w:r>
        <w:rPr>
          <w:rFonts w:hint="eastAsia" w:asciiTheme="minorEastAsia" w:hAnsiTheme="minorEastAsia" w:eastAsiaTheme="minorEastAsia"/>
          <w:sz w:val="24"/>
          <w:szCs w:val="24"/>
          <w:highlight w:val="none"/>
        </w:rPr>
        <w:t>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2" w:firstLineChars="200"/>
        <w:jc w:val="both"/>
        <w:textAlignment w:val="auto"/>
        <w:rPr>
          <w:rFonts w:hint="default" w:asciiTheme="minorEastAsia" w:hAnsiTheme="minorEastAsia" w:eastAsiaTheme="minorEastAsia"/>
          <w:b/>
          <w:bCs/>
          <w:sz w:val="24"/>
          <w:szCs w:val="24"/>
          <w:highlight w:val="none"/>
          <w:lang w:val="en-US" w:eastAsia="zh-CN"/>
        </w:rPr>
      </w:pPr>
      <w:r>
        <w:rPr>
          <w:rFonts w:hint="eastAsia" w:asciiTheme="minorEastAsia" w:hAnsiTheme="minorEastAsia"/>
          <w:b/>
          <w:bCs/>
          <w:sz w:val="24"/>
          <w:szCs w:val="24"/>
          <w:highlight w:val="none"/>
          <w:lang w:val="en-US" w:eastAsia="zh-CN"/>
        </w:rPr>
        <w:t>注：报价总金额大于分项报价合计金额，以分项报价合计总价为准，报价总金额小于分项报价合计金额，以报价总金额报为准</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78998BF">
      <w:pPr>
        <w:widowControl/>
        <w:kinsoku/>
        <w:overflowPunct/>
        <w:topLinePunct w:val="0"/>
        <w:bidi w:val="0"/>
        <w:spacing w:line="360" w:lineRule="auto"/>
        <w:ind w:right="0" w:rightChars="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716B601A">
      <w:pPr>
        <w:pStyle w:val="35"/>
        <w:spacing w:before="120" w:line="320" w:lineRule="exact"/>
        <w:rPr>
          <w:rFonts w:cs="Segoe UI" w:asciiTheme="minorEastAsia" w:hAnsiTheme="minorEastAsia" w:eastAsiaTheme="minorEastAsia"/>
          <w:b/>
        </w:rPr>
      </w:pPr>
      <w:bookmarkStart w:id="26" w:name="OLE_LINK50"/>
      <w:bookmarkStart w:id="27" w:name="OLE_LINK49"/>
      <w:r>
        <w:rPr>
          <w:rFonts w:hint="eastAsia" w:cs="Segoe UI" w:asciiTheme="minorEastAsia" w:hAnsiTheme="minorEastAsia" w:eastAsiaTheme="minorEastAsia"/>
          <w:b/>
        </w:rPr>
        <w:t>二、详细技术参数</w:t>
      </w:r>
    </w:p>
    <w:bookmarkEnd w:id="26"/>
    <w:bookmarkEnd w:id="27"/>
    <w:tbl>
      <w:tblPr>
        <w:tblStyle w:val="16"/>
        <w:tblW w:w="8430" w:type="dxa"/>
        <w:tblInd w:w="91" w:type="dxa"/>
        <w:tblLayout w:type="fixed"/>
        <w:tblCellMar>
          <w:top w:w="0" w:type="dxa"/>
          <w:left w:w="108" w:type="dxa"/>
          <w:bottom w:w="0" w:type="dxa"/>
          <w:right w:w="108" w:type="dxa"/>
        </w:tblCellMar>
      </w:tblPr>
      <w:tblGrid>
        <w:gridCol w:w="3582"/>
        <w:gridCol w:w="4848"/>
      </w:tblGrid>
      <w:tr w14:paraId="7790CB69">
        <w:tblPrEx>
          <w:tblCellMar>
            <w:top w:w="0" w:type="dxa"/>
            <w:left w:w="108" w:type="dxa"/>
            <w:bottom w:w="0" w:type="dxa"/>
            <w:right w:w="108" w:type="dxa"/>
          </w:tblCellMar>
        </w:tblPrEx>
        <w:trPr>
          <w:trHeight w:val="454" w:hRule="atLeast"/>
        </w:trPr>
        <w:tc>
          <w:tcPr>
            <w:tcW w:w="3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83304">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技术参数</w:t>
            </w:r>
          </w:p>
        </w:tc>
        <w:tc>
          <w:tcPr>
            <w:tcW w:w="4848" w:type="dxa"/>
            <w:tcBorders>
              <w:top w:val="single" w:color="auto" w:sz="4" w:space="0"/>
              <w:left w:val="nil"/>
              <w:bottom w:val="single" w:color="auto" w:sz="4" w:space="0"/>
              <w:right w:val="single" w:color="auto" w:sz="4" w:space="0"/>
            </w:tcBorders>
            <w:shd w:val="clear" w:color="auto" w:fill="auto"/>
            <w:noWrap/>
            <w:vAlign w:val="center"/>
          </w:tcPr>
          <w:p w14:paraId="560FFA14">
            <w:pPr>
              <w:widowControl/>
              <w:jc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b/>
                <w:color w:val="000000"/>
                <w:kern w:val="0"/>
                <w:sz w:val="24"/>
                <w:szCs w:val="24"/>
                <w:lang w:val="en-US" w:eastAsia="zh-CN"/>
              </w:rPr>
              <w:t>焙砂制液压滤渣浆化槽搅拌器</w:t>
            </w:r>
          </w:p>
        </w:tc>
      </w:tr>
      <w:tr w14:paraId="0953E240">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46C19C6E">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搅拌器规格型号</w:t>
            </w:r>
          </w:p>
        </w:tc>
        <w:tc>
          <w:tcPr>
            <w:tcW w:w="4848" w:type="dxa"/>
            <w:tcBorders>
              <w:top w:val="nil"/>
              <w:left w:val="nil"/>
              <w:bottom w:val="single" w:color="auto" w:sz="4" w:space="0"/>
              <w:right w:val="single" w:color="auto" w:sz="4" w:space="0"/>
            </w:tcBorders>
            <w:shd w:val="clear" w:color="auto" w:fill="auto"/>
            <w:noWrap/>
            <w:vAlign w:val="center"/>
          </w:tcPr>
          <w:p w14:paraId="6773C194">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714A1DBC">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41D0BA85">
            <w:pPr>
              <w:widowControl/>
              <w:jc w:val="center"/>
              <w:rPr>
                <w:rFonts w:hint="default" w:cs="宋体" w:asciiTheme="minorEastAsia" w:hAnsiTheme="minorEastAsia" w:eastAsiaTheme="minorEastAsia"/>
                <w:b/>
                <w:bCs/>
                <w:color w:val="000000"/>
                <w:kern w:val="0"/>
                <w:sz w:val="24"/>
                <w:szCs w:val="24"/>
                <w:lang w:val="en-US" w:eastAsia="zh-CN"/>
              </w:rPr>
            </w:pPr>
            <w:r>
              <w:rPr>
                <w:rFonts w:hint="eastAsia" w:cs="宋体" w:asciiTheme="minorEastAsia" w:hAnsiTheme="minorEastAsia"/>
                <w:b/>
                <w:bCs/>
                <w:color w:val="000000"/>
                <w:kern w:val="0"/>
                <w:sz w:val="24"/>
                <w:szCs w:val="24"/>
              </w:rPr>
              <w:t>搅拌槽结构</w:t>
            </w:r>
          </w:p>
        </w:tc>
        <w:tc>
          <w:tcPr>
            <w:tcW w:w="4848" w:type="dxa"/>
            <w:tcBorders>
              <w:top w:val="nil"/>
              <w:left w:val="nil"/>
              <w:bottom w:val="single" w:color="auto" w:sz="4" w:space="0"/>
              <w:right w:val="single" w:color="auto" w:sz="4" w:space="0"/>
            </w:tcBorders>
            <w:shd w:val="clear" w:color="auto" w:fill="auto"/>
            <w:noWrap/>
            <w:vAlign w:val="center"/>
          </w:tcPr>
          <w:p w14:paraId="5E19F6E5">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354CC3B9">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403EE0CC">
            <w:pPr>
              <w:widowControl/>
              <w:jc w:val="center"/>
              <w:rPr>
                <w:rFonts w:hint="eastAsia" w:cs="宋体" w:asciiTheme="minorEastAsia" w:hAnsiTheme="minorEastAsia" w:eastAsiaTheme="minorEastAsia"/>
                <w:b/>
                <w:bCs/>
                <w:kern w:val="0"/>
                <w:sz w:val="24"/>
                <w:szCs w:val="24"/>
                <w:lang w:val="en-US" w:eastAsia="zh-CN"/>
              </w:rPr>
            </w:pPr>
            <w:r>
              <w:rPr>
                <w:rFonts w:hint="eastAsia" w:cs="宋体" w:asciiTheme="minorEastAsia" w:hAnsiTheme="minorEastAsia"/>
                <w:b/>
                <w:bCs/>
                <w:kern w:val="0"/>
                <w:sz w:val="24"/>
                <w:szCs w:val="24"/>
              </w:rPr>
              <w:t>搅拌桨叶</w:t>
            </w:r>
            <w:r>
              <w:rPr>
                <w:rFonts w:hint="eastAsia" w:cs="宋体" w:asciiTheme="minorEastAsia" w:hAnsiTheme="minorEastAsia"/>
                <w:b/>
                <w:bCs/>
                <w:kern w:val="0"/>
                <w:sz w:val="24"/>
                <w:szCs w:val="24"/>
                <w:lang w:val="en-US" w:eastAsia="zh-CN"/>
              </w:rPr>
              <w:t>直径</w:t>
            </w:r>
          </w:p>
        </w:tc>
        <w:tc>
          <w:tcPr>
            <w:tcW w:w="4848" w:type="dxa"/>
            <w:tcBorders>
              <w:top w:val="nil"/>
              <w:left w:val="nil"/>
              <w:bottom w:val="single" w:color="auto" w:sz="4" w:space="0"/>
              <w:right w:val="single" w:color="auto" w:sz="4" w:space="0"/>
            </w:tcBorders>
            <w:shd w:val="clear" w:color="auto" w:fill="auto"/>
            <w:noWrap/>
            <w:vAlign w:val="center"/>
          </w:tcPr>
          <w:p w14:paraId="4963D0CB">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2B4FAFF9">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37DE9DC3">
            <w:pPr>
              <w:widowControl/>
              <w:jc w:val="center"/>
              <w:rPr>
                <w:rFonts w:hint="default" w:cs="宋体" w:asciiTheme="minorEastAsia" w:hAnsiTheme="minorEastAsia" w:eastAsiaTheme="minorEastAsia"/>
                <w:b/>
                <w:bCs/>
                <w:kern w:val="0"/>
                <w:sz w:val="24"/>
                <w:szCs w:val="24"/>
                <w:lang w:val="en-US" w:eastAsia="zh-CN"/>
              </w:rPr>
            </w:pPr>
            <w:r>
              <w:rPr>
                <w:rFonts w:hint="eastAsia" w:cs="宋体" w:asciiTheme="minorEastAsia" w:hAnsiTheme="minorEastAsia"/>
                <w:b/>
                <w:bCs/>
                <w:kern w:val="0"/>
                <w:sz w:val="24"/>
                <w:szCs w:val="24"/>
                <w:lang w:val="en-US" w:eastAsia="zh-CN"/>
              </w:rPr>
              <w:t>搅拌桨叶厚度</w:t>
            </w:r>
          </w:p>
        </w:tc>
        <w:tc>
          <w:tcPr>
            <w:tcW w:w="4848" w:type="dxa"/>
            <w:tcBorders>
              <w:top w:val="nil"/>
              <w:left w:val="nil"/>
              <w:bottom w:val="single" w:color="auto" w:sz="4" w:space="0"/>
              <w:right w:val="single" w:color="auto" w:sz="4" w:space="0"/>
            </w:tcBorders>
            <w:shd w:val="clear" w:color="auto" w:fill="auto"/>
            <w:noWrap/>
            <w:vAlign w:val="center"/>
          </w:tcPr>
          <w:p w14:paraId="05ADC975">
            <w:pPr>
              <w:widowControl/>
              <w:jc w:val="left"/>
              <w:rPr>
                <w:rFonts w:hint="eastAsia" w:cs="宋体" w:asciiTheme="minorEastAsia" w:hAnsiTheme="minorEastAsia"/>
                <w:b/>
                <w:color w:val="000000"/>
                <w:kern w:val="0"/>
                <w:sz w:val="24"/>
                <w:szCs w:val="24"/>
              </w:rPr>
            </w:pPr>
          </w:p>
        </w:tc>
      </w:tr>
      <w:tr w14:paraId="5F0B10D9">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48976349">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搅拌桨叶材质</w:t>
            </w:r>
          </w:p>
        </w:tc>
        <w:tc>
          <w:tcPr>
            <w:tcW w:w="4848" w:type="dxa"/>
            <w:tcBorders>
              <w:top w:val="nil"/>
              <w:left w:val="nil"/>
              <w:bottom w:val="single" w:color="auto" w:sz="4" w:space="0"/>
              <w:right w:val="single" w:color="auto" w:sz="4" w:space="0"/>
            </w:tcBorders>
            <w:shd w:val="clear" w:color="auto" w:fill="auto"/>
            <w:noWrap/>
            <w:vAlign w:val="center"/>
          </w:tcPr>
          <w:p w14:paraId="7CDCC0E9">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4ED38935">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6097607B">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搅拌轴规格尺寸</w:t>
            </w:r>
          </w:p>
        </w:tc>
        <w:tc>
          <w:tcPr>
            <w:tcW w:w="4848" w:type="dxa"/>
            <w:tcBorders>
              <w:top w:val="nil"/>
              <w:left w:val="nil"/>
              <w:bottom w:val="single" w:color="auto" w:sz="4" w:space="0"/>
              <w:right w:val="single" w:color="auto" w:sz="4" w:space="0"/>
            </w:tcBorders>
            <w:shd w:val="clear" w:color="auto" w:fill="auto"/>
            <w:noWrap/>
            <w:vAlign w:val="center"/>
          </w:tcPr>
          <w:p w14:paraId="3D13EE9A">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076B96EA">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3CCC7297">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搅拌轴材质</w:t>
            </w:r>
          </w:p>
        </w:tc>
        <w:tc>
          <w:tcPr>
            <w:tcW w:w="4848" w:type="dxa"/>
            <w:tcBorders>
              <w:top w:val="nil"/>
              <w:left w:val="nil"/>
              <w:bottom w:val="single" w:color="auto" w:sz="4" w:space="0"/>
              <w:right w:val="single" w:color="auto" w:sz="4" w:space="0"/>
            </w:tcBorders>
            <w:shd w:val="clear" w:color="auto" w:fill="auto"/>
            <w:noWrap/>
            <w:vAlign w:val="center"/>
          </w:tcPr>
          <w:p w14:paraId="57008B78">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227C47D9">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6BC2AC88">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叶片旋转方向</w:t>
            </w:r>
          </w:p>
        </w:tc>
        <w:tc>
          <w:tcPr>
            <w:tcW w:w="4848" w:type="dxa"/>
            <w:tcBorders>
              <w:top w:val="nil"/>
              <w:left w:val="nil"/>
              <w:bottom w:val="single" w:color="auto" w:sz="4" w:space="0"/>
              <w:right w:val="single" w:color="auto" w:sz="4" w:space="0"/>
            </w:tcBorders>
            <w:shd w:val="clear" w:color="auto" w:fill="auto"/>
            <w:noWrap/>
            <w:vAlign w:val="center"/>
          </w:tcPr>
          <w:p w14:paraId="3A6AA72A">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0A3244CC">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5ED1B412">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搅拌叶尖线速度</w:t>
            </w:r>
          </w:p>
        </w:tc>
        <w:tc>
          <w:tcPr>
            <w:tcW w:w="4848" w:type="dxa"/>
            <w:tcBorders>
              <w:top w:val="nil"/>
              <w:left w:val="nil"/>
              <w:bottom w:val="single" w:color="auto" w:sz="4" w:space="0"/>
              <w:right w:val="single" w:color="auto" w:sz="4" w:space="0"/>
            </w:tcBorders>
            <w:shd w:val="clear" w:color="auto" w:fill="auto"/>
            <w:noWrap/>
            <w:vAlign w:val="center"/>
          </w:tcPr>
          <w:p w14:paraId="6651C940">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69455DA3">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6DF82488">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搅拌桨层数</w:t>
            </w:r>
          </w:p>
        </w:tc>
        <w:tc>
          <w:tcPr>
            <w:tcW w:w="4848" w:type="dxa"/>
            <w:tcBorders>
              <w:top w:val="nil"/>
              <w:left w:val="nil"/>
              <w:bottom w:val="single" w:color="auto" w:sz="4" w:space="0"/>
              <w:right w:val="single" w:color="auto" w:sz="4" w:space="0"/>
            </w:tcBorders>
            <w:shd w:val="clear" w:color="auto" w:fill="auto"/>
            <w:noWrap/>
            <w:vAlign w:val="center"/>
          </w:tcPr>
          <w:p w14:paraId="3CBCF063">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7AD487FF">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43D5A239">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单层搅拌桨叶片数</w:t>
            </w:r>
          </w:p>
        </w:tc>
        <w:tc>
          <w:tcPr>
            <w:tcW w:w="4848" w:type="dxa"/>
            <w:tcBorders>
              <w:top w:val="nil"/>
              <w:left w:val="nil"/>
              <w:bottom w:val="single" w:color="auto" w:sz="4" w:space="0"/>
              <w:right w:val="single" w:color="auto" w:sz="4" w:space="0"/>
            </w:tcBorders>
            <w:shd w:val="clear" w:color="auto" w:fill="auto"/>
            <w:noWrap/>
            <w:vAlign w:val="center"/>
          </w:tcPr>
          <w:p w14:paraId="19F832B5">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564EA0CB">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0B2460A7">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减速机规格型号</w:t>
            </w:r>
          </w:p>
        </w:tc>
        <w:tc>
          <w:tcPr>
            <w:tcW w:w="4848" w:type="dxa"/>
            <w:tcBorders>
              <w:top w:val="nil"/>
              <w:left w:val="nil"/>
              <w:bottom w:val="single" w:color="auto" w:sz="4" w:space="0"/>
              <w:right w:val="single" w:color="auto" w:sz="4" w:space="0"/>
            </w:tcBorders>
            <w:shd w:val="clear" w:color="auto" w:fill="auto"/>
            <w:noWrap/>
            <w:vAlign w:val="center"/>
          </w:tcPr>
          <w:p w14:paraId="3C7F02E0">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46101751">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4E5E39C6">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减速机品牌/厂家</w:t>
            </w:r>
          </w:p>
        </w:tc>
        <w:tc>
          <w:tcPr>
            <w:tcW w:w="4848" w:type="dxa"/>
            <w:tcBorders>
              <w:top w:val="nil"/>
              <w:left w:val="nil"/>
              <w:bottom w:val="single" w:color="auto" w:sz="4" w:space="0"/>
              <w:right w:val="single" w:color="auto" w:sz="4" w:space="0"/>
            </w:tcBorders>
            <w:shd w:val="clear" w:color="auto" w:fill="auto"/>
            <w:noWrap/>
            <w:vAlign w:val="center"/>
          </w:tcPr>
          <w:p w14:paraId="5178F777">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5CA38EB6">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5EABD92A">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减速机输入转速</w:t>
            </w:r>
          </w:p>
        </w:tc>
        <w:tc>
          <w:tcPr>
            <w:tcW w:w="4848" w:type="dxa"/>
            <w:tcBorders>
              <w:top w:val="nil"/>
              <w:left w:val="nil"/>
              <w:bottom w:val="single" w:color="auto" w:sz="4" w:space="0"/>
              <w:right w:val="single" w:color="auto" w:sz="4" w:space="0"/>
            </w:tcBorders>
            <w:shd w:val="clear" w:color="auto" w:fill="auto"/>
            <w:noWrap/>
            <w:vAlign w:val="center"/>
          </w:tcPr>
          <w:p w14:paraId="41191B27">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08715266">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4CE72365">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减速机输出转速</w:t>
            </w:r>
          </w:p>
        </w:tc>
        <w:tc>
          <w:tcPr>
            <w:tcW w:w="4848" w:type="dxa"/>
            <w:tcBorders>
              <w:top w:val="nil"/>
              <w:left w:val="nil"/>
              <w:bottom w:val="single" w:color="auto" w:sz="4" w:space="0"/>
              <w:right w:val="single" w:color="auto" w:sz="4" w:space="0"/>
            </w:tcBorders>
            <w:shd w:val="clear" w:color="auto" w:fill="auto"/>
            <w:noWrap/>
            <w:vAlign w:val="center"/>
          </w:tcPr>
          <w:p w14:paraId="7951C1C7">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40FCBDC7">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2A824EF4">
            <w:pPr>
              <w:widowControl/>
              <w:jc w:val="center"/>
              <w:rPr>
                <w:rFonts w:hint="eastAsia" w:cs="宋体" w:asciiTheme="minorEastAsia" w:hAnsiTheme="minorEastAsia"/>
                <w:b/>
                <w:bCs/>
                <w:kern w:val="0"/>
                <w:sz w:val="24"/>
                <w:szCs w:val="24"/>
              </w:rPr>
            </w:pPr>
            <w:r>
              <w:rPr>
                <w:rFonts w:hint="eastAsia" w:cs="宋体" w:asciiTheme="minorEastAsia" w:hAnsiTheme="minorEastAsia"/>
                <w:b/>
                <w:bCs/>
                <w:kern w:val="0"/>
                <w:sz w:val="24"/>
                <w:szCs w:val="24"/>
              </w:rPr>
              <w:t>安装形式</w:t>
            </w:r>
          </w:p>
        </w:tc>
        <w:tc>
          <w:tcPr>
            <w:tcW w:w="4848" w:type="dxa"/>
            <w:tcBorders>
              <w:top w:val="nil"/>
              <w:left w:val="nil"/>
              <w:bottom w:val="single" w:color="auto" w:sz="4" w:space="0"/>
              <w:right w:val="single" w:color="auto" w:sz="4" w:space="0"/>
            </w:tcBorders>
            <w:shd w:val="clear" w:color="auto" w:fill="auto"/>
            <w:noWrap/>
            <w:vAlign w:val="center"/>
          </w:tcPr>
          <w:p w14:paraId="7C153D79">
            <w:pPr>
              <w:widowControl/>
              <w:jc w:val="left"/>
              <w:rPr>
                <w:rFonts w:hint="eastAsia" w:cs="宋体" w:asciiTheme="minorEastAsia" w:hAnsiTheme="minorEastAsia"/>
                <w:b/>
                <w:color w:val="000000"/>
                <w:kern w:val="0"/>
                <w:sz w:val="24"/>
                <w:szCs w:val="24"/>
              </w:rPr>
            </w:pPr>
          </w:p>
        </w:tc>
      </w:tr>
      <w:tr w14:paraId="4F962F72">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7F34D84A">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减速机机架规格型号</w:t>
            </w:r>
          </w:p>
        </w:tc>
        <w:tc>
          <w:tcPr>
            <w:tcW w:w="4848" w:type="dxa"/>
            <w:tcBorders>
              <w:top w:val="nil"/>
              <w:left w:val="nil"/>
              <w:bottom w:val="single" w:color="auto" w:sz="4" w:space="0"/>
              <w:right w:val="single" w:color="auto" w:sz="4" w:space="0"/>
            </w:tcBorders>
            <w:shd w:val="clear" w:color="auto" w:fill="auto"/>
            <w:noWrap/>
            <w:vAlign w:val="center"/>
          </w:tcPr>
          <w:p w14:paraId="110771E1">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7CE37E31">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vAlign w:val="center"/>
          </w:tcPr>
          <w:p w14:paraId="15E397B0">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机架结构</w:t>
            </w:r>
            <w:r>
              <w:rPr>
                <w:rFonts w:hint="eastAsia" w:cs="宋体" w:asciiTheme="minorEastAsia" w:hAnsiTheme="minorEastAsia"/>
                <w:b/>
                <w:bCs/>
                <w:kern w:val="0"/>
                <w:sz w:val="24"/>
                <w:szCs w:val="24"/>
              </w:rPr>
              <w:br w:type="textWrapping"/>
            </w:r>
            <w:r>
              <w:rPr>
                <w:rFonts w:hint="eastAsia" w:cs="宋体" w:asciiTheme="minorEastAsia" w:hAnsiTheme="minorEastAsia"/>
                <w:b/>
                <w:bCs/>
                <w:kern w:val="0"/>
                <w:sz w:val="24"/>
                <w:szCs w:val="24"/>
              </w:rPr>
              <w:t>（单/双支点）</w:t>
            </w:r>
          </w:p>
        </w:tc>
        <w:tc>
          <w:tcPr>
            <w:tcW w:w="4848" w:type="dxa"/>
            <w:tcBorders>
              <w:top w:val="nil"/>
              <w:left w:val="nil"/>
              <w:bottom w:val="single" w:color="auto" w:sz="4" w:space="0"/>
              <w:right w:val="single" w:color="auto" w:sz="4" w:space="0"/>
            </w:tcBorders>
            <w:shd w:val="clear" w:color="auto" w:fill="auto"/>
            <w:noWrap/>
            <w:vAlign w:val="center"/>
          </w:tcPr>
          <w:p w14:paraId="2644D461">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74CFD2A4">
        <w:tblPrEx>
          <w:tblCellMar>
            <w:top w:w="0" w:type="dxa"/>
            <w:left w:w="108" w:type="dxa"/>
            <w:bottom w:w="0" w:type="dxa"/>
            <w:right w:w="108" w:type="dxa"/>
          </w:tblCellMar>
        </w:tblPrEx>
        <w:trPr>
          <w:trHeight w:val="454" w:hRule="atLeast"/>
        </w:trPr>
        <w:tc>
          <w:tcPr>
            <w:tcW w:w="3582" w:type="dxa"/>
            <w:tcBorders>
              <w:top w:val="single" w:color="auto" w:sz="4" w:space="0"/>
              <w:left w:val="single" w:color="auto" w:sz="4" w:space="0"/>
              <w:bottom w:val="single" w:color="auto" w:sz="4" w:space="0"/>
              <w:right w:val="single" w:color="auto" w:sz="4" w:space="0"/>
            </w:tcBorders>
            <w:shd w:val="clear" w:color="auto" w:fill="auto"/>
            <w:vAlign w:val="center"/>
          </w:tcPr>
          <w:p w14:paraId="7837673A">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机架材质</w:t>
            </w:r>
          </w:p>
        </w:tc>
        <w:tc>
          <w:tcPr>
            <w:tcW w:w="48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CD348">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637041BF">
        <w:tblPrEx>
          <w:tblCellMar>
            <w:top w:w="0" w:type="dxa"/>
            <w:left w:w="108" w:type="dxa"/>
            <w:bottom w:w="0" w:type="dxa"/>
            <w:right w:w="108" w:type="dxa"/>
          </w:tblCellMar>
        </w:tblPrEx>
        <w:trPr>
          <w:trHeight w:val="454" w:hRule="atLeast"/>
        </w:trPr>
        <w:tc>
          <w:tcPr>
            <w:tcW w:w="3582" w:type="dxa"/>
            <w:tcBorders>
              <w:top w:val="single" w:color="auto" w:sz="4" w:space="0"/>
              <w:left w:val="single" w:color="auto" w:sz="4" w:space="0"/>
              <w:bottom w:val="single" w:color="auto" w:sz="4" w:space="0"/>
              <w:right w:val="single" w:color="auto" w:sz="4" w:space="0"/>
            </w:tcBorders>
            <w:shd w:val="clear" w:color="auto" w:fill="auto"/>
            <w:vAlign w:val="center"/>
          </w:tcPr>
          <w:p w14:paraId="35C0E144">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联轴器材质</w:t>
            </w:r>
          </w:p>
        </w:tc>
        <w:tc>
          <w:tcPr>
            <w:tcW w:w="4848" w:type="dxa"/>
            <w:tcBorders>
              <w:top w:val="single" w:color="auto" w:sz="4" w:space="0"/>
              <w:left w:val="nil"/>
              <w:bottom w:val="single" w:color="auto" w:sz="4" w:space="0"/>
              <w:right w:val="single" w:color="auto" w:sz="4" w:space="0"/>
            </w:tcBorders>
            <w:shd w:val="clear" w:color="auto" w:fill="auto"/>
            <w:noWrap/>
            <w:vAlign w:val="center"/>
          </w:tcPr>
          <w:p w14:paraId="6785FCE2">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2E34D74F">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666D8F01">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电机规格型号</w:t>
            </w:r>
          </w:p>
        </w:tc>
        <w:tc>
          <w:tcPr>
            <w:tcW w:w="4848" w:type="dxa"/>
            <w:tcBorders>
              <w:top w:val="nil"/>
              <w:left w:val="nil"/>
              <w:bottom w:val="single" w:color="auto" w:sz="4" w:space="0"/>
              <w:right w:val="single" w:color="auto" w:sz="4" w:space="0"/>
            </w:tcBorders>
            <w:shd w:val="clear" w:color="auto" w:fill="auto"/>
            <w:noWrap/>
            <w:vAlign w:val="center"/>
          </w:tcPr>
          <w:p w14:paraId="6100B98E">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76F10D11">
        <w:tblPrEx>
          <w:tblCellMar>
            <w:top w:w="0" w:type="dxa"/>
            <w:left w:w="108" w:type="dxa"/>
            <w:bottom w:w="0" w:type="dxa"/>
            <w:right w:w="108" w:type="dxa"/>
          </w:tblCellMar>
        </w:tblPrEx>
        <w:trPr>
          <w:trHeight w:val="454" w:hRule="atLeast"/>
        </w:trPr>
        <w:tc>
          <w:tcPr>
            <w:tcW w:w="3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76C05">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电机功率</w:t>
            </w:r>
          </w:p>
        </w:tc>
        <w:tc>
          <w:tcPr>
            <w:tcW w:w="48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974AC">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5C669676">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6817FAF5">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电机品牌/厂家</w:t>
            </w:r>
          </w:p>
        </w:tc>
        <w:tc>
          <w:tcPr>
            <w:tcW w:w="4848" w:type="dxa"/>
            <w:tcBorders>
              <w:top w:val="nil"/>
              <w:left w:val="nil"/>
              <w:bottom w:val="single" w:color="auto" w:sz="4" w:space="0"/>
              <w:right w:val="single" w:color="auto" w:sz="4" w:space="0"/>
            </w:tcBorders>
            <w:shd w:val="clear" w:color="auto" w:fill="auto"/>
            <w:noWrap/>
            <w:vAlign w:val="center"/>
          </w:tcPr>
          <w:p w14:paraId="346830FE">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0268392A">
        <w:tblPrEx>
          <w:tblCellMar>
            <w:top w:w="0" w:type="dxa"/>
            <w:left w:w="108" w:type="dxa"/>
            <w:bottom w:w="0" w:type="dxa"/>
            <w:right w:w="108" w:type="dxa"/>
          </w:tblCellMar>
        </w:tblPrEx>
        <w:trPr>
          <w:trHeight w:val="454" w:hRule="atLeast"/>
        </w:trPr>
        <w:tc>
          <w:tcPr>
            <w:tcW w:w="3582" w:type="dxa"/>
            <w:tcBorders>
              <w:top w:val="nil"/>
              <w:left w:val="single" w:color="auto" w:sz="4" w:space="0"/>
              <w:bottom w:val="single" w:color="auto" w:sz="4" w:space="0"/>
              <w:right w:val="single" w:color="auto" w:sz="4" w:space="0"/>
            </w:tcBorders>
            <w:shd w:val="clear" w:color="auto" w:fill="auto"/>
            <w:noWrap/>
            <w:vAlign w:val="center"/>
          </w:tcPr>
          <w:p w14:paraId="4B1636C3">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交货期</w:t>
            </w:r>
          </w:p>
        </w:tc>
        <w:tc>
          <w:tcPr>
            <w:tcW w:w="4848" w:type="dxa"/>
            <w:tcBorders>
              <w:top w:val="nil"/>
              <w:left w:val="nil"/>
              <w:bottom w:val="single" w:color="auto" w:sz="4" w:space="0"/>
              <w:right w:val="single" w:color="auto" w:sz="4" w:space="0"/>
            </w:tcBorders>
            <w:shd w:val="clear" w:color="auto" w:fill="auto"/>
            <w:noWrap/>
            <w:vAlign w:val="center"/>
          </w:tcPr>
          <w:p w14:paraId="51BE9250">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527F01AC">
        <w:tblPrEx>
          <w:tblCellMar>
            <w:top w:w="0" w:type="dxa"/>
            <w:left w:w="108" w:type="dxa"/>
            <w:bottom w:w="0" w:type="dxa"/>
            <w:right w:w="108" w:type="dxa"/>
          </w:tblCellMar>
        </w:tblPrEx>
        <w:trPr>
          <w:trHeight w:val="454" w:hRule="atLeast"/>
        </w:trPr>
        <w:tc>
          <w:tcPr>
            <w:tcW w:w="3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6D7E4">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质保期</w:t>
            </w:r>
          </w:p>
        </w:tc>
        <w:tc>
          <w:tcPr>
            <w:tcW w:w="4848" w:type="dxa"/>
            <w:tcBorders>
              <w:top w:val="single" w:color="auto" w:sz="4" w:space="0"/>
              <w:left w:val="nil"/>
              <w:bottom w:val="single" w:color="auto" w:sz="4" w:space="0"/>
              <w:right w:val="single" w:color="auto" w:sz="4" w:space="0"/>
            </w:tcBorders>
            <w:shd w:val="clear" w:color="auto" w:fill="auto"/>
            <w:noWrap/>
            <w:vAlign w:val="center"/>
          </w:tcPr>
          <w:p w14:paraId="5F6ED483">
            <w:pPr>
              <w:widowControl/>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　</w:t>
            </w:r>
          </w:p>
        </w:tc>
      </w:tr>
      <w:tr w14:paraId="6C0C80C7">
        <w:tblPrEx>
          <w:tblCellMar>
            <w:top w:w="0" w:type="dxa"/>
            <w:left w:w="108" w:type="dxa"/>
            <w:bottom w:w="0" w:type="dxa"/>
            <w:right w:w="108" w:type="dxa"/>
          </w:tblCellMar>
        </w:tblPrEx>
        <w:trPr>
          <w:trHeight w:val="850" w:hRule="atLeast"/>
        </w:trPr>
        <w:tc>
          <w:tcPr>
            <w:tcW w:w="3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5084A">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付款方式</w:t>
            </w:r>
          </w:p>
        </w:tc>
        <w:tc>
          <w:tcPr>
            <w:tcW w:w="4848" w:type="dxa"/>
            <w:tcBorders>
              <w:top w:val="single" w:color="auto" w:sz="4" w:space="0"/>
              <w:left w:val="nil"/>
              <w:bottom w:val="single" w:color="auto" w:sz="4" w:space="0"/>
              <w:right w:val="single" w:color="auto" w:sz="4" w:space="0"/>
            </w:tcBorders>
            <w:shd w:val="clear" w:color="auto" w:fill="auto"/>
            <w:noWrap/>
            <w:vAlign w:val="center"/>
          </w:tcPr>
          <w:p w14:paraId="34CBE072">
            <w:pPr>
              <w:widowControl/>
              <w:jc w:val="left"/>
              <w:rPr>
                <w:rFonts w:cs="宋体" w:asciiTheme="minorEastAsia" w:hAnsiTheme="minorEastAsia"/>
                <w:b/>
                <w:color w:val="000000"/>
                <w:kern w:val="0"/>
                <w:sz w:val="24"/>
                <w:szCs w:val="24"/>
              </w:rPr>
            </w:pPr>
          </w:p>
        </w:tc>
      </w:tr>
    </w:tbl>
    <w:p w14:paraId="56DFF947">
      <w:pPr>
        <w:numPr>
          <w:ilvl w:val="0"/>
          <w:numId w:val="0"/>
        </w:numPr>
        <w:jc w:val="center"/>
        <w:rPr>
          <w:rFonts w:hint="eastAsia" w:ascii="宋体" w:hAnsi="宋体" w:cs="宋体"/>
          <w:b/>
          <w:bCs/>
          <w:sz w:val="32"/>
          <w:szCs w:val="32"/>
          <w:highlight w:val="none"/>
          <w:lang w:val="en-US" w:eastAsia="zh-CN"/>
        </w:rPr>
      </w:pPr>
    </w:p>
    <w:p w14:paraId="2C87CE48">
      <w:pPr>
        <w:kinsoku/>
        <w:overflowPunct/>
        <w:topLinePunct w:val="0"/>
        <w:bidi w:val="0"/>
        <w:spacing w:line="360" w:lineRule="auto"/>
        <w:ind w:right="0" w:rightChars="0"/>
        <w:jc w:val="both"/>
        <w:rPr>
          <w:rFonts w:hint="eastAsia" w:ascii="宋体" w:hAnsi="宋体"/>
          <w:b/>
          <w:color w:val="auto"/>
          <w:sz w:val="28"/>
          <w:lang w:eastAsia="zh-CN"/>
        </w:rPr>
      </w:pPr>
    </w:p>
    <w:p w14:paraId="55F3F5AD">
      <w:pPr>
        <w:kinsoku/>
        <w:overflowPunct/>
        <w:topLinePunct w:val="0"/>
        <w:bidi w:val="0"/>
        <w:spacing w:line="360" w:lineRule="auto"/>
        <w:ind w:right="0" w:rightChars="0"/>
        <w:jc w:val="center"/>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rPr>
        <w:t>承 诺</w:t>
      </w:r>
      <w:r>
        <w:rPr>
          <w:rFonts w:hint="eastAsia" w:ascii="宋体" w:hAnsi="宋体"/>
          <w:b/>
          <w:color w:val="auto"/>
          <w:sz w:val="28"/>
          <w:lang w:val="en-US" w:eastAsia="zh-CN"/>
        </w:rPr>
        <w:t xml:space="preserve"> 书</w:t>
      </w:r>
    </w:p>
    <w:p w14:paraId="4FF69AE3">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致：</w:t>
      </w:r>
    </w:p>
    <w:p w14:paraId="19BD65C6">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我公司自愿参与</w:t>
      </w:r>
      <w:r>
        <w:rPr>
          <w:rFonts w:hint="eastAsia" w:ascii="宋体" w:hAnsi="宋体"/>
          <w:color w:val="auto"/>
          <w:sz w:val="24"/>
          <w:szCs w:val="24"/>
          <w:u w:val="single"/>
        </w:rPr>
        <w:t xml:space="preserve">             </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val="en-US" w:eastAsia="zh-CN"/>
        </w:rPr>
        <w:t>材料</w:t>
      </w:r>
      <w:r>
        <w:rPr>
          <w:rFonts w:hint="eastAsia" w:ascii="宋体" w:hAnsi="宋体"/>
          <w:color w:val="auto"/>
          <w:sz w:val="24"/>
          <w:szCs w:val="24"/>
        </w:rPr>
        <w:t>名称）的</w:t>
      </w:r>
      <w:r>
        <w:rPr>
          <w:rFonts w:hint="eastAsia" w:ascii="宋体" w:hAnsi="宋体"/>
          <w:color w:val="auto"/>
          <w:sz w:val="24"/>
          <w:szCs w:val="24"/>
          <w:lang w:val="en-US" w:eastAsia="zh-CN"/>
        </w:rPr>
        <w:t>投标</w:t>
      </w:r>
      <w:r>
        <w:rPr>
          <w:rFonts w:hint="eastAsia" w:ascii="宋体" w:hAnsi="宋体"/>
          <w:color w:val="auto"/>
          <w:sz w:val="24"/>
          <w:szCs w:val="24"/>
        </w:rPr>
        <w:t>，现郑重作出以下承诺：</w:t>
      </w:r>
    </w:p>
    <w:p w14:paraId="78979909">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lang w:eastAsia="zh-CN"/>
        </w:rPr>
        <w:t>⑴</w:t>
      </w:r>
      <w:r>
        <w:rPr>
          <w:rFonts w:hint="eastAsia" w:ascii="宋体" w:hAnsi="宋体"/>
          <w:color w:val="auto"/>
          <w:sz w:val="24"/>
          <w:szCs w:val="24"/>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⑵</w:t>
      </w:r>
      <w:r>
        <w:rPr>
          <w:rFonts w:hint="eastAsia" w:ascii="宋体" w:hAnsi="宋体"/>
          <w:color w:val="auto"/>
          <w:sz w:val="24"/>
          <w:szCs w:val="24"/>
        </w:rPr>
        <w:t>我公司具有良好的信誉、企业</w:t>
      </w:r>
      <w:r>
        <w:rPr>
          <w:rFonts w:hint="eastAsia" w:ascii="宋体" w:hAnsi="宋体"/>
          <w:color w:val="auto"/>
          <w:sz w:val="24"/>
          <w:szCs w:val="24"/>
          <w:lang w:val="en-US" w:eastAsia="zh-CN"/>
        </w:rPr>
        <w:t>处于正常生产经营</w:t>
      </w:r>
      <w:r>
        <w:rPr>
          <w:rFonts w:hint="eastAsia" w:ascii="宋体" w:hAnsi="宋体"/>
          <w:color w:val="auto"/>
          <w:sz w:val="24"/>
          <w:szCs w:val="24"/>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⑶</w:t>
      </w:r>
      <w:r>
        <w:rPr>
          <w:rFonts w:hint="eastAsia" w:ascii="宋体" w:hAnsi="宋体"/>
          <w:color w:val="auto"/>
          <w:sz w:val="24"/>
          <w:szCs w:val="24"/>
        </w:rPr>
        <w:t>我公司完全</w:t>
      </w:r>
      <w:r>
        <w:rPr>
          <w:rFonts w:hint="eastAsia" w:ascii="宋体" w:hAnsi="宋体"/>
          <w:color w:val="auto"/>
          <w:sz w:val="24"/>
          <w:szCs w:val="24"/>
          <w:lang w:val="en-US" w:eastAsia="zh-CN"/>
        </w:rPr>
        <w:t>按报价</w:t>
      </w:r>
      <w:r>
        <w:rPr>
          <w:rFonts w:hint="eastAsia" w:ascii="宋体" w:hAnsi="宋体"/>
          <w:color w:val="auto"/>
          <w:sz w:val="24"/>
          <w:szCs w:val="24"/>
        </w:rPr>
        <w:t>文件</w:t>
      </w:r>
      <w:r>
        <w:rPr>
          <w:rFonts w:hint="eastAsia" w:ascii="宋体" w:hAnsi="宋体"/>
          <w:color w:val="auto"/>
          <w:sz w:val="24"/>
          <w:szCs w:val="24"/>
          <w:lang w:val="en-US" w:eastAsia="zh-CN"/>
        </w:rPr>
        <w:t>严格执行</w:t>
      </w:r>
      <w:r>
        <w:rPr>
          <w:rFonts w:hint="eastAsia" w:ascii="宋体" w:hAnsi="宋体"/>
          <w:color w:val="auto"/>
          <w:sz w:val="24"/>
          <w:szCs w:val="24"/>
        </w:rPr>
        <w:t>。</w:t>
      </w:r>
    </w:p>
    <w:p w14:paraId="6F2BCF8F">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⑷</w:t>
      </w:r>
      <w:r>
        <w:rPr>
          <w:rFonts w:hint="eastAsia" w:ascii="宋体" w:hAnsi="宋体" w:eastAsiaTheme="minorEastAsia" w:cstheme="minorBidi"/>
          <w:color w:val="auto"/>
          <w:kern w:val="2"/>
          <w:sz w:val="24"/>
          <w:szCs w:val="24"/>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r>
        <w:rPr>
          <w:rFonts w:hint="eastAsia" w:ascii="宋体" w:hAnsi="宋体" w:eastAsiaTheme="minorEastAsia" w:cstheme="minorBidi"/>
          <w:color w:val="auto"/>
          <w:kern w:val="2"/>
          <w:sz w:val="24"/>
          <w:szCs w:val="24"/>
          <w:lang w:val="en-US" w:eastAsia="zh-CN" w:bidi="ar-SA"/>
        </w:rPr>
        <w:t xml:space="preserve">⑹我公司保证所提供的所有资料真实、准确、有效，如有虚假，愿意接受相应处罚。 </w:t>
      </w:r>
      <w:r>
        <w:rPr>
          <w:rFonts w:hint="eastAsia" w:ascii="宋体" w:hAnsi="宋体"/>
          <w:color w:val="auto"/>
          <w:sz w:val="24"/>
          <w:szCs w:val="24"/>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sz w:val="24"/>
          <w:szCs w:val="24"/>
          <w:lang w:val="en-US" w:eastAsia="zh-CN"/>
        </w:rPr>
      </w:pPr>
    </w:p>
    <w:p w14:paraId="1B7420F3">
      <w:pPr>
        <w:kinsoku/>
        <w:overflowPunct/>
        <w:topLinePunct w:val="0"/>
        <w:bidi w:val="0"/>
        <w:spacing w:line="360" w:lineRule="auto"/>
        <w:ind w:left="0" w:leftChars="0" w:right="0" w:rightChars="0" w:firstLine="480" w:firstLineChars="200"/>
        <w:jc w:val="left"/>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供应商</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（盖单位章）</w:t>
      </w:r>
    </w:p>
    <w:p w14:paraId="20DB0404">
      <w:pPr>
        <w:kinsoku/>
        <w:overflowPunct/>
        <w:topLinePunct w:val="0"/>
        <w:bidi w:val="0"/>
        <w:spacing w:line="360" w:lineRule="auto"/>
        <w:ind w:left="0" w:leftChars="0" w:right="0" w:rightChars="0" w:firstLine="480" w:firstLineChars="200"/>
        <w:rPr>
          <w:rFonts w:hAnsi="宋体" w:cs="宋体"/>
          <w:color w:val="auto"/>
          <w:sz w:val="24"/>
          <w:szCs w:val="24"/>
        </w:rPr>
      </w:pPr>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3D816F1"/>
    <w:multiLevelType w:val="singleLevel"/>
    <w:tmpl w:val="33D816F1"/>
    <w:lvl w:ilvl="0" w:tentative="0">
      <w:start w:val="4"/>
      <w:numFmt w:val="decimal"/>
      <w:lvlText w:val="%1."/>
      <w:lvlJc w:val="left"/>
      <w:pPr>
        <w:tabs>
          <w:tab w:val="left" w:pos="312"/>
        </w:tabs>
      </w:p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38F62BE"/>
    <w:rsid w:val="03A80897"/>
    <w:rsid w:val="03BC1030"/>
    <w:rsid w:val="041E3808"/>
    <w:rsid w:val="043B2184"/>
    <w:rsid w:val="0475718F"/>
    <w:rsid w:val="0485137E"/>
    <w:rsid w:val="04C66C1A"/>
    <w:rsid w:val="04D1736D"/>
    <w:rsid w:val="05573D16"/>
    <w:rsid w:val="057443B4"/>
    <w:rsid w:val="05C017FD"/>
    <w:rsid w:val="0687687D"/>
    <w:rsid w:val="06BD621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8A1220"/>
    <w:rsid w:val="25CC5B88"/>
    <w:rsid w:val="26933E36"/>
    <w:rsid w:val="26BC19A6"/>
    <w:rsid w:val="279E3E6D"/>
    <w:rsid w:val="27A73E71"/>
    <w:rsid w:val="27B8643F"/>
    <w:rsid w:val="28256391"/>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3B45492"/>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7E5DC0"/>
    <w:rsid w:val="3FE536F1"/>
    <w:rsid w:val="40083152"/>
    <w:rsid w:val="40085CD0"/>
    <w:rsid w:val="4041301D"/>
    <w:rsid w:val="40703912"/>
    <w:rsid w:val="420C36D5"/>
    <w:rsid w:val="42587944"/>
    <w:rsid w:val="42932E0A"/>
    <w:rsid w:val="43243278"/>
    <w:rsid w:val="435B56FC"/>
    <w:rsid w:val="43884ABF"/>
    <w:rsid w:val="43B86527"/>
    <w:rsid w:val="44A00219"/>
    <w:rsid w:val="45367494"/>
    <w:rsid w:val="45877724"/>
    <w:rsid w:val="467A2DE5"/>
    <w:rsid w:val="470A03A4"/>
    <w:rsid w:val="47F46EAE"/>
    <w:rsid w:val="480204A1"/>
    <w:rsid w:val="48724017"/>
    <w:rsid w:val="48750F6C"/>
    <w:rsid w:val="492B4B3C"/>
    <w:rsid w:val="4A185620"/>
    <w:rsid w:val="4A6F4C2B"/>
    <w:rsid w:val="4B964C95"/>
    <w:rsid w:val="4BDF7931"/>
    <w:rsid w:val="4D1D4B6A"/>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41F5A"/>
    <w:rsid w:val="5B1D65E8"/>
    <w:rsid w:val="5B206027"/>
    <w:rsid w:val="5C8C341B"/>
    <w:rsid w:val="5D2F2B1E"/>
    <w:rsid w:val="5DEF5A0F"/>
    <w:rsid w:val="5DF72B16"/>
    <w:rsid w:val="5E386FDD"/>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7EA3EF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EB411B4"/>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C75C3E"/>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无间隔1"/>
    <w:basedOn w:val="1"/>
    <w:qFormat/>
    <w:uiPriority w:val="1"/>
    <w:pPr>
      <w:spacing w:line="400" w:lineRule="exact"/>
    </w:pPr>
    <w:rPr>
      <w:rFonts w:ascii="Times New Roman" w:hAnsi="Times New Roman" w:eastAsia="宋体" w:cs="Times New Roman"/>
      <w:sz w:val="24"/>
      <w:szCs w:val="24"/>
    </w:rPr>
  </w:style>
  <w:style w:type="character" w:customStyle="1" w:styleId="53">
    <w:name w:val="font11"/>
    <w:basedOn w:val="18"/>
    <w:qFormat/>
    <w:uiPriority w:val="0"/>
    <w:rPr>
      <w:rFonts w:hint="eastAsia" w:ascii="宋体" w:hAnsi="宋体" w:eastAsia="宋体" w:cs="宋体"/>
      <w:color w:val="000000"/>
      <w:sz w:val="18"/>
      <w:szCs w:val="18"/>
      <w:u w:val="none"/>
    </w:rPr>
  </w:style>
  <w:style w:type="character" w:customStyle="1" w:styleId="54">
    <w:name w:val="font21"/>
    <w:basedOn w:val="18"/>
    <w:qFormat/>
    <w:uiPriority w:val="0"/>
    <w:rPr>
      <w:rFonts w:ascii="Arial" w:hAnsi="Arial" w:cs="Arial"/>
      <w:color w:val="000000"/>
      <w:sz w:val="18"/>
      <w:szCs w:val="18"/>
      <w:u w:val="none"/>
    </w:rPr>
  </w:style>
  <w:style w:type="character" w:customStyle="1" w:styleId="55">
    <w:name w:val="font01"/>
    <w:basedOn w:val="18"/>
    <w:qFormat/>
    <w:uiPriority w:val="0"/>
    <w:rPr>
      <w:rFonts w:hint="eastAsia" w:ascii="宋体" w:hAnsi="宋体" w:eastAsia="宋体" w:cs="宋体"/>
      <w:color w:val="000000"/>
      <w:sz w:val="22"/>
      <w:szCs w:val="22"/>
      <w:u w:val="none"/>
    </w:rPr>
  </w:style>
  <w:style w:type="character" w:customStyle="1" w:styleId="56">
    <w:name w:val="font51"/>
    <w:basedOn w:val="1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4845</Words>
  <Characters>5173</Characters>
  <Lines>16</Lines>
  <Paragraphs>4</Paragraphs>
  <TotalTime>23</TotalTime>
  <ScaleCrop>false</ScaleCrop>
  <LinksUpToDate>false</LinksUpToDate>
  <CharactersWithSpaces>5678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谢恩贵</cp:lastModifiedBy>
  <dcterms:modified xsi:type="dcterms:W3CDTF">2025-12-21T02:58:15Z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2052-12.1.0.24034</vt:lpwstr>
  </property>
  <property fmtid="{D5CDD505-2E9C-101B-9397-08002B2CF9AE}" pid="4" name="ICV">
    <vt:lpwstr>D54A816BB3FB471DAE9E3565EFAD08ED_13</vt:lpwstr>
  </property>
</Properties>
</file>