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E3783">
      <w:pPr>
        <w:autoSpaceDE w:val="0"/>
        <w:autoSpaceDN w:val="0"/>
        <w:adjustRightInd w:val="0"/>
        <w:spacing w:before="100" w:after="100" w:line="360" w:lineRule="auto"/>
        <w:jc w:val="center"/>
        <w:rPr>
          <w:rFonts w:cs="黑体" w:asciiTheme="minorEastAsia" w:hAnsiTheme="minorEastAsia"/>
          <w:b/>
          <w:bCs/>
          <w:color w:val="auto"/>
          <w:sz w:val="48"/>
          <w:szCs w:val="48"/>
        </w:rPr>
      </w:pPr>
    </w:p>
    <w:p w14:paraId="471AFF72">
      <w:pPr>
        <w:autoSpaceDE w:val="0"/>
        <w:autoSpaceDN w:val="0"/>
        <w:adjustRightInd w:val="0"/>
        <w:spacing w:before="100" w:after="100"/>
        <w:jc w:val="center"/>
        <w:rPr>
          <w:rFonts w:hint="eastAsia" w:ascii="宋体" w:hAnsi="宋体" w:eastAsia="宋体" w:cs="宋体"/>
          <w:b/>
          <w:bCs/>
          <w:color w:val="auto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auto"/>
          <w:sz w:val="48"/>
          <w:szCs w:val="48"/>
          <w:lang w:val="en-US" w:eastAsia="zh-CN"/>
        </w:rPr>
        <w:t>宏达股份</w:t>
      </w:r>
      <w:r>
        <w:rPr>
          <w:rFonts w:hint="eastAsia" w:ascii="宋体" w:hAnsi="宋体" w:eastAsia="宋体" w:cs="宋体"/>
          <w:b/>
          <w:bCs/>
          <w:color w:val="auto"/>
          <w:sz w:val="48"/>
          <w:szCs w:val="48"/>
        </w:rPr>
        <w:t>有色金属分公司</w:t>
      </w:r>
    </w:p>
    <w:p w14:paraId="3E5A19FE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/>
          <w:color w:val="auto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auto"/>
          <w:sz w:val="48"/>
          <w:szCs w:val="48"/>
        </w:rPr>
        <w:t>什邡市宏达110kV输变电新建工程环境影响评价服务</w:t>
      </w:r>
    </w:p>
    <w:p w14:paraId="1FAE45D5">
      <w:pPr>
        <w:widowControl/>
        <w:rPr>
          <w:rFonts w:asciiTheme="minorEastAsia" w:hAnsiTheme="minorEastAsia"/>
          <w:b/>
          <w:color w:val="auto"/>
          <w:kern w:val="0"/>
          <w:sz w:val="72"/>
          <w:szCs w:val="72"/>
        </w:rPr>
      </w:pPr>
    </w:p>
    <w:p w14:paraId="538E90AF">
      <w:pPr>
        <w:pStyle w:val="5"/>
        <w:ind w:firstLine="1446"/>
        <w:rPr>
          <w:rFonts w:asciiTheme="minorEastAsia" w:hAnsiTheme="minorEastAsia"/>
          <w:b/>
          <w:color w:val="auto"/>
          <w:kern w:val="0"/>
          <w:sz w:val="72"/>
          <w:szCs w:val="72"/>
        </w:rPr>
      </w:pPr>
    </w:p>
    <w:p w14:paraId="33D068A5">
      <w:pPr>
        <w:pStyle w:val="11"/>
        <w:rPr>
          <w:rFonts w:asciiTheme="minorEastAsia" w:hAnsiTheme="minorEastAsia"/>
          <w:b/>
          <w:color w:val="auto"/>
          <w:kern w:val="0"/>
          <w:sz w:val="72"/>
          <w:szCs w:val="72"/>
        </w:rPr>
      </w:pPr>
    </w:p>
    <w:p w14:paraId="44917994">
      <w:pPr>
        <w:rPr>
          <w:color w:val="auto"/>
        </w:rPr>
      </w:pPr>
    </w:p>
    <w:p w14:paraId="7C29320C">
      <w:pPr>
        <w:pStyle w:val="11"/>
        <w:rPr>
          <w:color w:val="auto"/>
        </w:rPr>
      </w:pPr>
    </w:p>
    <w:p w14:paraId="789A982C">
      <w:pPr>
        <w:widowControl/>
        <w:jc w:val="center"/>
        <w:rPr>
          <w:rFonts w:asciiTheme="minorEastAsia" w:hAnsiTheme="minorEastAsia"/>
          <w:b/>
          <w:color w:val="auto"/>
          <w:kern w:val="0"/>
          <w:sz w:val="72"/>
          <w:szCs w:val="72"/>
        </w:rPr>
      </w:pPr>
      <w:r>
        <w:rPr>
          <w:rFonts w:hint="eastAsia" w:asciiTheme="minorEastAsia" w:hAnsiTheme="minorEastAsia"/>
          <w:b/>
          <w:color w:val="auto"/>
          <w:kern w:val="0"/>
          <w:sz w:val="72"/>
          <w:szCs w:val="72"/>
        </w:rPr>
        <w:t>比选文件</w:t>
      </w:r>
    </w:p>
    <w:p w14:paraId="4C7901ED">
      <w:pPr>
        <w:pStyle w:val="5"/>
        <w:ind w:firstLine="643"/>
        <w:jc w:val="center"/>
        <w:rPr>
          <w:rFonts w:hint="default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编号：YS-GKBX-2025-FW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111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/>
          <w:color w:val="auto"/>
          <w:sz w:val="48"/>
          <w:szCs w:val="48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/>
          <w:color w:val="auto"/>
          <w:lang w:val="zh-CN"/>
        </w:rPr>
      </w:pPr>
    </w:p>
    <w:p w14:paraId="43784FA0">
      <w:pPr>
        <w:jc w:val="center"/>
        <w:rPr>
          <w:rFonts w:cs="黑体" w:asciiTheme="minorEastAsia" w:hAnsiTheme="minorEastAsia"/>
          <w:color w:val="auto"/>
          <w:lang w:val="zh-CN"/>
        </w:rPr>
      </w:pPr>
    </w:p>
    <w:p w14:paraId="205AB8C1">
      <w:pPr>
        <w:jc w:val="center"/>
        <w:rPr>
          <w:rFonts w:cs="黑体" w:asciiTheme="minorEastAsia" w:hAnsiTheme="minorEastAsia"/>
          <w:color w:val="auto"/>
          <w:lang w:val="zh-CN"/>
        </w:rPr>
      </w:pPr>
    </w:p>
    <w:p w14:paraId="6D5AE92C">
      <w:pPr>
        <w:jc w:val="center"/>
        <w:rPr>
          <w:rFonts w:cs="黑体" w:asciiTheme="minorEastAsia" w:hAnsiTheme="minorEastAsia"/>
          <w:color w:val="auto"/>
          <w:lang w:val="zh-CN"/>
        </w:rPr>
      </w:pPr>
    </w:p>
    <w:p w14:paraId="0AD65B3A">
      <w:pPr>
        <w:jc w:val="center"/>
        <w:rPr>
          <w:rFonts w:cs="黑体" w:asciiTheme="minorEastAsia" w:hAnsiTheme="minorEastAsia"/>
          <w:color w:val="auto"/>
          <w:lang w:val="zh-CN"/>
        </w:rPr>
      </w:pPr>
    </w:p>
    <w:p w14:paraId="40735AE9">
      <w:pPr>
        <w:jc w:val="center"/>
        <w:rPr>
          <w:rFonts w:cs="黑体" w:asciiTheme="minorEastAsia" w:hAnsiTheme="minorEastAsia"/>
          <w:color w:val="auto"/>
          <w:lang w:val="zh-CN"/>
        </w:rPr>
      </w:pPr>
    </w:p>
    <w:p w14:paraId="39575830">
      <w:pPr>
        <w:spacing w:line="600" w:lineRule="auto"/>
        <w:ind w:firstLine="2127" w:firstLineChars="709"/>
        <w:rPr>
          <w:rFonts w:asciiTheme="minorEastAsia" w:hAnsiTheme="minorEastAsia"/>
          <w:color w:val="auto"/>
          <w:sz w:val="30"/>
          <w:szCs w:val="30"/>
        </w:rPr>
      </w:pPr>
    </w:p>
    <w:p w14:paraId="709DC411">
      <w:pPr>
        <w:spacing w:line="480" w:lineRule="auto"/>
        <w:ind w:left="1050" w:leftChars="500" w:right="1050" w:rightChars="500"/>
        <w:jc w:val="center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/>
          <w:bCs/>
          <w:color w:val="auto"/>
          <w:sz w:val="30"/>
          <w:szCs w:val="30"/>
        </w:rPr>
        <w:t>比选人：</w:t>
      </w:r>
      <w:r>
        <w:rPr>
          <w:rFonts w:hint="eastAsia" w:asciiTheme="minorEastAsia" w:hAnsiTheme="minorEastAsia"/>
          <w:b/>
          <w:bCs/>
          <w:color w:val="auto"/>
          <w:sz w:val="30"/>
          <w:szCs w:val="30"/>
          <w:lang w:val="en-US" w:eastAsia="zh-CN"/>
        </w:rPr>
        <w:t>宏达股份有色金属分公司</w:t>
      </w:r>
    </w:p>
    <w:p w14:paraId="5693445A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color w:val="auto"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</w:rPr>
        <w:t>25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lang w:val="en-US" w:eastAsia="zh-CN"/>
        </w:rPr>
        <w:t>12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</w:rPr>
        <w:t>月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lang w:val="en-US" w:eastAsia="zh-CN"/>
        </w:rPr>
        <w:t>20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</w:rPr>
        <w:t>日</w:t>
      </w:r>
    </w:p>
    <w:p w14:paraId="3B97A371">
      <w:pPr>
        <w:widowControl/>
        <w:shd w:val="clear" w:color="auto" w:fill="FFFFFF"/>
        <w:spacing w:line="600" w:lineRule="exact"/>
        <w:ind w:firstLine="371"/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宏达股份有色金属分公司</w:t>
      </w:r>
    </w:p>
    <w:p w14:paraId="3C2905FA">
      <w:pPr>
        <w:widowControl/>
        <w:shd w:val="clear" w:color="auto" w:fill="FFFFFF"/>
        <w:spacing w:line="600" w:lineRule="exact"/>
        <w:ind w:firstLine="371"/>
        <w:jc w:val="center"/>
        <w:rPr>
          <w:rFonts w:ascii="黑体" w:hAnsi="黑体" w:eastAsia="黑体" w:cs="宋体"/>
          <w:b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什邡市宏达110kV输变电新建工程环境影响评价服务</w:t>
      </w:r>
    </w:p>
    <w:p w14:paraId="23CFBEF3">
      <w:pPr>
        <w:spacing w:line="360" w:lineRule="exact"/>
        <w:rPr>
          <w:rFonts w:ascii="黑体" w:hAnsi="黑体" w:eastAsia="黑体" w:cs="Times New Roman"/>
          <w:b/>
          <w:color w:val="auto"/>
          <w:sz w:val="28"/>
          <w:szCs w:val="28"/>
        </w:rPr>
      </w:pPr>
      <w:r>
        <w:rPr>
          <w:rFonts w:hint="eastAsia" w:ascii="黑体" w:hAnsi="黑体" w:eastAsia="黑体" w:cs="Times New Roman"/>
          <w:b/>
          <w:color w:val="auto"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四川宏达股份有限公司因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生产需要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，本着“公开、公平、公正”的原则，现对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宏达股份有色金属分公司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什邡市宏达110kV输变电新建工程环境影响评价服务进行公开比选。欢迎贵公司前来报价，现将相关事项公告如下：</w:t>
      </w:r>
    </w:p>
    <w:p w14:paraId="57E5E844">
      <w:pPr>
        <w:spacing w:line="36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一、服务内容</w:t>
      </w:r>
    </w:p>
    <w:p w14:paraId="4B3F99B5">
      <w:pPr>
        <w:spacing w:line="36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1.服务内容：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编制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有色金属分公司什邡市宏达110kV输变电新建工程安全预评价服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务项目的《项目环境影响报告表》。</w:t>
      </w:r>
    </w:p>
    <w:p w14:paraId="566A44AD">
      <w:pPr>
        <w:spacing w:line="36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2.服务地点：四川省什邡市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师古镇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。</w:t>
      </w:r>
    </w:p>
    <w:p w14:paraId="3189E225">
      <w:pPr>
        <w:spacing w:line="36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二、比选人：四川宏达股份有限公司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什邡有色金属分公司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  </w:t>
      </w:r>
    </w:p>
    <w:p w14:paraId="342E6EB4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三、具体内容及要求：</w:t>
      </w:r>
    </w:p>
    <w:p w14:paraId="4BF66C18">
      <w:pPr>
        <w:spacing w:line="36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1.服务期限：202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.1.3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前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出具报告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。</w:t>
      </w:r>
    </w:p>
    <w:p w14:paraId="318C942C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2.付款方式及发票：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hint="eastAsia" w:ascii="黑体" w:hAnsi="黑体" w:eastAsia="黑体" w:cs="Segoe UI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</w:rPr>
        <w:t>付款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highlight w:val="none"/>
        </w:rPr>
        <w:t>方式：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highlight w:val="none"/>
          <w:lang w:val="en-US" w:eastAsia="zh-CN"/>
        </w:rPr>
        <w:t>报告出具后支付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highlight w:val="none"/>
        </w:rPr>
        <w:t>。乙方应向甲方开具等额的增值税专用发票。</w:t>
      </w:r>
    </w:p>
    <w:p w14:paraId="3914BA72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一票制，供应商开具全额增值税专用发票(税率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%)。</w:t>
      </w:r>
    </w:p>
    <w:p w14:paraId="6F201807">
      <w:pPr>
        <w:spacing w:line="420" w:lineRule="exact"/>
        <w:outlineLvl w:val="0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3.比选文件的获取</w:t>
      </w:r>
    </w:p>
    <w:p w14:paraId="2AE6E591">
      <w:pPr>
        <w:spacing w:line="420" w:lineRule="exact"/>
        <w:outlineLvl w:val="0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获取方式为：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截至</w:t>
      </w:r>
      <w:r>
        <w:rPr>
          <w:rFonts w:hint="eastAsia" w:ascii="黑体" w:hAnsi="黑体" w:eastAsia="黑体" w:cs="黑体"/>
          <w:color w:val="auto"/>
          <w:sz w:val="28"/>
          <w:szCs w:val="28"/>
        </w:rPr>
        <w:t xml:space="preserve"> 2025年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月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26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日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黑体"/>
          <w:color w:val="auto"/>
          <w:sz w:val="28"/>
          <w:szCs w:val="28"/>
        </w:rPr>
        <w:t xml:space="preserve">时 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00</w:t>
      </w:r>
      <w:r>
        <w:rPr>
          <w:rFonts w:hint="eastAsia" w:ascii="黑体" w:hAnsi="黑体" w:eastAsia="黑体" w:cs="黑体"/>
          <w:color w:val="auto"/>
          <w:sz w:val="28"/>
          <w:szCs w:val="28"/>
        </w:rPr>
        <w:t xml:space="preserve"> 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spacing w:line="420" w:lineRule="exact"/>
        <w:rPr>
          <w:rFonts w:ascii="黑体" w:hAnsi="黑体" w:eastAsia="黑体" w:cs="仿宋_GB2312"/>
          <w:color w:val="auto"/>
          <w:sz w:val="28"/>
          <w:szCs w:val="28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</w:rPr>
        <w:t>4.响应性文件的递交</w:t>
      </w:r>
    </w:p>
    <w:p w14:paraId="304D30D4">
      <w:pPr>
        <w:spacing w:line="420" w:lineRule="exact"/>
        <w:rPr>
          <w:rFonts w:ascii="黑体" w:hAnsi="黑体" w:eastAsia="黑体" w:cs="仿宋_GB2312"/>
          <w:color w:val="auto"/>
          <w:sz w:val="28"/>
          <w:szCs w:val="28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</w:rPr>
        <w:t>递交截止时间：2025年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仿宋_GB2312"/>
          <w:color w:val="auto"/>
          <w:sz w:val="28"/>
          <w:szCs w:val="28"/>
        </w:rPr>
        <w:t xml:space="preserve"> 月 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26</w:t>
      </w:r>
      <w:r>
        <w:rPr>
          <w:rFonts w:hint="eastAsia" w:ascii="黑体" w:hAnsi="黑体" w:eastAsia="黑体" w:cs="仿宋_GB2312"/>
          <w:color w:val="auto"/>
          <w:sz w:val="28"/>
          <w:szCs w:val="28"/>
        </w:rPr>
        <w:t xml:space="preserve"> 日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仿宋_GB2312"/>
          <w:color w:val="auto"/>
          <w:sz w:val="28"/>
          <w:szCs w:val="28"/>
        </w:rPr>
        <w:t xml:space="preserve">时 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0</w:t>
      </w:r>
      <w:r>
        <w:rPr>
          <w:rFonts w:hint="eastAsia" w:ascii="黑体" w:hAnsi="黑体" w:eastAsia="黑体" w:cs="仿宋_GB2312"/>
          <w:color w:val="auto"/>
          <w:sz w:val="28"/>
          <w:szCs w:val="28"/>
        </w:rPr>
        <w:t>0 分。</w:t>
      </w:r>
    </w:p>
    <w:p w14:paraId="5B16F60F">
      <w:pPr>
        <w:spacing w:line="420" w:lineRule="exact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比选申请人按本询价文件第三章响应性文件格式制作报价文件，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注明服务期限、合计金额、交货期、付款方式等（若询价约定的标的物交货期、付款方式、质保期等有异议，请在报价文件中另作说明）。所有上述资料组成响应性文件，比选人需将响应性文件打印盖章后，以电子文件方式（PDF、扫描文件等）上传至宏达股份集采平台。</w:t>
      </w:r>
    </w:p>
    <w:p w14:paraId="71C3185E">
      <w:pPr>
        <w:spacing w:line="420" w:lineRule="exact"/>
        <w:rPr>
          <w:rFonts w:ascii="黑体" w:hAnsi="黑体" w:eastAsia="黑体" w:cs="仿宋_GB2312"/>
          <w:color w:val="auto"/>
          <w:sz w:val="28"/>
          <w:szCs w:val="28"/>
        </w:rPr>
      </w:pPr>
    </w:p>
    <w:p w14:paraId="0BDA6A4D">
      <w:pPr>
        <w:spacing w:line="420" w:lineRule="exact"/>
        <w:rPr>
          <w:rFonts w:ascii="黑体" w:hAnsi="黑体" w:eastAsia="黑体" w:cs="仿宋_GB2312"/>
          <w:color w:val="auto"/>
          <w:sz w:val="28"/>
          <w:szCs w:val="28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</w:rPr>
        <w:t>5.响应性文件的要求</w:t>
      </w:r>
    </w:p>
    <w:p w14:paraId="5C2DC8B1">
      <w:pPr>
        <w:spacing w:line="420" w:lineRule="exact"/>
        <w:rPr>
          <w:rFonts w:ascii="黑体" w:hAnsi="黑体" w:eastAsia="黑体" w:cs="仿宋_GB2312"/>
          <w:color w:val="auto"/>
          <w:sz w:val="28"/>
          <w:szCs w:val="28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</w:rPr>
        <w:t>比选申请人需提供</w:t>
      </w:r>
      <w:bookmarkStart w:id="0" w:name="OLE_LINK4"/>
      <w:bookmarkStart w:id="1" w:name="OLE_LINK3"/>
      <w:r>
        <w:rPr>
          <w:rFonts w:hint="eastAsia" w:ascii="黑体" w:hAnsi="黑体" w:eastAsia="黑体" w:cs="仿宋_GB2312"/>
          <w:color w:val="auto"/>
          <w:sz w:val="28"/>
          <w:szCs w:val="28"/>
        </w:rPr>
        <w:t>营业执照（三证合一）</w:t>
      </w:r>
      <w:bookmarkEnd w:id="0"/>
      <w:bookmarkEnd w:id="1"/>
      <w:r>
        <w:rPr>
          <w:rFonts w:hint="eastAsia" w:ascii="黑体" w:hAnsi="黑体" w:eastAsia="黑体" w:cs="仿宋_GB2312"/>
          <w:color w:val="auto"/>
          <w:sz w:val="28"/>
          <w:szCs w:val="28"/>
        </w:rPr>
        <w:t>。</w:t>
      </w:r>
    </w:p>
    <w:p w14:paraId="7AF7F1AC">
      <w:pPr>
        <w:pStyle w:val="5"/>
        <w:rPr>
          <w:color w:val="auto"/>
        </w:rPr>
      </w:pPr>
    </w:p>
    <w:p w14:paraId="54DDC833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6.</w:t>
      </w:r>
      <w:r>
        <w:rPr>
          <w:rFonts w:hint="eastAsia" w:ascii="黑体" w:hAnsi="黑体" w:eastAsia="黑体" w:cs="Times New Roman"/>
          <w:color w:val="auto"/>
          <w:sz w:val="28"/>
          <w:szCs w:val="28"/>
        </w:rPr>
        <w:t>比选时不保证最低价中选，但充分注意合理的最低报价。</w:t>
      </w:r>
    </w:p>
    <w:p w14:paraId="56674FAE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7.交送报价文件前，比选申请人可自愿前来我公司进行实地考查、技术交流或咨询。</w:t>
      </w:r>
    </w:p>
    <w:p w14:paraId="440F1485">
      <w:pPr>
        <w:spacing w:line="42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联系人：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李女士</w:t>
      </w:r>
    </w:p>
    <w:p w14:paraId="566E2C95">
      <w:pPr>
        <w:spacing w:line="420" w:lineRule="exac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联系方式：15509083970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0BEE090F">
      <w:pPr>
        <w:pStyle w:val="5"/>
        <w:ind w:firstLine="0" w:firstLineChars="0"/>
        <w:rPr>
          <w:rFonts w:ascii="黑体" w:hAnsi="黑体" w:eastAsia="黑体" w:cs="宋体"/>
          <w:color w:val="auto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color w:val="auto"/>
          <w:kern w:val="0"/>
          <w:sz w:val="28"/>
          <w:szCs w:val="28"/>
        </w:rPr>
      </w:pPr>
    </w:p>
    <w:p w14:paraId="20636B28">
      <w:pPr>
        <w:pStyle w:val="5"/>
        <w:rPr>
          <w:color w:val="auto"/>
        </w:rPr>
      </w:pPr>
    </w:p>
    <w:p w14:paraId="1B8D7823">
      <w:pPr>
        <w:spacing w:line="420" w:lineRule="exact"/>
        <w:jc w:val="righ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宏达股份有色金属分公司</w:t>
      </w:r>
    </w:p>
    <w:p w14:paraId="2A7A58D4">
      <w:pPr>
        <w:spacing w:line="420" w:lineRule="exact"/>
        <w:jc w:val="righ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20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615D18A4">
      <w:pPr>
        <w:spacing w:line="42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6104CEBA">
      <w:pPr>
        <w:spacing w:line="42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2822BE93">
      <w:pPr>
        <w:spacing w:line="42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514C5341">
      <w:pPr>
        <w:spacing w:line="42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42288FFB">
      <w:pPr>
        <w:spacing w:line="42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10F60C8F">
      <w:pPr>
        <w:spacing w:line="42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7A488E6A">
      <w:pPr>
        <w:spacing w:line="42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338131CE">
      <w:pPr>
        <w:spacing w:line="42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65B96488">
      <w:pPr>
        <w:spacing w:line="42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42D574BE">
      <w:pPr>
        <w:spacing w:line="42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0A9B5430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4A684344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33521D7C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1512757C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7C7A8DFF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55429D8D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483915E3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0F063FDA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6164530B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18D985E0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444EDB62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272E47CC">
      <w:pPr>
        <w:spacing w:line="500" w:lineRule="exact"/>
        <w:jc w:val="center"/>
        <w:rPr>
          <w:rFonts w:ascii="宋体" w:hAnsi="宋体"/>
          <w:b/>
          <w:bCs/>
          <w:color w:val="auto"/>
          <w:sz w:val="36"/>
          <w:szCs w:val="36"/>
        </w:rPr>
      </w:pPr>
      <w:bookmarkStart w:id="2" w:name="_Toc268793030"/>
      <w:bookmarkStart w:id="3" w:name="_Toc269113527"/>
      <w:bookmarkStart w:id="4" w:name="_Toc274596702"/>
      <w:bookmarkStart w:id="5" w:name="_Toc275014947"/>
      <w:bookmarkStart w:id="6" w:name="_Toc238552273"/>
      <w:bookmarkStart w:id="7" w:name="_Toc275019684"/>
      <w:bookmarkStart w:id="8" w:name="_Toc238797630"/>
      <w:bookmarkStart w:id="9" w:name="_Toc274236999"/>
      <w:bookmarkStart w:id="10" w:name="_Hlk155791057"/>
      <w:bookmarkStart w:id="11" w:name="_Toc275019836"/>
      <w:bookmarkStart w:id="12" w:name="_Toc16684"/>
      <w:bookmarkStart w:id="13" w:name="_Toc303149804"/>
      <w:bookmarkStart w:id="14" w:name="_Toc318986166"/>
      <w:bookmarkStart w:id="15" w:name="_Toc275019290"/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16DFE2E5">
      <w:pPr>
        <w:ind w:firstLine="4480" w:firstLineChars="1400"/>
        <w:rPr>
          <w:rFonts w:ascii="黑体" w:hAnsi="宋体" w:eastAsia="黑体"/>
          <w:color w:val="auto"/>
          <w:sz w:val="32"/>
          <w:szCs w:val="32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第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二</w:t>
      </w:r>
      <w:r>
        <w:rPr>
          <w:rFonts w:hint="eastAsia" w:ascii="黑体" w:hAnsi="宋体" w:eastAsia="黑体"/>
          <w:color w:val="auto"/>
          <w:sz w:val="32"/>
          <w:szCs w:val="32"/>
        </w:rPr>
        <w:t xml:space="preserve">章 </w:t>
      </w:r>
    </w:p>
    <w:p w14:paraId="711C438E">
      <w:pPr>
        <w:ind w:firstLine="640" w:firstLineChars="200"/>
        <w:jc w:val="center"/>
        <w:rPr>
          <w:rFonts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left"/>
        <w:textAlignment w:val="bottom"/>
        <w:rPr>
          <w:rFonts w:ascii="黑体" w:hAnsi="黑体" w:eastAsia="黑体" w:cs="宋体"/>
          <w:color w:val="auto"/>
          <w:sz w:val="44"/>
          <w:szCs w:val="44"/>
          <w:u w:val="single"/>
        </w:rPr>
      </w:pPr>
    </w:p>
    <w:p w14:paraId="2EB9EB32">
      <w:pPr>
        <w:autoSpaceDE w:val="0"/>
        <w:autoSpaceDN w:val="0"/>
        <w:adjustRightInd w:val="0"/>
        <w:spacing w:before="100" w:after="100"/>
        <w:jc w:val="center"/>
        <w:rPr>
          <w:rFonts w:hint="eastAsia" w:ascii="宋体" w:hAnsi="宋体" w:eastAsia="宋体" w:cs="宋体"/>
          <w:b/>
          <w:bCs/>
          <w:color w:val="auto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auto"/>
          <w:sz w:val="48"/>
          <w:szCs w:val="48"/>
        </w:rPr>
        <w:t>宏达股份有色金属分公司</w:t>
      </w:r>
    </w:p>
    <w:p w14:paraId="7B6AD25D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/>
          <w:color w:val="auto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auto"/>
          <w:sz w:val="48"/>
          <w:szCs w:val="48"/>
        </w:rPr>
        <w:t>什邡市宏达110kV输变电新建工程安全预评价服务</w:t>
      </w:r>
    </w:p>
    <w:p w14:paraId="747AA76C">
      <w:pPr>
        <w:ind w:firstLine="1680" w:firstLineChars="200"/>
        <w:jc w:val="center"/>
        <w:rPr>
          <w:rFonts w:ascii="黑体" w:eastAsia="黑体"/>
          <w:color w:val="auto"/>
          <w:sz w:val="84"/>
          <w:szCs w:val="84"/>
        </w:rPr>
      </w:pPr>
    </w:p>
    <w:p w14:paraId="20F6E255">
      <w:pPr>
        <w:jc w:val="center"/>
        <w:rPr>
          <w:rFonts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</w:rPr>
        <w:t>响应性文件</w:t>
      </w:r>
    </w:p>
    <w:p w14:paraId="63281EB3">
      <w:pPr>
        <w:ind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ind w:firstLine="720" w:firstLineChars="200"/>
        <w:rPr>
          <w:rFonts w:ascii="黑体" w:hAnsi="宋体" w:eastAsia="黑体"/>
          <w:color w:val="auto"/>
          <w:sz w:val="36"/>
          <w:szCs w:val="36"/>
        </w:rPr>
      </w:pPr>
    </w:p>
    <w:p w14:paraId="6EE9AD25">
      <w:pPr>
        <w:ind w:firstLine="720" w:firstLineChars="200"/>
        <w:rPr>
          <w:rFonts w:ascii="黑体" w:hAnsi="宋体" w:eastAsia="黑体"/>
          <w:color w:val="auto"/>
          <w:sz w:val="36"/>
          <w:szCs w:val="36"/>
        </w:rPr>
      </w:pPr>
    </w:p>
    <w:p w14:paraId="1BA4ADEE">
      <w:pPr>
        <w:ind w:firstLine="720" w:firstLineChars="200"/>
        <w:rPr>
          <w:rFonts w:ascii="楷体_GB2312" w:hAnsi="宋体" w:eastAsia="楷体_GB2312"/>
          <w:color w:val="auto"/>
          <w:sz w:val="36"/>
          <w:szCs w:val="36"/>
        </w:rPr>
      </w:pPr>
    </w:p>
    <w:p w14:paraId="1B578B9A">
      <w:pPr>
        <w:ind w:firstLine="720" w:firstLineChars="200"/>
        <w:rPr>
          <w:rFonts w:ascii="楷体_GB2312" w:hAnsi="宋体" w:eastAsia="楷体_GB2312"/>
          <w:color w:val="auto"/>
          <w:sz w:val="36"/>
          <w:szCs w:val="36"/>
        </w:rPr>
      </w:pPr>
    </w:p>
    <w:p w14:paraId="2C8BC3D3">
      <w:pPr>
        <w:ind w:firstLine="720" w:firstLineChars="200"/>
        <w:rPr>
          <w:rFonts w:ascii="楷体_GB2312" w:hAnsi="宋体" w:eastAsia="楷体_GB2312"/>
          <w:color w:val="auto"/>
          <w:sz w:val="36"/>
          <w:szCs w:val="36"/>
        </w:rPr>
      </w:pPr>
    </w:p>
    <w:p w14:paraId="513F1F8D">
      <w:pPr>
        <w:spacing w:line="440" w:lineRule="exact"/>
        <w:ind w:firstLine="1440" w:firstLineChars="400"/>
        <w:jc w:val="left"/>
        <w:rPr>
          <w:rFonts w:ascii="楷体_GB2312" w:hAnsi="宋体" w:eastAsia="楷体_GB2312"/>
          <w:color w:val="auto"/>
          <w:sz w:val="36"/>
          <w:szCs w:val="36"/>
        </w:rPr>
      </w:pPr>
      <w:r>
        <w:rPr>
          <w:rFonts w:hint="eastAsia" w:ascii="楷体_GB2312" w:hAnsi="宋体" w:eastAsia="楷体_GB2312"/>
          <w:color w:val="auto"/>
          <w:sz w:val="36"/>
          <w:szCs w:val="36"/>
        </w:rPr>
        <w:t>服务商名称：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（盖单位章）</w:t>
      </w:r>
    </w:p>
    <w:p w14:paraId="4C40C091">
      <w:pPr>
        <w:ind w:firstLine="720" w:firstLineChars="200"/>
        <w:rPr>
          <w:rFonts w:ascii="楷体_GB2312" w:hAnsi="宋体" w:eastAsia="楷体_GB2312"/>
          <w:color w:val="auto"/>
          <w:sz w:val="36"/>
          <w:szCs w:val="36"/>
        </w:rPr>
      </w:pPr>
    </w:p>
    <w:p w14:paraId="0091A756">
      <w:pPr>
        <w:ind w:firstLine="1285" w:firstLineChars="400"/>
        <w:rPr>
          <w:rFonts w:ascii="新宋体" w:hAnsi="新宋体" w:eastAsia="楷体_GB2312" w:cs="新宋体"/>
          <w:b/>
          <w:color w:val="auto"/>
          <w:sz w:val="32"/>
          <w:u w:val="single"/>
        </w:rPr>
      </w:pPr>
    </w:p>
    <w:p w14:paraId="0069B44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cs="黑体" w:asciiTheme="minorEastAsia" w:hAnsiTheme="minorEastAsia"/>
          <w:b/>
          <w:bCs/>
          <w:color w:val="auto"/>
          <w:kern w:val="44"/>
          <w:sz w:val="28"/>
          <w:szCs w:val="28"/>
          <w:lang w:val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page"/>
      </w:r>
      <w:bookmarkStart w:id="16" w:name="_Toc9978"/>
      <w:bookmarkStart w:id="17" w:name="_Toc30198"/>
      <w:bookmarkStart w:id="18" w:name="_Toc4384"/>
      <w:r>
        <w:rPr>
          <w:rFonts w:hint="eastAsia" w:cs="黑体" w:asciiTheme="minorEastAsia" w:hAnsiTheme="minorEastAsia"/>
          <w:b/>
          <w:bCs/>
          <w:color w:val="auto"/>
          <w:kern w:val="44"/>
          <w:sz w:val="28"/>
          <w:szCs w:val="28"/>
          <w:lang w:val="zh-CN"/>
        </w:rPr>
        <w:t>一</w:t>
      </w:r>
      <w:r>
        <w:rPr>
          <w:rFonts w:hint="eastAsia" w:cs="黑体" w:asciiTheme="minorEastAsia" w:hAnsiTheme="minorEastAsia"/>
          <w:b/>
          <w:bCs/>
          <w:color w:val="auto"/>
          <w:kern w:val="44"/>
          <w:sz w:val="28"/>
          <w:szCs w:val="28"/>
        </w:rPr>
        <w:t xml:space="preserve">  报价</w:t>
      </w:r>
      <w:r>
        <w:rPr>
          <w:rFonts w:hint="eastAsia" w:cs="黑体" w:asciiTheme="minorEastAsia" w:hAnsiTheme="minorEastAsia"/>
          <w:b/>
          <w:bCs/>
          <w:color w:val="auto"/>
          <w:kern w:val="44"/>
          <w:sz w:val="28"/>
          <w:szCs w:val="28"/>
          <w:lang w:val="zh-CN"/>
        </w:rPr>
        <w:t>函</w:t>
      </w:r>
      <w:bookmarkEnd w:id="16"/>
      <w:bookmarkEnd w:id="17"/>
      <w:bookmarkEnd w:id="18"/>
    </w:p>
    <w:p w14:paraId="690A7465">
      <w:pPr>
        <w:spacing w:line="560" w:lineRule="exact"/>
        <w:rPr>
          <w:rFonts w:asciiTheme="minorEastAsia" w:hAnsiTheme="minorEastAsia"/>
          <w:color w:val="auto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四川宏达股份有限公司</w:t>
      </w:r>
      <w:r>
        <w:rPr>
          <w:rFonts w:hint="eastAsia" w:asciiTheme="minorEastAsia" w:hAnsiTheme="minorEastAsia"/>
          <w:color w:val="auto"/>
          <w:szCs w:val="21"/>
        </w:rPr>
        <w:t>：</w:t>
      </w:r>
    </w:p>
    <w:p w14:paraId="7354C7EB">
      <w:pPr>
        <w:autoSpaceDE w:val="0"/>
        <w:autoSpaceDN w:val="0"/>
        <w:adjustRightInd w:val="0"/>
        <w:spacing w:before="100" w:after="100"/>
        <w:ind w:firstLine="480" w:firstLineChars="200"/>
        <w:jc w:val="left"/>
        <w:rPr>
          <w:rFonts w:hint="eastAsia" w:asciiTheme="minorEastAsia" w:hAnsiTheme="minorEastAsia"/>
          <w:color w:val="auto"/>
          <w:sz w:val="24"/>
          <w:szCs w:val="24"/>
        </w:rPr>
      </w:pPr>
      <w:r>
        <w:rPr>
          <w:rFonts w:hint="eastAsia" w:asciiTheme="minorEastAsia" w:hAnsiTheme="minorEastAsia"/>
          <w:color w:val="auto"/>
          <w:sz w:val="24"/>
          <w:szCs w:val="24"/>
        </w:rPr>
        <w:t>我方已仔细研究了宏达股份</w:t>
      </w:r>
      <w:bookmarkStart w:id="19" w:name="_GoBack"/>
      <w:bookmarkEnd w:id="19"/>
      <w:r>
        <w:rPr>
          <w:rFonts w:hint="eastAsia" w:asciiTheme="minorEastAsia" w:hAnsiTheme="minorEastAsia"/>
          <w:color w:val="auto"/>
          <w:sz w:val="24"/>
          <w:szCs w:val="24"/>
          <w:lang w:val="en-US" w:eastAsia="zh-CN"/>
        </w:rPr>
        <w:t>有色金属分公司什邡市宏达110kV输变电新建工程安全预评价服务的</w:t>
      </w:r>
      <w:r>
        <w:rPr>
          <w:rFonts w:hint="eastAsia" w:asciiTheme="minorEastAsia" w:hAnsiTheme="minorEastAsia"/>
          <w:color w:val="auto"/>
          <w:sz w:val="24"/>
          <w:szCs w:val="24"/>
        </w:rPr>
        <w:t>比选文件(包括补充通知的全部内容），愿意以含税人民币大写：</w:t>
      </w:r>
      <w:r>
        <w:rPr>
          <w:rFonts w:hint="eastAsia" w:asciiTheme="minorEastAsia" w:hAnsiTheme="minorEastAsia"/>
          <w:color w:val="auto"/>
          <w:sz w:val="24"/>
          <w:szCs w:val="24"/>
          <w:u w:val="single"/>
        </w:rPr>
        <w:t xml:space="preserve">          </w:t>
      </w:r>
      <w:r>
        <w:rPr>
          <w:rFonts w:hint="eastAsia" w:asciiTheme="minorEastAsia" w:hAnsiTheme="minorEastAsia"/>
          <w:color w:val="auto"/>
          <w:sz w:val="24"/>
          <w:szCs w:val="24"/>
        </w:rPr>
        <w:t>元（¥：</w:t>
      </w:r>
      <w:r>
        <w:rPr>
          <w:rFonts w:hint="eastAsia" w:asciiTheme="minorEastAsia" w:hAnsiTheme="minorEastAsia"/>
          <w:color w:val="auto"/>
          <w:sz w:val="24"/>
          <w:szCs w:val="24"/>
          <w:u w:val="single"/>
        </w:rPr>
        <w:tab/>
      </w:r>
      <w:r>
        <w:rPr>
          <w:rFonts w:hint="eastAsia" w:asciiTheme="minorEastAsia" w:hAnsiTheme="minorEastAsia"/>
          <w:color w:val="auto"/>
          <w:sz w:val="24"/>
          <w:szCs w:val="24"/>
          <w:u w:val="single"/>
        </w:rPr>
        <w:t xml:space="preserve">            </w:t>
      </w:r>
      <w:r>
        <w:rPr>
          <w:rFonts w:hint="eastAsia" w:asciiTheme="minorEastAsia" w:hAnsiTheme="minorEastAsia"/>
          <w:color w:val="auto"/>
          <w:sz w:val="24"/>
          <w:szCs w:val="24"/>
        </w:rPr>
        <w:t>元）（其中增值税税率为</w:t>
      </w:r>
      <w:r>
        <w:rPr>
          <w:rFonts w:hint="eastAsia" w:asciiTheme="minorEastAsia" w:hAnsiTheme="minorEastAsia"/>
          <w:color w:val="auto"/>
          <w:sz w:val="24"/>
          <w:szCs w:val="24"/>
          <w:u w:val="single"/>
        </w:rPr>
        <w:t xml:space="preserve">     </w:t>
      </w:r>
      <w:r>
        <w:rPr>
          <w:rFonts w:hint="eastAsia" w:asciiTheme="minorEastAsia" w:hAnsiTheme="minorEastAsia"/>
          <w:color w:val="auto"/>
          <w:sz w:val="24"/>
          <w:szCs w:val="24"/>
        </w:rPr>
        <w:t>%）的比选总报价，交货期限：</w:t>
      </w:r>
      <w:r>
        <w:rPr>
          <w:rFonts w:hint="eastAsia" w:asciiTheme="minorEastAsia" w:hAnsiTheme="minorEastAsia"/>
          <w:color w:val="auto"/>
          <w:sz w:val="24"/>
          <w:szCs w:val="24"/>
          <w:u w:val="single"/>
        </w:rPr>
        <w:t xml:space="preserve">          </w:t>
      </w:r>
      <w:r>
        <w:rPr>
          <w:rFonts w:hint="eastAsia" w:asciiTheme="minorEastAsia" w:hAnsiTheme="minorEastAsia"/>
          <w:color w:val="auto"/>
          <w:sz w:val="24"/>
          <w:szCs w:val="24"/>
        </w:rPr>
        <w:t>，按比选文件规定的条件和要求承担合同规定的全部工作，并承担相关的责任，质量验收标准：</w:t>
      </w:r>
      <w:r>
        <w:rPr>
          <w:rFonts w:hint="eastAsia" w:asciiTheme="minorEastAsia" w:hAnsiTheme="minorEastAsia"/>
          <w:color w:val="auto"/>
          <w:sz w:val="24"/>
          <w:szCs w:val="24"/>
          <w:u w:val="single"/>
        </w:rPr>
        <w:t xml:space="preserve">                   </w:t>
      </w:r>
      <w:r>
        <w:rPr>
          <w:rFonts w:hint="eastAsia" w:asciiTheme="minorEastAsia" w:hAnsiTheme="minorEastAsia"/>
          <w:color w:val="auto"/>
          <w:sz w:val="24"/>
          <w:szCs w:val="24"/>
        </w:rPr>
        <w:t xml:space="preserve"> 。</w:t>
      </w:r>
    </w:p>
    <w:p w14:paraId="0B8FD28D">
      <w:pPr>
        <w:widowControl/>
        <w:numPr>
          <w:ilvl w:val="0"/>
          <w:numId w:val="1"/>
        </w:numPr>
        <w:spacing w:line="560" w:lineRule="exact"/>
        <w:ind w:firstLine="480" w:firstLineChars="200"/>
        <w:rPr>
          <w:rFonts w:asciiTheme="minorEastAsia" w:hAnsiTheme="minorEastAsia"/>
          <w:color w:val="auto"/>
          <w:sz w:val="24"/>
          <w:szCs w:val="24"/>
        </w:rPr>
      </w:pPr>
      <w:r>
        <w:rPr>
          <w:rFonts w:hint="eastAsia" w:asciiTheme="minorEastAsia" w:hAnsiTheme="minorEastAsia"/>
          <w:color w:val="auto"/>
          <w:sz w:val="24"/>
          <w:szCs w:val="24"/>
        </w:rPr>
        <w:t>我公司承诺在投标有效期</w:t>
      </w:r>
      <w:r>
        <w:rPr>
          <w:rFonts w:hint="eastAsia" w:asciiTheme="minorEastAsia" w:hAnsiTheme="minorEastAsia"/>
          <w:color w:val="auto"/>
          <w:sz w:val="24"/>
          <w:szCs w:val="24"/>
          <w:u w:val="single"/>
        </w:rPr>
        <w:t>30</w:t>
      </w:r>
      <w:r>
        <w:rPr>
          <w:rFonts w:hint="eastAsia" w:asciiTheme="minorEastAsia" w:hAnsiTheme="minorEastAsia"/>
          <w:color w:val="auto"/>
          <w:sz w:val="24"/>
          <w:szCs w:val="24"/>
        </w:rPr>
        <w:t>日历天内不修改、撤销比选文件。</w:t>
      </w:r>
    </w:p>
    <w:p w14:paraId="7B2E6878">
      <w:pPr>
        <w:spacing w:line="560" w:lineRule="exact"/>
        <w:ind w:firstLine="480" w:firstLineChars="200"/>
        <w:rPr>
          <w:rFonts w:asciiTheme="minorEastAsia" w:hAnsiTheme="minorEastAsia"/>
          <w:color w:val="auto"/>
          <w:sz w:val="24"/>
          <w:szCs w:val="24"/>
        </w:rPr>
      </w:pPr>
      <w:r>
        <w:rPr>
          <w:rFonts w:hint="eastAsia" w:asciiTheme="minorEastAsia" w:hAnsiTheme="minorEastAsia"/>
          <w:color w:val="auto"/>
          <w:sz w:val="24"/>
          <w:szCs w:val="24"/>
        </w:rPr>
        <w:t>3、如我方中标，我方承诺：</w:t>
      </w:r>
    </w:p>
    <w:p w14:paraId="6A573A08">
      <w:pPr>
        <w:spacing w:line="560" w:lineRule="exact"/>
        <w:ind w:firstLine="480" w:firstLineChars="200"/>
        <w:rPr>
          <w:rFonts w:asciiTheme="minorEastAsia" w:hAnsiTheme="minorEastAsia"/>
          <w:color w:val="auto"/>
          <w:sz w:val="24"/>
          <w:szCs w:val="24"/>
        </w:rPr>
      </w:pPr>
      <w:r>
        <w:rPr>
          <w:rFonts w:hint="eastAsia" w:asciiTheme="minorEastAsia" w:hAnsiTheme="minorEastAsia"/>
          <w:color w:val="auto"/>
          <w:sz w:val="24"/>
          <w:szCs w:val="24"/>
        </w:rPr>
        <w:t>（1）在签订合同时不向你方提出附加条件；</w:t>
      </w:r>
    </w:p>
    <w:p w14:paraId="4E2AD6D6">
      <w:pPr>
        <w:spacing w:line="560" w:lineRule="exact"/>
        <w:ind w:firstLine="480" w:firstLineChars="200"/>
        <w:rPr>
          <w:rFonts w:asciiTheme="minorEastAsia" w:hAnsiTheme="minorEastAsia"/>
          <w:color w:val="auto"/>
          <w:sz w:val="24"/>
          <w:szCs w:val="24"/>
        </w:rPr>
      </w:pPr>
      <w:r>
        <w:rPr>
          <w:rFonts w:hint="eastAsia" w:asciiTheme="minorEastAsia" w:hAnsiTheme="minorEastAsia"/>
          <w:color w:val="auto"/>
          <w:sz w:val="24"/>
          <w:szCs w:val="24"/>
        </w:rPr>
        <w:t>（2）在合同约定的期限内完成合同规定的全部义务。</w:t>
      </w:r>
    </w:p>
    <w:p w14:paraId="7AD4F29B">
      <w:pPr>
        <w:spacing w:line="560" w:lineRule="exact"/>
        <w:ind w:firstLine="480" w:firstLineChars="200"/>
        <w:rPr>
          <w:rFonts w:asciiTheme="minorEastAsia" w:hAnsiTheme="minorEastAsia"/>
          <w:color w:val="auto"/>
          <w:sz w:val="24"/>
          <w:szCs w:val="24"/>
        </w:rPr>
      </w:pPr>
      <w:r>
        <w:rPr>
          <w:rFonts w:hint="eastAsia" w:asciiTheme="minorEastAsia" w:hAnsiTheme="minorEastAsia"/>
          <w:color w:val="auto"/>
          <w:sz w:val="24"/>
          <w:szCs w:val="24"/>
        </w:rPr>
        <w:t>4.</w:t>
      </w:r>
      <w:r>
        <w:rPr>
          <w:rFonts w:hint="eastAsia" w:asciiTheme="minorEastAsia" w:hAnsiTheme="minorEastAsia"/>
          <w:color w:val="auto"/>
          <w:sz w:val="24"/>
          <w:szCs w:val="24"/>
          <w:u w:val="single"/>
        </w:rPr>
        <w:t xml:space="preserve">                        </w:t>
      </w:r>
      <w:r>
        <w:rPr>
          <w:rFonts w:hint="eastAsia" w:asciiTheme="minorEastAsia" w:hAnsiTheme="minorEastAsia"/>
          <w:color w:val="auto"/>
          <w:sz w:val="24"/>
          <w:szCs w:val="24"/>
        </w:rPr>
        <w:t>。（其他补充说明）。</w:t>
      </w:r>
    </w:p>
    <w:p w14:paraId="3671B1F5">
      <w:pPr>
        <w:spacing w:line="560" w:lineRule="exact"/>
        <w:ind w:firstLine="420" w:firstLineChars="200"/>
        <w:rPr>
          <w:rFonts w:asciiTheme="minorEastAsia" w:hAnsiTheme="minorEastAsia"/>
          <w:color w:val="auto"/>
          <w:szCs w:val="21"/>
        </w:rPr>
      </w:pPr>
    </w:p>
    <w:p w14:paraId="2E8D299E">
      <w:pPr>
        <w:spacing w:line="560" w:lineRule="exact"/>
        <w:ind w:firstLine="480" w:firstLineChars="200"/>
        <w:rPr>
          <w:rFonts w:asciiTheme="minorEastAsia" w:hAnsiTheme="minorEastAsia"/>
          <w:color w:val="auto"/>
          <w:sz w:val="24"/>
          <w:szCs w:val="24"/>
        </w:rPr>
      </w:pPr>
    </w:p>
    <w:p w14:paraId="550B9DCF">
      <w:pPr>
        <w:spacing w:line="560" w:lineRule="exact"/>
        <w:ind w:firstLine="480" w:firstLineChars="200"/>
        <w:rPr>
          <w:rFonts w:asciiTheme="minorEastAsia" w:hAnsiTheme="minorEastAsia"/>
          <w:color w:val="auto"/>
          <w:sz w:val="24"/>
          <w:szCs w:val="24"/>
        </w:rPr>
      </w:pPr>
      <w:r>
        <w:rPr>
          <w:rFonts w:hint="eastAsia" w:asciiTheme="minorEastAsia" w:hAnsiTheme="minorEastAsia"/>
          <w:color w:val="auto"/>
          <w:sz w:val="24"/>
          <w:szCs w:val="24"/>
        </w:rPr>
        <w:t xml:space="preserve">                                  报价单位：</w:t>
      </w:r>
      <w:r>
        <w:rPr>
          <w:rFonts w:hint="eastAsia" w:asciiTheme="minorEastAsia" w:hAnsiTheme="minorEastAsia"/>
          <w:color w:val="auto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/>
          <w:color w:val="auto"/>
          <w:sz w:val="24"/>
          <w:szCs w:val="24"/>
        </w:rPr>
        <w:t>（盖单位章）</w:t>
      </w:r>
    </w:p>
    <w:p w14:paraId="2CA36C70">
      <w:pPr>
        <w:spacing w:line="560" w:lineRule="exact"/>
        <w:ind w:firstLine="480" w:firstLineChars="200"/>
        <w:rPr>
          <w:rFonts w:asciiTheme="minorEastAsia" w:hAnsiTheme="minorEastAsia"/>
          <w:color w:val="auto"/>
          <w:sz w:val="24"/>
          <w:szCs w:val="24"/>
        </w:rPr>
      </w:pPr>
      <w:r>
        <w:rPr>
          <w:rFonts w:hint="eastAsia" w:asciiTheme="minorEastAsia" w:hAnsiTheme="minorEastAsia"/>
          <w:color w:val="auto"/>
          <w:sz w:val="24"/>
          <w:szCs w:val="24"/>
        </w:rPr>
        <w:t xml:space="preserve">                              </w:t>
      </w:r>
    </w:p>
    <w:p w14:paraId="7FF0CDEC">
      <w:pPr>
        <w:spacing w:line="560" w:lineRule="exact"/>
        <w:ind w:firstLine="480" w:firstLineChars="200"/>
        <w:rPr>
          <w:rFonts w:asciiTheme="minorEastAsia" w:hAnsiTheme="minorEastAsia"/>
          <w:color w:val="auto"/>
          <w:szCs w:val="21"/>
        </w:rPr>
      </w:pPr>
      <w:r>
        <w:rPr>
          <w:rFonts w:hint="eastAsia" w:asciiTheme="minorEastAsia" w:hAnsiTheme="minorEastAsia"/>
          <w:color w:val="auto"/>
          <w:sz w:val="24"/>
          <w:szCs w:val="24"/>
        </w:rPr>
        <w:t xml:space="preserve">                                            </w:t>
      </w:r>
      <w:r>
        <w:rPr>
          <w:rFonts w:hint="eastAsia" w:asciiTheme="minorEastAsia" w:hAnsiTheme="minorEastAsia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color w:val="auto"/>
          <w:sz w:val="24"/>
          <w:szCs w:val="24"/>
        </w:rPr>
        <w:t>年</w:t>
      </w:r>
      <w:r>
        <w:rPr>
          <w:rFonts w:hint="eastAsia" w:asciiTheme="minorEastAsia" w:hAnsiTheme="minorEastAsia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color w:val="auto"/>
          <w:sz w:val="24"/>
          <w:szCs w:val="24"/>
        </w:rPr>
        <w:t>月</w:t>
      </w:r>
      <w:r>
        <w:rPr>
          <w:rFonts w:hint="eastAsia" w:asciiTheme="minorEastAsia" w:hAnsiTheme="minorEastAsia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color w:val="auto"/>
          <w:sz w:val="24"/>
          <w:szCs w:val="24"/>
        </w:rPr>
        <w:t>日</w:t>
      </w:r>
    </w:p>
    <w:p w14:paraId="01C32111"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</w:p>
    <w:p w14:paraId="1C2AABFA">
      <w:pPr>
        <w:ind w:firstLine="562" w:firstLineChars="200"/>
        <w:jc w:val="left"/>
        <w:rPr>
          <w:rFonts w:ascii="宋体" w:hAnsi="宋体" w:cs="宋体"/>
          <w:b/>
          <w:bCs/>
          <w:color w:val="auto"/>
          <w:sz w:val="28"/>
          <w:szCs w:val="28"/>
        </w:rPr>
      </w:pPr>
    </w:p>
    <w:p w14:paraId="209F5516">
      <w:pPr>
        <w:ind w:firstLine="562" w:firstLineChars="200"/>
        <w:jc w:val="left"/>
        <w:rPr>
          <w:rFonts w:ascii="宋体" w:hAnsi="宋体" w:cs="宋体"/>
          <w:b/>
          <w:bCs/>
          <w:color w:val="auto"/>
          <w:sz w:val="28"/>
          <w:szCs w:val="28"/>
        </w:rPr>
      </w:pPr>
    </w:p>
    <w:p w14:paraId="1C254BE0">
      <w:pPr>
        <w:ind w:firstLine="562" w:firstLineChars="200"/>
        <w:jc w:val="left"/>
        <w:rPr>
          <w:rFonts w:ascii="宋体" w:hAnsi="宋体" w:cs="宋体"/>
          <w:b/>
          <w:bCs/>
          <w:color w:val="auto"/>
          <w:sz w:val="28"/>
          <w:szCs w:val="28"/>
        </w:rPr>
      </w:pPr>
    </w:p>
    <w:p w14:paraId="45288F6D">
      <w:pPr>
        <w:ind w:firstLine="562" w:firstLineChars="200"/>
        <w:jc w:val="left"/>
        <w:rPr>
          <w:rFonts w:ascii="宋体" w:hAnsi="宋体" w:cs="宋体"/>
          <w:b/>
          <w:bCs/>
          <w:color w:val="auto"/>
          <w:sz w:val="28"/>
          <w:szCs w:val="28"/>
        </w:rPr>
      </w:pPr>
    </w:p>
    <w:p w14:paraId="2C549BB4">
      <w:pPr>
        <w:ind w:firstLine="562" w:firstLineChars="200"/>
        <w:jc w:val="left"/>
        <w:rPr>
          <w:rFonts w:ascii="宋体" w:hAnsi="宋体" w:cs="宋体"/>
          <w:b/>
          <w:bCs/>
          <w:color w:val="auto"/>
          <w:sz w:val="28"/>
          <w:szCs w:val="28"/>
        </w:rPr>
      </w:pPr>
    </w:p>
    <w:p w14:paraId="29DB1B23">
      <w:pPr>
        <w:ind w:firstLine="562" w:firstLineChars="200"/>
        <w:jc w:val="left"/>
        <w:rPr>
          <w:rFonts w:ascii="宋体" w:hAnsi="宋体" w:cs="宋体"/>
          <w:b/>
          <w:bCs/>
          <w:color w:val="auto"/>
          <w:sz w:val="28"/>
          <w:szCs w:val="28"/>
        </w:rPr>
      </w:pPr>
    </w:p>
    <w:p w14:paraId="0F7017DE">
      <w:pPr>
        <w:jc w:val="left"/>
        <w:rPr>
          <w:rFonts w:ascii="宋体" w:hAnsi="宋体" w:cs="宋体"/>
          <w:b/>
          <w:bCs/>
          <w:color w:val="auto"/>
          <w:sz w:val="28"/>
          <w:szCs w:val="28"/>
        </w:rPr>
      </w:pPr>
    </w:p>
    <w:p w14:paraId="79E6E945">
      <w:pPr>
        <w:pStyle w:val="51"/>
        <w:spacing w:line="360" w:lineRule="auto"/>
        <w:ind w:firstLine="482" w:firstLineChars="200"/>
        <w:jc w:val="center"/>
        <w:rPr>
          <w:rFonts w:ascii="宋体" w:hAnsi="宋体" w:eastAsia="宋体"/>
          <w:b/>
          <w:color w:val="auto"/>
        </w:rPr>
      </w:pPr>
      <w:r>
        <w:rPr>
          <w:rFonts w:hint="eastAsia" w:ascii="宋体" w:hAnsi="宋体" w:eastAsia="宋体"/>
          <w:b/>
          <w:color w:val="auto"/>
          <w:lang w:val="en-US" w:eastAsia="zh-CN"/>
        </w:rPr>
        <w:t>二</w:t>
      </w:r>
      <w:r>
        <w:rPr>
          <w:rFonts w:hint="eastAsia" w:ascii="宋体" w:hAnsi="宋体" w:eastAsia="宋体"/>
          <w:b/>
          <w:color w:val="auto"/>
        </w:rPr>
        <w:t xml:space="preserve">  报价表</w:t>
      </w:r>
    </w:p>
    <w:p w14:paraId="15414075">
      <w:pPr>
        <w:pStyle w:val="5"/>
        <w:ind w:left="0" w:leftChars="0" w:firstLine="0" w:firstLineChars="0"/>
        <w:jc w:val="left"/>
        <w:rPr>
          <w:color w:val="auto"/>
          <w:kern w:val="0"/>
        </w:rPr>
      </w:pPr>
      <w:r>
        <w:rPr>
          <w:rFonts w:hint="eastAsia"/>
          <w:color w:val="auto"/>
          <w:sz w:val="20"/>
          <w:szCs w:val="20"/>
        </w:rPr>
        <w:t xml:space="preserve">        </w:t>
      </w:r>
      <w:r>
        <w:rPr>
          <w:rFonts w:hint="eastAsia"/>
          <w:color w:val="auto"/>
        </w:rPr>
        <w:t xml:space="preserve">                                               </w:t>
      </w:r>
    </w:p>
    <w:tbl>
      <w:tblPr>
        <w:tblStyle w:val="17"/>
        <w:tblW w:w="952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3"/>
        <w:gridCol w:w="1221"/>
        <w:gridCol w:w="1404"/>
        <w:gridCol w:w="846"/>
        <w:gridCol w:w="900"/>
        <w:gridCol w:w="1447"/>
        <w:gridCol w:w="1307"/>
        <w:gridCol w:w="1371"/>
      </w:tblGrid>
      <w:tr w14:paraId="0A5E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</w:trPr>
        <w:tc>
          <w:tcPr>
            <w:tcW w:w="103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编号</w:t>
            </w:r>
          </w:p>
        </w:tc>
        <w:tc>
          <w:tcPr>
            <w:tcW w:w="122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服务名称</w:t>
            </w:r>
          </w:p>
        </w:tc>
        <w:tc>
          <w:tcPr>
            <w:tcW w:w="1404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服务内容</w:t>
            </w:r>
          </w:p>
        </w:tc>
        <w:tc>
          <w:tcPr>
            <w:tcW w:w="84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73D2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2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E1E72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投标报价</w:t>
            </w:r>
          </w:p>
        </w:tc>
        <w:tc>
          <w:tcPr>
            <w:tcW w:w="1371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8ACE7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56DCD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Header/>
        </w:trPr>
        <w:tc>
          <w:tcPr>
            <w:tcW w:w="10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E1C7F6">
            <w:pPr>
              <w:jc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5F1177">
            <w:pPr>
              <w:jc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14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BF913C">
            <w:pPr>
              <w:jc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5577F7">
            <w:pPr>
              <w:jc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00A7BA">
            <w:pPr>
              <w:jc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730B2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bidi="ar"/>
              </w:rPr>
              <w:t>含税单价（元）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58B49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bidi="ar"/>
              </w:rPr>
              <w:t>合价（元）</w:t>
            </w:r>
          </w:p>
        </w:tc>
        <w:tc>
          <w:tcPr>
            <w:tcW w:w="1371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2FA6FB">
            <w:pPr>
              <w:jc w:val="left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</w:p>
        </w:tc>
      </w:tr>
      <w:tr w14:paraId="10730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FFDAD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bidi="ar"/>
              </w:rPr>
              <w:t>什邡市宏达110kV输变电新建工程安全预评价服务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4E28C"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"/>
              </w:rPr>
              <w:t>编制《项目环境影响报告表》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5F2D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2C1D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FD3DD2"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A8AA72"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0F915C">
            <w:pPr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</w:tr>
    </w:tbl>
    <w:p w14:paraId="557AC160">
      <w:pPr>
        <w:tabs>
          <w:tab w:val="left" w:pos="6120"/>
          <w:tab w:val="left" w:pos="6510"/>
          <w:tab w:val="left" w:pos="12495"/>
        </w:tabs>
        <w:spacing w:line="360" w:lineRule="auto"/>
        <w:ind w:firstLine="420" w:firstLineChars="200"/>
        <w:jc w:val="left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不含税价总计金额（大写）：                      含税到场价总计金额（大写）：</w:t>
      </w:r>
      <w:r>
        <w:rPr>
          <w:rFonts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szCs w:val="21"/>
        </w:rPr>
        <w:tab/>
      </w:r>
    </w:p>
    <w:p w14:paraId="48FD1DBF">
      <w:pPr>
        <w:tabs>
          <w:tab w:val="left" w:pos="8595"/>
        </w:tabs>
        <w:spacing w:line="360" w:lineRule="auto"/>
        <w:ind w:firstLine="420" w:firstLineChars="200"/>
        <w:jc w:val="left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 xml:space="preserve">供应商名称（加盖单位公章）：                       </w:t>
      </w:r>
    </w:p>
    <w:p w14:paraId="303BD212">
      <w:pPr>
        <w:pStyle w:val="36"/>
        <w:spacing w:before="120" w:line="500" w:lineRule="exact"/>
        <w:rPr>
          <w:rFonts w:eastAsiaTheme="minorEastAsia" w:cstheme="minorBidi"/>
          <w:color w:val="auto"/>
          <w:kern w:val="2"/>
          <w:sz w:val="21"/>
          <w:szCs w:val="21"/>
        </w:rPr>
      </w:pPr>
      <w:r>
        <w:rPr>
          <w:rFonts w:hint="eastAsia" w:eastAsiaTheme="minorEastAsia" w:cstheme="minorBidi"/>
          <w:color w:val="auto"/>
          <w:kern w:val="2"/>
          <w:sz w:val="21"/>
          <w:szCs w:val="21"/>
        </w:rPr>
        <w:t>付款方式：</w:t>
      </w:r>
      <w:r>
        <w:rPr>
          <w:rFonts w:hint="eastAsia" w:eastAsiaTheme="minorEastAsia" w:cstheme="minorBidi"/>
          <w:color w:val="auto"/>
          <w:kern w:val="2"/>
          <w:sz w:val="21"/>
          <w:szCs w:val="21"/>
          <w:u w:val="single"/>
        </w:rPr>
        <w:t xml:space="preserve">                                                </w:t>
      </w:r>
      <w:r>
        <w:rPr>
          <w:rFonts w:hint="eastAsia" w:eastAsiaTheme="minorEastAsia" w:cstheme="minorBidi"/>
          <w:color w:val="auto"/>
          <w:kern w:val="2"/>
          <w:sz w:val="21"/>
          <w:szCs w:val="21"/>
        </w:rPr>
        <w:t xml:space="preserve">  </w:t>
      </w:r>
    </w:p>
    <w:p w14:paraId="582E7211">
      <w:pPr>
        <w:pStyle w:val="36"/>
        <w:spacing w:before="120" w:line="500" w:lineRule="exact"/>
        <w:rPr>
          <w:rFonts w:eastAsiaTheme="minorEastAsia" w:cstheme="minorBidi"/>
          <w:color w:val="auto"/>
          <w:kern w:val="2"/>
          <w:sz w:val="21"/>
          <w:szCs w:val="21"/>
        </w:rPr>
      </w:pPr>
      <w:r>
        <w:rPr>
          <w:rFonts w:hint="eastAsia" w:eastAsiaTheme="minorEastAsia" w:cstheme="minorBidi"/>
          <w:color w:val="auto"/>
          <w:kern w:val="2"/>
          <w:sz w:val="21"/>
          <w:szCs w:val="21"/>
        </w:rPr>
        <w:t xml:space="preserve">交货期： </w:t>
      </w:r>
      <w:r>
        <w:rPr>
          <w:rFonts w:hint="eastAsia" w:eastAsiaTheme="minorEastAsia" w:cstheme="minorBidi"/>
          <w:color w:val="auto"/>
          <w:kern w:val="2"/>
          <w:sz w:val="21"/>
          <w:szCs w:val="21"/>
          <w:u w:val="single"/>
        </w:rPr>
        <w:t xml:space="preserve">                                                </w:t>
      </w:r>
      <w:r>
        <w:rPr>
          <w:rFonts w:hint="eastAsia" w:eastAsiaTheme="minorEastAsia" w:cstheme="minorBidi"/>
          <w:color w:val="auto"/>
          <w:kern w:val="2"/>
          <w:sz w:val="21"/>
          <w:szCs w:val="21"/>
        </w:rPr>
        <w:t xml:space="preserve">                                               </w:t>
      </w:r>
    </w:p>
    <w:p w14:paraId="11A5ACF6">
      <w:pPr>
        <w:pStyle w:val="36"/>
        <w:spacing w:before="120" w:line="500" w:lineRule="exact"/>
        <w:rPr>
          <w:rFonts w:eastAsiaTheme="minorEastAsia" w:cstheme="minorBidi"/>
          <w:color w:val="auto"/>
          <w:kern w:val="2"/>
          <w:sz w:val="21"/>
          <w:szCs w:val="21"/>
        </w:rPr>
      </w:pPr>
      <w:r>
        <w:rPr>
          <w:rFonts w:hint="eastAsia" w:eastAsiaTheme="minorEastAsia" w:cstheme="minorBidi"/>
          <w:color w:val="auto"/>
          <w:kern w:val="2"/>
          <w:sz w:val="21"/>
          <w:szCs w:val="21"/>
        </w:rPr>
        <w:t xml:space="preserve">税率：   </w:t>
      </w:r>
      <w:r>
        <w:rPr>
          <w:rFonts w:hint="eastAsia" w:eastAsiaTheme="minorEastAsia" w:cstheme="minorBidi"/>
          <w:color w:val="auto"/>
          <w:kern w:val="2"/>
          <w:sz w:val="21"/>
          <w:szCs w:val="21"/>
          <w:u w:val="single"/>
        </w:rPr>
        <w:t xml:space="preserve">                                                </w:t>
      </w:r>
      <w:r>
        <w:rPr>
          <w:rFonts w:hint="eastAsia" w:eastAsiaTheme="minorEastAsia" w:cstheme="minorBidi"/>
          <w:color w:val="auto"/>
          <w:kern w:val="2"/>
          <w:sz w:val="21"/>
          <w:szCs w:val="21"/>
        </w:rPr>
        <w:t xml:space="preserve">                                                       </w:t>
      </w:r>
    </w:p>
    <w:p w14:paraId="170BF42B">
      <w:pPr>
        <w:pStyle w:val="36"/>
        <w:spacing w:before="120" w:line="480" w:lineRule="exact"/>
        <w:rPr>
          <w:rFonts w:eastAsiaTheme="minorEastAsia" w:cstheme="minorBidi"/>
          <w:color w:val="auto"/>
          <w:kern w:val="2"/>
          <w:sz w:val="21"/>
          <w:szCs w:val="21"/>
          <w:u w:val="single"/>
        </w:rPr>
      </w:pPr>
      <w:r>
        <w:rPr>
          <w:rFonts w:hint="eastAsia" w:eastAsiaTheme="minorEastAsia" w:cstheme="minorBidi"/>
          <w:color w:val="auto"/>
          <w:kern w:val="2"/>
          <w:sz w:val="21"/>
          <w:szCs w:val="21"/>
        </w:rPr>
        <w:t>备注：</w:t>
      </w:r>
      <w:r>
        <w:rPr>
          <w:rFonts w:hint="eastAsia" w:eastAsiaTheme="minorEastAsia" w:cstheme="minorBidi"/>
          <w:color w:val="auto"/>
          <w:kern w:val="2"/>
          <w:sz w:val="21"/>
          <w:szCs w:val="21"/>
          <w:u w:val="single"/>
        </w:rPr>
        <w:t xml:space="preserve">                                                </w:t>
      </w:r>
    </w:p>
    <w:p w14:paraId="4F20553F">
      <w:pPr>
        <w:pStyle w:val="36"/>
        <w:spacing w:before="120" w:line="480" w:lineRule="exact"/>
        <w:rPr>
          <w:color w:val="auto"/>
        </w:rPr>
        <w:sectPr>
          <w:footerReference r:id="rId6" w:type="default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/>
          <w:color w:val="auto"/>
        </w:rPr>
        <w:t xml:space="preserve">                                            </w:t>
      </w:r>
    </w:p>
    <w:p w14:paraId="69780875">
      <w:pPr>
        <w:widowControl/>
        <w:spacing w:line="360" w:lineRule="auto"/>
        <w:rPr>
          <w:color w:val="auto"/>
        </w:rPr>
      </w:pPr>
    </w:p>
    <w:p w14:paraId="55F3F5AD">
      <w:pPr>
        <w:spacing w:line="360" w:lineRule="auto"/>
        <w:ind w:firstLine="562" w:firstLineChars="200"/>
        <w:jc w:val="center"/>
        <w:rPr>
          <w:rFonts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4FF69AE3">
      <w:pPr>
        <w:spacing w:line="360" w:lineRule="auto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致：四川宏达股份有限公司</w:t>
      </w:r>
    </w:p>
    <w:p w14:paraId="19BD65C6">
      <w:pPr>
        <w:spacing w:line="360" w:lineRule="auto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我公司自愿参与四川宏达股份有限公司</w:t>
      </w:r>
      <w:r>
        <w:rPr>
          <w:rFonts w:hint="eastAsia" w:ascii="宋体" w:hAnsi="宋体"/>
          <w:color w:val="auto"/>
          <w:lang w:val="en-US" w:eastAsia="zh-CN"/>
        </w:rPr>
        <w:t>什邡</w:t>
      </w:r>
      <w:r>
        <w:rPr>
          <w:rFonts w:hint="eastAsia" w:ascii="宋体" w:hAnsi="宋体"/>
          <w:color w:val="auto"/>
        </w:rPr>
        <w:t>有色金属分公司什邡市宏达110kV输变电新建工程环境影响评价服务的</w:t>
      </w:r>
      <w:r>
        <w:rPr>
          <w:rFonts w:hint="eastAsia" w:ascii="宋体" w:hAnsi="宋体"/>
          <w:color w:val="auto"/>
          <w:lang w:val="en-US" w:eastAsia="zh-CN"/>
        </w:rPr>
        <w:t>投选</w:t>
      </w:r>
      <w:r>
        <w:rPr>
          <w:rFonts w:hint="eastAsia" w:ascii="宋体" w:hAnsi="宋体"/>
          <w:color w:val="auto"/>
        </w:rPr>
        <w:t>，现郑重作出以下承诺：</w:t>
      </w:r>
    </w:p>
    <w:p w14:paraId="78979909">
      <w:pPr>
        <w:spacing w:line="360" w:lineRule="auto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⑴我公司提供的物资质量、环保、安全符合国家要求；</w:t>
      </w:r>
    </w:p>
    <w:p w14:paraId="08E6C21A">
      <w:pPr>
        <w:spacing w:line="360" w:lineRule="auto"/>
        <w:ind w:left="420" w:left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⑵我公司具有良好的信誉、企业处于正常生产经营状态；</w:t>
      </w:r>
    </w:p>
    <w:p w14:paraId="1D9D61FC">
      <w:pPr>
        <w:spacing w:line="360" w:lineRule="auto"/>
        <w:ind w:left="420" w:left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⑶我公司完全按报价文件严格执行。</w:t>
      </w:r>
    </w:p>
    <w:p w14:paraId="6F2BCF8F">
      <w:pPr>
        <w:spacing w:line="360" w:lineRule="auto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⑷我公司将严格遵守投标的各项法律法规和程序，若有违规行为，愿意承担相应法律责任。</w:t>
      </w:r>
    </w:p>
    <w:p w14:paraId="3CDF342D">
      <w:pPr>
        <w:spacing w:line="360" w:lineRule="auto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⑸若中标，我公司将按照合同约定的时间、地点和方式交付物资，确保项目顺利推进。</w:t>
      </w:r>
    </w:p>
    <w:p w14:paraId="14E4E47A">
      <w:pPr>
        <w:spacing w:line="360" w:lineRule="auto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673ECDF3">
      <w:pPr>
        <w:spacing w:line="360" w:lineRule="auto"/>
        <w:ind w:firstLine="420" w:firstLineChars="200"/>
        <w:rPr>
          <w:rFonts w:ascii="宋体" w:hAnsi="宋体"/>
          <w:color w:val="auto"/>
        </w:rPr>
      </w:pPr>
    </w:p>
    <w:p w14:paraId="693B3106">
      <w:pPr>
        <w:spacing w:line="360" w:lineRule="auto"/>
        <w:ind w:left="420" w:leftChars="200"/>
        <w:rPr>
          <w:rFonts w:ascii="宋体" w:hAnsi="宋体"/>
          <w:color w:val="auto"/>
        </w:rPr>
      </w:pPr>
    </w:p>
    <w:p w14:paraId="1B7420F3">
      <w:pPr>
        <w:spacing w:line="360" w:lineRule="auto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1D6B210D">
      <w:pPr>
        <w:spacing w:line="360" w:lineRule="auto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0DB0404">
      <w:pPr>
        <w:spacing w:line="360" w:lineRule="auto"/>
        <w:ind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3D019534">
      <w:pPr>
        <w:ind w:firstLine="562" w:firstLineChars="200"/>
        <w:rPr>
          <w:rFonts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5"/>
        <w:ind w:firstLine="562"/>
        <w:rPr>
          <w:b/>
          <w:bCs/>
          <w:color w:val="auto"/>
          <w:sz w:val="28"/>
          <w:szCs w:val="28"/>
        </w:rPr>
      </w:pPr>
    </w:p>
    <w:p w14:paraId="5EAC2CBF">
      <w:pPr>
        <w:pStyle w:val="11"/>
        <w:ind w:firstLine="562" w:firstLineChars="200"/>
        <w:rPr>
          <w:rFonts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ind w:firstLine="420" w:firstLineChars="200"/>
        <w:rPr>
          <w:color w:val="auto"/>
        </w:rPr>
      </w:pPr>
    </w:p>
    <w:p w14:paraId="23E5136A">
      <w:pPr>
        <w:snapToGrid w:val="0"/>
        <w:spacing w:line="360" w:lineRule="auto"/>
        <w:ind w:firstLine="482" w:firstLineChars="200"/>
        <w:jc w:val="left"/>
        <w:rPr>
          <w:rFonts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071078EC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445E8863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26F89609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2316C6D9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iZWFjMTgxOWJmNDI0NWM4NTcxOGEyZGFiNDdhYWE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16918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0A4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A49B8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256C6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1F87648"/>
    <w:rsid w:val="03621E2E"/>
    <w:rsid w:val="036463B6"/>
    <w:rsid w:val="037E6BB8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573D16"/>
    <w:rsid w:val="057443B4"/>
    <w:rsid w:val="05C017FD"/>
    <w:rsid w:val="05EA06E6"/>
    <w:rsid w:val="0687687D"/>
    <w:rsid w:val="06F2489E"/>
    <w:rsid w:val="070268E6"/>
    <w:rsid w:val="076636BD"/>
    <w:rsid w:val="094A00EB"/>
    <w:rsid w:val="094D7C7A"/>
    <w:rsid w:val="097507C7"/>
    <w:rsid w:val="097D22E2"/>
    <w:rsid w:val="09AD2157"/>
    <w:rsid w:val="0A3C4D43"/>
    <w:rsid w:val="0A992CD2"/>
    <w:rsid w:val="0B6C6FDB"/>
    <w:rsid w:val="0C5F0F6E"/>
    <w:rsid w:val="0D004BE0"/>
    <w:rsid w:val="0D6635DC"/>
    <w:rsid w:val="0E7E0566"/>
    <w:rsid w:val="0EC51CF1"/>
    <w:rsid w:val="0EDB508D"/>
    <w:rsid w:val="0F783207"/>
    <w:rsid w:val="0F797A29"/>
    <w:rsid w:val="0FBB34F5"/>
    <w:rsid w:val="0FFD54BA"/>
    <w:rsid w:val="10525110"/>
    <w:rsid w:val="110E7C3C"/>
    <w:rsid w:val="1167027B"/>
    <w:rsid w:val="120F5BA7"/>
    <w:rsid w:val="1235718D"/>
    <w:rsid w:val="128A3A09"/>
    <w:rsid w:val="12A6008B"/>
    <w:rsid w:val="12D009A7"/>
    <w:rsid w:val="13C54541"/>
    <w:rsid w:val="14676D7E"/>
    <w:rsid w:val="15916DD0"/>
    <w:rsid w:val="16413351"/>
    <w:rsid w:val="164E090F"/>
    <w:rsid w:val="16937390"/>
    <w:rsid w:val="172F5937"/>
    <w:rsid w:val="177C482D"/>
    <w:rsid w:val="190E59FE"/>
    <w:rsid w:val="19393A07"/>
    <w:rsid w:val="1A294B27"/>
    <w:rsid w:val="1A683441"/>
    <w:rsid w:val="1BB13D28"/>
    <w:rsid w:val="1C160957"/>
    <w:rsid w:val="1C4C57FF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3B83EA0"/>
    <w:rsid w:val="240E783E"/>
    <w:rsid w:val="246966F1"/>
    <w:rsid w:val="2470465E"/>
    <w:rsid w:val="24F6510A"/>
    <w:rsid w:val="24FA55ED"/>
    <w:rsid w:val="25CA49CD"/>
    <w:rsid w:val="25CC5B88"/>
    <w:rsid w:val="26933E36"/>
    <w:rsid w:val="26BC19A6"/>
    <w:rsid w:val="277512FE"/>
    <w:rsid w:val="279E3E6D"/>
    <w:rsid w:val="27A73E71"/>
    <w:rsid w:val="27B8643F"/>
    <w:rsid w:val="28564D7B"/>
    <w:rsid w:val="289607B9"/>
    <w:rsid w:val="28F11C08"/>
    <w:rsid w:val="290166AE"/>
    <w:rsid w:val="2A5A72A6"/>
    <w:rsid w:val="2A7A0382"/>
    <w:rsid w:val="2AAB5DE7"/>
    <w:rsid w:val="2AC075D6"/>
    <w:rsid w:val="2C0635BA"/>
    <w:rsid w:val="2C612895"/>
    <w:rsid w:val="2C672453"/>
    <w:rsid w:val="2EC03E0B"/>
    <w:rsid w:val="2EE64169"/>
    <w:rsid w:val="2F361DF3"/>
    <w:rsid w:val="300E355A"/>
    <w:rsid w:val="30337F16"/>
    <w:rsid w:val="30464A25"/>
    <w:rsid w:val="3082583C"/>
    <w:rsid w:val="31A45B7D"/>
    <w:rsid w:val="31A5035D"/>
    <w:rsid w:val="33980AB1"/>
    <w:rsid w:val="344A7D4E"/>
    <w:rsid w:val="347D19AD"/>
    <w:rsid w:val="34C32719"/>
    <w:rsid w:val="34E65643"/>
    <w:rsid w:val="3539753D"/>
    <w:rsid w:val="35771A99"/>
    <w:rsid w:val="361436EF"/>
    <w:rsid w:val="363D49D0"/>
    <w:rsid w:val="36481456"/>
    <w:rsid w:val="371A057C"/>
    <w:rsid w:val="37296A11"/>
    <w:rsid w:val="388861A3"/>
    <w:rsid w:val="38DC340E"/>
    <w:rsid w:val="39210878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4A00219"/>
    <w:rsid w:val="45367494"/>
    <w:rsid w:val="45877724"/>
    <w:rsid w:val="467A2DE5"/>
    <w:rsid w:val="470A03A4"/>
    <w:rsid w:val="47F46EAE"/>
    <w:rsid w:val="48724017"/>
    <w:rsid w:val="48750F6C"/>
    <w:rsid w:val="492B4B3C"/>
    <w:rsid w:val="4A185620"/>
    <w:rsid w:val="4A6F4C2B"/>
    <w:rsid w:val="4A70502C"/>
    <w:rsid w:val="4B964C95"/>
    <w:rsid w:val="4BDF7931"/>
    <w:rsid w:val="4D477799"/>
    <w:rsid w:val="4DCF4AEB"/>
    <w:rsid w:val="4E0D1159"/>
    <w:rsid w:val="4E5A52AA"/>
    <w:rsid w:val="4E99264F"/>
    <w:rsid w:val="4EE10E98"/>
    <w:rsid w:val="4EE97C85"/>
    <w:rsid w:val="4F203C16"/>
    <w:rsid w:val="4F234ED1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EE72C6"/>
    <w:rsid w:val="54887ACF"/>
    <w:rsid w:val="548B2661"/>
    <w:rsid w:val="54AA722A"/>
    <w:rsid w:val="55A16D1C"/>
    <w:rsid w:val="55BE4F5F"/>
    <w:rsid w:val="55E22755"/>
    <w:rsid w:val="56151249"/>
    <w:rsid w:val="57193C9E"/>
    <w:rsid w:val="57541431"/>
    <w:rsid w:val="576C2775"/>
    <w:rsid w:val="586048F0"/>
    <w:rsid w:val="588549CE"/>
    <w:rsid w:val="58AE7DA1"/>
    <w:rsid w:val="58DD7D9A"/>
    <w:rsid w:val="598C3ABE"/>
    <w:rsid w:val="59AD4E28"/>
    <w:rsid w:val="5B1D65E8"/>
    <w:rsid w:val="5C8C341B"/>
    <w:rsid w:val="5D2F2B1E"/>
    <w:rsid w:val="5DEF5A0F"/>
    <w:rsid w:val="5DF72B16"/>
    <w:rsid w:val="5ECA3D86"/>
    <w:rsid w:val="5F4D50E3"/>
    <w:rsid w:val="60303C60"/>
    <w:rsid w:val="6045557C"/>
    <w:rsid w:val="60EC13C9"/>
    <w:rsid w:val="61E15FB7"/>
    <w:rsid w:val="626B0ACC"/>
    <w:rsid w:val="626F728B"/>
    <w:rsid w:val="62A42563"/>
    <w:rsid w:val="63210307"/>
    <w:rsid w:val="633B16F7"/>
    <w:rsid w:val="63613BBD"/>
    <w:rsid w:val="64132ACB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0861E1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1710FBA"/>
    <w:rsid w:val="72F9402A"/>
    <w:rsid w:val="733A4279"/>
    <w:rsid w:val="74125240"/>
    <w:rsid w:val="74D06143"/>
    <w:rsid w:val="75284014"/>
    <w:rsid w:val="75D4756D"/>
    <w:rsid w:val="75E36E5B"/>
    <w:rsid w:val="76E61C4D"/>
    <w:rsid w:val="775744D2"/>
    <w:rsid w:val="77E24ED1"/>
    <w:rsid w:val="789E730E"/>
    <w:rsid w:val="79042BD4"/>
    <w:rsid w:val="7A450456"/>
    <w:rsid w:val="7AC516D6"/>
    <w:rsid w:val="7ACE1C54"/>
    <w:rsid w:val="7AF02591"/>
    <w:rsid w:val="7B66653C"/>
    <w:rsid w:val="7BBE5F26"/>
    <w:rsid w:val="7D902913"/>
    <w:rsid w:val="7DA00113"/>
    <w:rsid w:val="7DB65755"/>
    <w:rsid w:val="7E6B5FAF"/>
    <w:rsid w:val="7EB81A50"/>
    <w:rsid w:val="7EB92D8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nhideWhenUsed="0" w:uiPriority="0" w:semiHidden="0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字符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字符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字符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1547</Words>
  <Characters>1684</Characters>
  <Lines>49</Lines>
  <Paragraphs>13</Paragraphs>
  <TotalTime>2</TotalTime>
  <ScaleCrop>false</ScaleCrop>
  <LinksUpToDate>false</LinksUpToDate>
  <CharactersWithSpaces>2539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周璨姣</cp:lastModifiedBy>
  <dcterms:modified xsi:type="dcterms:W3CDTF">2025-12-20T15:37:42Z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eyJoZGlkIjoiZWIyMDA0MDA1NzBkMWQ2ODg1NTQxZDkyOWI3MjFkNTQiLCJ1c2VySWQiOiIxNjE4NzA1OTEwIn0=</vt:lpwstr>
  </property>
  <property fmtid="{D5CDD505-2E9C-101B-9397-08002B2CF9AE}" pid="3" name="KSOProductBuildVer">
    <vt:lpwstr>2052-12.1.0.24034</vt:lpwstr>
  </property>
  <property fmtid="{D5CDD505-2E9C-101B-9397-08002B2CF9AE}" pid="4" name="ICV">
    <vt:lpwstr>638278A91B6247A3A14F33886A0DB3EB_13</vt:lpwstr>
  </property>
</Properties>
</file>