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="宋体" w:hAnsi="宋体" w:eastAsia="宋体" w:cs="宋体"/>
          <w:b w:val="0"/>
          <w:bCs w:val="0"/>
          <w:snapToGrid w:val="0"/>
          <w:sz w:val="48"/>
          <w:szCs w:val="48"/>
        </w:rPr>
        <w:t>低压纯凝式高速汽轮机发电机组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2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2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编号：SFLHG-GKBX-2025-HW145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汽轮机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编号：SFLHG-GKBX-2025-HW145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汽轮机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汽轮机采购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邀请比选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4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汽轮机1套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4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2"/>
        <w:gridCol w:w="5118"/>
        <w:gridCol w:w="156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6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2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118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60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67" w:type="dxa"/>
            <w:vAlign w:val="center"/>
          </w:tcPr>
          <w:p w14:paraId="37C1F30B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62" w:type="dxa"/>
            <w:vAlign w:val="center"/>
          </w:tcPr>
          <w:p w14:paraId="5E90A654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8"/>
                <w:szCs w:val="28"/>
              </w:rPr>
              <w:t>低压纯凝式高速汽轮机发电机组</w:t>
            </w:r>
          </w:p>
        </w:tc>
        <w:tc>
          <w:tcPr>
            <w:tcW w:w="5118" w:type="dxa"/>
            <w:vAlign w:val="center"/>
          </w:tcPr>
          <w:p w14:paraId="702B1350">
            <w:pPr>
              <w:pStyle w:val="17"/>
              <w:ind w:left="0" w:leftChars="0" w:firstLine="0" w:firstLineChars="0"/>
              <w:rPr>
                <w:rFonts w:hint="default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详见附件《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8"/>
                <w:szCs w:val="28"/>
              </w:rPr>
              <w:t>低压纯凝式高速汽轮机发电机组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技术要求》、《12万吨待改造区图》</w:t>
            </w:r>
          </w:p>
        </w:tc>
        <w:tc>
          <w:tcPr>
            <w:tcW w:w="1560" w:type="dxa"/>
            <w:vAlign w:val="center"/>
          </w:tcPr>
          <w:p w14:paraId="1597C120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</w:tr>
    </w:tbl>
    <w:p w14:paraId="1967F71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洛水镇。</w:t>
      </w:r>
    </w:p>
    <w:p w14:paraId="4611913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color w:val="auto"/>
          <w:sz w:val="28"/>
          <w:szCs w:val="28"/>
        </w:rPr>
        <w:t>合同生效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预付款到账</w:t>
      </w:r>
      <w:r>
        <w:rPr>
          <w:rFonts w:hint="eastAsia" w:ascii="黑体" w:hAnsi="黑体" w:eastAsia="黑体"/>
          <w:color w:val="auto"/>
          <w:sz w:val="28"/>
          <w:szCs w:val="28"/>
        </w:rPr>
        <w:t>之日起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180个自然日内，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不响应在报价单上另做说明，不影响响应评审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color w:val="auto"/>
          <w:sz w:val="28"/>
          <w:szCs w:val="28"/>
          <w:lang w:val="en-US" w:eastAsia="zh-CN"/>
        </w:rPr>
        <w:t>。</w:t>
      </w:r>
    </w:p>
    <w:p w14:paraId="318C9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30"/>
          <w:szCs w:val="30"/>
        </w:rPr>
        <w:t>合同生效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之日起10</w:t>
      </w:r>
      <w:r>
        <w:rPr>
          <w:rFonts w:hint="eastAsia" w:ascii="黑体" w:hAnsi="黑体" w:eastAsia="黑体" w:cs="Segoe UI"/>
          <w:kern w:val="0"/>
          <w:sz w:val="30"/>
          <w:szCs w:val="30"/>
        </w:rPr>
        <w:t>个工作日内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招标人</w:t>
      </w:r>
      <w:r>
        <w:rPr>
          <w:rFonts w:hint="eastAsia" w:ascii="黑体" w:hAnsi="黑体" w:eastAsia="黑体" w:cs="Segoe UI"/>
          <w:kern w:val="0"/>
          <w:sz w:val="30"/>
          <w:szCs w:val="30"/>
        </w:rPr>
        <w:t>向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中标人</w:t>
      </w:r>
      <w:r>
        <w:rPr>
          <w:rFonts w:hint="eastAsia" w:ascii="黑体" w:hAnsi="黑体" w:eastAsia="黑体" w:cs="Segoe UI"/>
          <w:kern w:val="0"/>
          <w:sz w:val="30"/>
          <w:szCs w:val="30"/>
        </w:rPr>
        <w:t>支付合同总金额的30%；</w:t>
      </w:r>
      <w:r>
        <w:rPr>
          <w:rFonts w:hint="eastAsia" w:ascii="黑体" w:hAnsi="黑体" w:eastAsia="黑体" w:cs="Segoe U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装置运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行</w:t>
      </w:r>
      <w:r>
        <w:rPr>
          <w:rFonts w:hint="eastAsia" w:ascii="黑体" w:hAnsi="黑体" w:eastAsia="黑体" w:cs="Segoe UI"/>
          <w:kern w:val="0"/>
          <w:sz w:val="30"/>
          <w:szCs w:val="30"/>
        </w:rPr>
        <w:t>验收合格且收到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中标人</w:t>
      </w:r>
      <w:r>
        <w:rPr>
          <w:rFonts w:hint="eastAsia" w:ascii="黑体" w:hAnsi="黑体" w:eastAsia="黑体" w:cs="Segoe UI"/>
          <w:kern w:val="0"/>
          <w:sz w:val="30"/>
          <w:szCs w:val="30"/>
        </w:rPr>
        <w:t>出具的合法有效的符合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招标人</w:t>
      </w:r>
      <w:r>
        <w:rPr>
          <w:rFonts w:hint="eastAsia" w:ascii="黑体" w:hAnsi="黑体" w:eastAsia="黑体" w:cs="Segoe UI"/>
          <w:kern w:val="0"/>
          <w:sz w:val="30"/>
          <w:szCs w:val="30"/>
        </w:rPr>
        <w:t>要求的增值税专用发票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之日起20</w:t>
      </w:r>
      <w:r>
        <w:rPr>
          <w:rFonts w:hint="eastAsia" w:ascii="黑体" w:hAnsi="黑体" w:eastAsia="黑体" w:cs="Segoe UI"/>
          <w:kern w:val="0"/>
          <w:sz w:val="30"/>
          <w:szCs w:val="30"/>
        </w:rPr>
        <w:t>个工作日内支付合同总金额的6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0</w:t>
      </w:r>
      <w:r>
        <w:rPr>
          <w:rFonts w:hint="eastAsia" w:ascii="黑体" w:hAnsi="黑体" w:eastAsia="黑体" w:cs="Segoe UI"/>
          <w:kern w:val="0"/>
          <w:sz w:val="30"/>
          <w:szCs w:val="30"/>
        </w:rPr>
        <w:t>%，余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10</w:t>
      </w:r>
      <w:r>
        <w:rPr>
          <w:rFonts w:hint="eastAsia" w:ascii="黑体" w:hAnsi="黑体" w:eastAsia="黑体" w:cs="Segoe UI"/>
          <w:kern w:val="0"/>
          <w:sz w:val="30"/>
          <w:szCs w:val="30"/>
        </w:rPr>
        <w:t>%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作为</w:t>
      </w:r>
      <w:r>
        <w:rPr>
          <w:rFonts w:hint="eastAsia" w:ascii="黑体" w:hAnsi="黑体" w:eastAsia="黑体" w:cs="Segoe UI"/>
          <w:kern w:val="0"/>
          <w:sz w:val="30"/>
          <w:szCs w:val="30"/>
        </w:rPr>
        <w:t>质保金</w:t>
      </w:r>
      <w:r>
        <w:rPr>
          <w:rFonts w:hint="eastAsia" w:ascii="黑体" w:hAnsi="黑体" w:eastAsia="黑体" w:cs="Segoe UI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Segoe UI"/>
          <w:kern w:val="0"/>
          <w:sz w:val="30"/>
          <w:szCs w:val="30"/>
        </w:rPr>
        <w:t>待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质保期结束</w:t>
      </w:r>
      <w:r>
        <w:rPr>
          <w:rFonts w:hint="eastAsia" w:ascii="黑体" w:hAnsi="黑体" w:eastAsia="黑体" w:cs="Segoe UI"/>
          <w:kern w:val="0"/>
          <w:sz w:val="30"/>
          <w:szCs w:val="30"/>
        </w:rPr>
        <w:t>且无质量异议后，在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期满之日起20</w:t>
      </w:r>
      <w:r>
        <w:rPr>
          <w:rFonts w:hint="eastAsia" w:ascii="黑体" w:hAnsi="黑体" w:eastAsia="黑体" w:cs="Segoe UI"/>
          <w:kern w:val="0"/>
          <w:sz w:val="30"/>
          <w:szCs w:val="30"/>
        </w:rPr>
        <w:t>个工作日内无息支付</w:t>
      </w:r>
      <w:r>
        <w:rPr>
          <w:rFonts w:hint="eastAsia" w:ascii="黑体" w:hAnsi="黑体" w:eastAsia="黑体" w:cs="Segoe UI"/>
          <w:kern w:val="0"/>
          <w:sz w:val="30"/>
          <w:szCs w:val="30"/>
          <w:lang w:eastAsia="zh-CN"/>
        </w:rPr>
        <w:t>，（</w:t>
      </w:r>
      <w:r>
        <w:rPr>
          <w:rFonts w:hint="eastAsia" w:ascii="黑体" w:hAnsi="黑体" w:eastAsia="黑体" w:cs="Segoe UI"/>
          <w:kern w:val="0"/>
          <w:sz w:val="30"/>
          <w:szCs w:val="30"/>
          <w:lang w:val="en-US" w:eastAsia="zh-CN"/>
        </w:rPr>
        <w:t>不响应在报价单上另做说明，不影响响应评审</w:t>
      </w:r>
      <w:r>
        <w:rPr>
          <w:rFonts w:hint="eastAsia" w:ascii="黑体" w:hAnsi="黑体" w:eastAsia="黑体" w:cs="Segoe UI"/>
          <w:kern w:val="0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30"/>
          <w:szCs w:val="30"/>
        </w:rPr>
        <w:t>。</w:t>
      </w:r>
    </w:p>
    <w:p w14:paraId="3914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7D2B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标的物运行验收合格双方确认后起12个月内或安装完成18个月（因招标人原因未投用），以先到为准，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不响应在报价单上另做说明，不影响响应评审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。</w:t>
      </w:r>
    </w:p>
    <w:p w14:paraId="6F2018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12月22日 12时 0 分。</w:t>
      </w:r>
    </w:p>
    <w:p w14:paraId="0E7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营业执照（三证合一）</w:t>
      </w:r>
      <w:bookmarkEnd w:id="0"/>
      <w:bookmarkEnd w:id="1"/>
    </w:p>
    <w:p w14:paraId="7FC42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②报价</w:t>
      </w:r>
    </w:p>
    <w:p w14:paraId="23272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易损件清单及价格（后期配件清单）</w:t>
      </w:r>
    </w:p>
    <w:p w14:paraId="43166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④业绩</w:t>
      </w:r>
    </w:p>
    <w:p w14:paraId="3A97C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⑤随机配件清单</w:t>
      </w:r>
    </w:p>
    <w:p w14:paraId="54DD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6ED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</w:p>
    <w:p w14:paraId="7F11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460" w:firstLineChars="195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880" w:firstLineChars="2100"/>
        <w:textAlignment w:val="auto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19</w:t>
      </w:r>
      <w:bookmarkStart w:id="19" w:name="_GoBack"/>
      <w:bookmarkEnd w:id="19"/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37" w:firstLineChars="1200"/>
        <w:jc w:val="both"/>
        <w:textAlignment w:val="auto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274236999"/>
      <w:bookmarkStart w:id="3" w:name="_Toc275019684"/>
      <w:bookmarkStart w:id="4" w:name="_Toc274596702"/>
      <w:bookmarkStart w:id="5" w:name="_Hlk155791057"/>
      <w:bookmarkStart w:id="6" w:name="_Toc275019290"/>
      <w:bookmarkStart w:id="7" w:name="_Toc275014947"/>
      <w:bookmarkStart w:id="8" w:name="_Toc238552273"/>
      <w:bookmarkStart w:id="9" w:name="_Toc269113527"/>
      <w:bookmarkStart w:id="10" w:name="_Toc238797630"/>
      <w:bookmarkStart w:id="11" w:name="_Toc303149804"/>
      <w:bookmarkStart w:id="12" w:name="_Toc16684"/>
      <w:bookmarkStart w:id="13" w:name="_Toc318986166"/>
      <w:bookmarkStart w:id="14" w:name="_Toc275019836"/>
      <w:bookmarkStart w:id="15" w:name="_Toc268793030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 xml:space="preserve">  第二章 </w:t>
      </w:r>
    </w:p>
    <w:p w14:paraId="711C438E">
      <w:pPr>
        <w:kinsoku/>
        <w:overflowPunct/>
        <w:topLinePunct w:val="0"/>
        <w:bidi w:val="0"/>
        <w:ind w:right="0" w:rightChars="0" w:firstLine="3360" w:firstLineChars="700"/>
        <w:jc w:val="both"/>
        <w:rPr>
          <w:rFonts w:hint="eastAsia" w:ascii="黑体" w:hAnsi="宋体" w:eastAsia="黑体"/>
          <w:color w:val="auto"/>
          <w:sz w:val="48"/>
          <w:szCs w:val="48"/>
          <w:lang w:val="zh-CN"/>
        </w:rPr>
      </w:pP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48"/>
          <w:szCs w:val="48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96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8"/>
          <w:szCs w:val="48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960" w:firstLineChars="200"/>
        <w:jc w:val="both"/>
        <w:textAlignment w:val="bottom"/>
        <w:rPr>
          <w:rFonts w:ascii="黑体" w:hAnsi="黑体" w:eastAsia="黑体" w:cs="宋体"/>
          <w:color w:val="auto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48"/>
          <w:szCs w:val="48"/>
        </w:rPr>
        <w:t>低压纯凝式高速汽轮机发电机组</w:t>
      </w:r>
      <w:r>
        <w:rPr>
          <w:rFonts w:hint="eastAsia" w:ascii="黑体" w:hAnsi="黑体" w:eastAsia="黑体" w:cs="宋体"/>
          <w:color w:val="auto"/>
          <w:sz w:val="48"/>
          <w:szCs w:val="48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65B7478D">
      <w:pPr>
        <w:kinsoku/>
        <w:overflowPunct/>
        <w:topLinePunct w:val="0"/>
        <w:bidi w:val="0"/>
        <w:ind w:right="0" w:rightChars="0"/>
        <w:jc w:val="both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8B8268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130FB26">
      <w:pPr>
        <w:kinsoku/>
        <w:overflowPunct/>
        <w:topLinePunct w:val="0"/>
        <w:bidi w:val="0"/>
        <w:ind w:right="0" w:rightChars="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firstLine="281" w:firstLineChars="10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16" w:name="_Toc4384"/>
      <w:bookmarkStart w:id="17" w:name="_Toc30198"/>
      <w:bookmarkStart w:id="18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9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8"/>
        <w:gridCol w:w="2312"/>
        <w:gridCol w:w="650"/>
        <w:gridCol w:w="840"/>
        <w:gridCol w:w="960"/>
        <w:gridCol w:w="900"/>
        <w:gridCol w:w="1350"/>
      </w:tblGrid>
      <w:tr w14:paraId="1BAE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20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F65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4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998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ED9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EC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1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合计金额（元）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A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F1B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627B">
            <w:pPr>
              <w:widowControl/>
              <w:ind w:firstLine="21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74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1"/>
                <w:szCs w:val="21"/>
              </w:rPr>
              <w:t>低压纯凝式高速汽轮机发电机组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D1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EB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70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975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41012C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DDCF7A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242D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58B72"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总价大写：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（小写：                ）</w:t>
            </w:r>
          </w:p>
        </w:tc>
      </w:tr>
    </w:tbl>
    <w:p w14:paraId="6478A3A4"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注</w:t>
      </w:r>
    </w:p>
    <w:p w14:paraId="4E786680"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1:报价包含投标人完成本项目工作所需的一切费用，包括但不限于设备、运输、保险、安装、调试、培训、验收、税费和招标文件规定的其它费用等全部内容的含税价（税率13%）。</w:t>
      </w:r>
    </w:p>
    <w:p w14:paraId="746F9C8D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hint="default" w:ascii="黑体" w:hAnsi="黑体" w:eastAsia="黑体" w:cs="Segoe U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</w:rPr>
        <w:t>：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  <w:lang w:val="en-US" w:eastAsia="zh-CN"/>
        </w:rPr>
        <w:t>商务响应条款</w:t>
      </w:r>
    </w:p>
    <w:p w14:paraId="6B5A05C5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1.</w:t>
      </w:r>
      <w:r>
        <w:rPr>
          <w:rFonts w:ascii="黑体" w:hAnsi="黑体" w:eastAsia="黑体" w:cs="Segoe UI"/>
          <w:sz w:val="24"/>
          <w:szCs w:val="24"/>
        </w:rPr>
        <w:t>报价总金额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含13%税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）</w:t>
      </w:r>
      <w:r>
        <w:rPr>
          <w:rFonts w:ascii="黑体" w:hAnsi="黑体" w:eastAsia="黑体" w:cs="Segoe UI"/>
          <w:sz w:val="24"/>
          <w:szCs w:val="24"/>
        </w:rPr>
        <w:t>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            </w:t>
      </w:r>
    </w:p>
    <w:p w14:paraId="3F27719E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sz w:val="24"/>
          <w:szCs w:val="24"/>
        </w:rPr>
        <w:t>付款方式：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</w:t>
      </w:r>
    </w:p>
    <w:p w14:paraId="19448B69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Segoe UI"/>
          <w:color w:val="FF0000"/>
          <w:sz w:val="24"/>
          <w:szCs w:val="24"/>
          <w:lang w:val="en-US" w:eastAsia="zh-CN"/>
        </w:rPr>
        <w:t>.</w:t>
      </w:r>
      <w:r>
        <w:rPr>
          <w:rFonts w:hint="eastAsia" w:ascii="黑体" w:hAnsi="黑体" w:eastAsia="黑体" w:cs="Segoe UI"/>
          <w:color w:val="auto"/>
          <w:sz w:val="24"/>
          <w:szCs w:val="24"/>
          <w:lang w:val="en-US" w:eastAsia="zh-CN"/>
        </w:rPr>
        <w:t>交货期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</w:t>
      </w:r>
    </w:p>
    <w:p w14:paraId="2E0CD0C9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4.</w:t>
      </w:r>
      <w:r>
        <w:rPr>
          <w:rFonts w:ascii="黑体" w:hAnsi="黑体" w:eastAsia="黑体" w:cs="Segoe UI"/>
          <w:sz w:val="24"/>
          <w:szCs w:val="24"/>
        </w:rPr>
        <w:t>质保期：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</w:t>
      </w:r>
    </w:p>
    <w:p w14:paraId="1DFE1ED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投标人承诺：</w:t>
      </w:r>
    </w:p>
    <w:p w14:paraId="69C2E7B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（1）一旦中标，我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司</w:t>
      </w:r>
      <w:r>
        <w:rPr>
          <w:rFonts w:hint="eastAsia" w:ascii="黑体" w:hAnsi="黑体" w:eastAsia="黑体" w:cs="Segoe UI"/>
          <w:sz w:val="24"/>
          <w:szCs w:val="24"/>
        </w:rPr>
        <w:t>愿意按照招标文件和招标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人</w:t>
      </w:r>
      <w:r>
        <w:rPr>
          <w:rFonts w:hint="eastAsia" w:ascii="黑体" w:hAnsi="黑体" w:eastAsia="黑体" w:cs="Segoe UI"/>
          <w:sz w:val="24"/>
          <w:szCs w:val="24"/>
        </w:rPr>
        <w:t>的规定和要求签订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</w:rPr>
        <w:t>低压纯凝式高速汽轮机发电机组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购</w:t>
      </w:r>
      <w:r>
        <w:rPr>
          <w:rFonts w:hint="eastAsia" w:ascii="黑体" w:hAnsi="黑体" w:eastAsia="黑体" w:cs="Segoe UI"/>
          <w:sz w:val="24"/>
          <w:szCs w:val="24"/>
        </w:rPr>
        <w:t>销合同，并信守合同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保证质量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如期交货。</w:t>
      </w:r>
    </w:p>
    <w:p w14:paraId="784E339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（2）投标人同意按照招标方的要求，严格遵守招标纪律，恪守招标方的各项规定，保证投标工作的顺利进行。</w:t>
      </w:r>
    </w:p>
    <w:p w14:paraId="6F0B1F8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 xml:space="preserve">（3）我方已经审查全部的招标文件，包括修改文件，以及全部的参考资料和有关附件，我方完全理解同意放弃对这方面有不明和误解的权利。        </w:t>
      </w:r>
    </w:p>
    <w:p w14:paraId="6FB7E3C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textAlignment w:val="auto"/>
        <w:rPr>
          <w:rFonts w:ascii="黑体" w:hAnsi="黑体" w:eastAsia="黑体" w:cs="Segoe UI"/>
          <w:sz w:val="24"/>
          <w:szCs w:val="24"/>
        </w:rPr>
      </w:pPr>
    </w:p>
    <w:p w14:paraId="08C1852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jc w:val="right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投标人名称（盖章）：</w:t>
      </w:r>
    </w:p>
    <w:p w14:paraId="6613FD1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3840" w:firstLineChars="1600"/>
        <w:jc w:val="right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日期：    年   月   日</w:t>
      </w:r>
    </w:p>
    <w:p w14:paraId="4ECC3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</w:t>
      </w:r>
    </w:p>
    <w:p w14:paraId="4237134C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易损件清单及价格（后期配件清单）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如下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3A93A25C">
      <w:pPr>
        <w:spacing w:line="24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-CN"/>
        </w:rPr>
      </w:pPr>
    </w:p>
    <w:tbl>
      <w:tblPr>
        <w:tblStyle w:val="18"/>
        <w:tblW w:w="9551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54"/>
        <w:gridCol w:w="2369"/>
        <w:gridCol w:w="1157"/>
        <w:gridCol w:w="894"/>
        <w:gridCol w:w="1080"/>
        <w:gridCol w:w="1331"/>
      </w:tblGrid>
      <w:tr w14:paraId="10CE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9333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BD05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7D0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规格型号/参数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161C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计量</w:t>
            </w:r>
          </w:p>
          <w:p w14:paraId="51F672C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CB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99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生产厂家/品牌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AD1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价格（元）</w:t>
            </w:r>
          </w:p>
        </w:tc>
      </w:tr>
      <w:tr w14:paraId="4E21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4B9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581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B8D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E9A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A105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907D9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9D542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70C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96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765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34E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24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EEAE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3DAC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7DEB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410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7CE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D37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8B8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E40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2F059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80BCC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4947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1A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3E88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B3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1FA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6AE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094FB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4510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82F2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3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9394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EBE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C28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791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1D6E1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0040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F1D2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A43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034A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8A0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984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4FE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C483A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4F42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CBB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1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D81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195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A16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DE7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D345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75D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6AA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C9A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06F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675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7DB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637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2E3F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C3EBB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55C5D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83D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45C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594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88F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A441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77E0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668C5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FAF7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</w:tbl>
    <w:p w14:paraId="37745D44">
      <w:pPr>
        <w:tabs>
          <w:tab w:val="left" w:pos="5580"/>
        </w:tabs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注:</w:t>
      </w:r>
    </w:p>
    <w:p w14:paraId="27FA2224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1.</w:t>
      </w:r>
      <w:r>
        <w:rPr>
          <w:rFonts w:hint="eastAsia" w:ascii="黑体" w:hAnsi="黑体" w:eastAsia="黑体" w:cs="黑体"/>
          <w:sz w:val="24"/>
        </w:rPr>
        <w:t>此处所列项目应按照</w:t>
      </w:r>
      <w:r>
        <w:rPr>
          <w:rFonts w:hint="eastAsia" w:ascii="黑体" w:hAnsi="黑体" w:eastAsia="黑体" w:cs="黑体"/>
          <w:sz w:val="24"/>
          <w:lang w:val="en-US" w:eastAsia="zh-CN"/>
        </w:rPr>
        <w:t>招标</w:t>
      </w:r>
      <w:r>
        <w:rPr>
          <w:rFonts w:hint="eastAsia" w:ascii="黑体" w:hAnsi="黑体" w:eastAsia="黑体" w:cs="黑体"/>
          <w:sz w:val="24"/>
        </w:rPr>
        <w:t>文件</w:t>
      </w:r>
      <w:r>
        <w:rPr>
          <w:rFonts w:hint="eastAsia" w:ascii="黑体" w:hAnsi="黑体" w:eastAsia="黑体" w:cs="黑体"/>
          <w:sz w:val="24"/>
          <w:lang w:val="en-US" w:eastAsia="zh-CN"/>
        </w:rPr>
        <w:t>及技术规格书</w:t>
      </w:r>
      <w:r>
        <w:rPr>
          <w:rFonts w:hint="eastAsia" w:ascii="黑体" w:hAnsi="黑体" w:eastAsia="黑体" w:cs="黑体"/>
          <w:sz w:val="24"/>
        </w:rPr>
        <w:t>的全部内容进行统计，表内项目不足，</w:t>
      </w:r>
      <w:r>
        <w:rPr>
          <w:rFonts w:hint="eastAsia" w:ascii="黑体" w:hAnsi="黑体" w:eastAsia="黑体" w:cs="黑体"/>
          <w:sz w:val="24"/>
          <w:lang w:val="en-US" w:eastAsia="zh-CN"/>
        </w:rPr>
        <w:t>投标</w:t>
      </w:r>
      <w:r>
        <w:rPr>
          <w:rFonts w:hint="eastAsia" w:ascii="黑体" w:hAnsi="黑体" w:eastAsia="黑体" w:cs="黑体"/>
          <w:sz w:val="24"/>
        </w:rPr>
        <w:t>人可依次增减。</w:t>
      </w:r>
    </w:p>
    <w:p w14:paraId="61C4E3E0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bCs/>
          <w:color w:val="auto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2.投标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人可根据实际供货内容自行修改。</w:t>
      </w:r>
    </w:p>
    <w:p w14:paraId="6EF71F62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</w:rPr>
        <w:t>设备</w:t>
      </w:r>
      <w:r>
        <w:rPr>
          <w:rFonts w:hint="eastAsia" w:ascii="黑体" w:hAnsi="黑体" w:eastAsia="黑体" w:cs="黑体"/>
          <w:sz w:val="24"/>
          <w:lang w:val="en-US" w:eastAsia="zh-CN"/>
        </w:rPr>
        <w:t>及资料</w:t>
      </w:r>
      <w:r>
        <w:rPr>
          <w:rFonts w:hint="eastAsia" w:ascii="黑体" w:hAnsi="黑体" w:eastAsia="黑体" w:cs="黑体"/>
          <w:sz w:val="24"/>
        </w:rPr>
        <w:t>明细表请按类别排序，将全部供货范围按上表格式罗列。</w:t>
      </w:r>
    </w:p>
    <w:p w14:paraId="55CB5436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  <w:lang w:val="en-US" w:eastAsia="zh-CN"/>
        </w:rPr>
      </w:pPr>
    </w:p>
    <w:p w14:paraId="58A55150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403FB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2E71B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ED23026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33FFB3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4C8A92B">
      <w:pPr>
        <w:numPr>
          <w:ilvl w:val="0"/>
          <w:numId w:val="3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业绩：</w:t>
      </w:r>
    </w:p>
    <w:p w14:paraId="194A6D4F">
      <w:pPr>
        <w:pStyle w:val="36"/>
        <w:spacing w:line="360" w:lineRule="auto"/>
        <w:ind w:firstLine="0" w:firstLineChars="0"/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提供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</w:rPr>
        <w:t>汽轮机发电机组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业绩</w:t>
      </w:r>
      <w:r>
        <w:rPr>
          <w:rFonts w:hint="eastAsia" w:ascii="黑体" w:hAnsi="黑体" w:eastAsia="黑体" w:cs="Segoe UI"/>
          <w:kern w:val="0"/>
          <w:sz w:val="24"/>
          <w:szCs w:val="24"/>
        </w:rPr>
        <w:t>。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业绩证明资料要求：合同关键页（至少包含合同首末页、合同总额页、合同标的</w:t>
      </w:r>
      <w:r>
        <w:rPr>
          <w:rFonts w:hint="eastAsia" w:ascii="黑体" w:hAnsi="黑体" w:eastAsia="黑体" w:cs="Segoe UI"/>
          <w:kern w:val="0"/>
          <w:sz w:val="24"/>
          <w:szCs w:val="24"/>
          <w:lang w:val="zh-CN" w:eastAsia="zh-CN"/>
        </w:rPr>
        <w:t>页、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装置应用行业体现页、签订时间页、签字盖章页等足以证明业绩的有效材料）。同一家单位多次采购</w:t>
      </w:r>
      <w:r>
        <w:rPr>
          <w:rFonts w:hint="eastAsia" w:ascii="黑体" w:hAnsi="黑体" w:eastAsia="黑体" w:cs="Segoe UI"/>
          <w:kern w:val="0"/>
          <w:sz w:val="24"/>
          <w:szCs w:val="24"/>
        </w:rPr>
        <w:t>，合同数量可累计</w:t>
      </w:r>
      <w:r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  <w:t>。</w:t>
      </w:r>
    </w:p>
    <w:p w14:paraId="7BA561F3">
      <w:pPr>
        <w:pStyle w:val="36"/>
        <w:spacing w:line="360" w:lineRule="auto"/>
        <w:ind w:left="0" w:leftChars="0" w:firstLine="0" w:firstLineChars="0"/>
        <w:rPr>
          <w:rFonts w:ascii="黑体" w:hAnsi="黑体" w:eastAsia="黑体" w:cs="Segoe UI"/>
          <w:kern w:val="0"/>
          <w:sz w:val="24"/>
          <w:szCs w:val="24"/>
        </w:rPr>
      </w:pPr>
      <w:r>
        <w:rPr>
          <w:rFonts w:hint="eastAsia" w:ascii="黑体" w:hAnsi="黑体" w:eastAsia="黑体" w:cs="Segoe UI"/>
          <w:kern w:val="0"/>
          <w:sz w:val="24"/>
          <w:szCs w:val="24"/>
        </w:rPr>
        <w:t>业绩汇总表：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01"/>
        <w:gridCol w:w="1751"/>
        <w:gridCol w:w="1218"/>
        <w:gridCol w:w="1219"/>
        <w:gridCol w:w="1874"/>
      </w:tblGrid>
      <w:tr w14:paraId="73D0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vAlign w:val="center"/>
          </w:tcPr>
          <w:p w14:paraId="20692E79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14:paraId="649086BC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751" w:type="dxa"/>
            <w:vAlign w:val="center"/>
          </w:tcPr>
          <w:p w14:paraId="5F26B86A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082C2751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1421" w:type="dxa"/>
            <w:vAlign w:val="center"/>
          </w:tcPr>
          <w:p w14:paraId="14B74CFF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250" w:type="dxa"/>
            <w:vAlign w:val="center"/>
          </w:tcPr>
          <w:p w14:paraId="0C4EE046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备注</w:t>
            </w:r>
          </w:p>
        </w:tc>
      </w:tr>
      <w:tr w14:paraId="369D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2BAC11D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65B7C806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64BDD45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68FE5A2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F909FF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43142C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39A1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14D98A6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...</w:t>
            </w:r>
          </w:p>
        </w:tc>
        <w:tc>
          <w:tcPr>
            <w:tcW w:w="2032" w:type="dxa"/>
          </w:tcPr>
          <w:p w14:paraId="0172EC1C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95134CB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8980F3D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A734C3A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7CD743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6DF6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BC3D377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合计</w:t>
            </w:r>
          </w:p>
        </w:tc>
        <w:tc>
          <w:tcPr>
            <w:tcW w:w="2032" w:type="dxa"/>
          </w:tcPr>
          <w:p w14:paraId="086F6329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751" w:type="dxa"/>
          </w:tcPr>
          <w:p w14:paraId="07B26D34">
            <w:pPr>
              <w:pStyle w:val="36"/>
              <w:ind w:right="560" w:firstLine="840" w:firstLineChars="35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家</w:t>
            </w:r>
          </w:p>
        </w:tc>
        <w:tc>
          <w:tcPr>
            <w:tcW w:w="1420" w:type="dxa"/>
          </w:tcPr>
          <w:p w14:paraId="797B05C9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421" w:type="dxa"/>
          </w:tcPr>
          <w:p w14:paraId="67D64FCE">
            <w:pPr>
              <w:pStyle w:val="36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250" w:type="dxa"/>
          </w:tcPr>
          <w:p w14:paraId="186A0B11">
            <w:pPr>
              <w:pStyle w:val="36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</w:tbl>
    <w:p w14:paraId="149C571B">
      <w:pPr>
        <w:spacing w:line="44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 w:bidi="ar-SA"/>
        </w:rPr>
      </w:pPr>
    </w:p>
    <w:p w14:paraId="79F63DDB">
      <w:pPr>
        <w:pStyle w:val="2"/>
        <w:numPr>
          <w:ilvl w:val="1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其它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业绩证明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材料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：</w:t>
      </w:r>
    </w:p>
    <w:p w14:paraId="59810B84">
      <w:pPr>
        <w:spacing w:line="360" w:lineRule="auto"/>
        <w:ind w:firstLine="720" w:firstLineChars="3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若合同内容无法证明业绩准确参数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及用途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，则须提供用户使用证明并附合同复印件，同时加盖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投标人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公章。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格式如下：</w:t>
      </w:r>
    </w:p>
    <w:p w14:paraId="403B33AC">
      <w:pPr>
        <w:pStyle w:val="2"/>
        <w:numPr>
          <w:ilvl w:val="1"/>
          <w:numId w:val="0"/>
        </w:numPr>
        <w:spacing w:line="360" w:lineRule="auto"/>
        <w:rPr>
          <w:rFonts w:hint="eastAsia" w:ascii="黑体" w:hAnsi="黑体" w:eastAsia="黑体" w:cs="黑体"/>
          <w:color w:val="auto"/>
          <w:sz w:val="24"/>
          <w:szCs w:val="24"/>
        </w:rPr>
      </w:pPr>
    </w:p>
    <w:p w14:paraId="3BB213E8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供货业绩用户证明文件</w:t>
      </w:r>
    </w:p>
    <w:p w14:paraId="7B057B4D">
      <w:pPr>
        <w:spacing w:line="360" w:lineRule="auto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最终用户使用证明（范本）</w:t>
      </w:r>
    </w:p>
    <w:p w14:paraId="019723A9">
      <w:pPr>
        <w:pStyle w:val="17"/>
        <w:spacing w:line="360" w:lineRule="auto"/>
        <w:ind w:left="525" w:firstLine="560"/>
        <w:rPr>
          <w:rFonts w:hint="eastAsia" w:ascii="黑体" w:hAnsi="黑体" w:eastAsia="黑体" w:cs="黑体"/>
          <w:sz w:val="24"/>
          <w:szCs w:val="24"/>
        </w:rPr>
      </w:pPr>
    </w:p>
    <w:p w14:paraId="14506168">
      <w:pPr>
        <w:pStyle w:val="17"/>
        <w:spacing w:line="360" w:lineRule="auto"/>
        <w:ind w:left="525" w:firstLine="56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XXX 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投标人</w:t>
      </w:r>
      <w:r>
        <w:rPr>
          <w:rFonts w:hint="eastAsia" w:ascii="黑体" w:hAnsi="黑体" w:eastAsia="黑体" w:cs="黑体"/>
          <w:sz w:val="24"/>
          <w:szCs w:val="24"/>
        </w:rPr>
        <w:t>名称)向我公司提供应用于XXX（项目或装置名称）的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</w:rPr>
        <w:t>低压纯凝式高速汽轮机发电机组</w:t>
      </w:r>
      <w:r>
        <w:rPr>
          <w:rFonts w:hint="eastAsia" w:ascii="黑体" w:hAnsi="黑体" w:eastAsia="黑体" w:cs="黑体"/>
          <w:sz w:val="24"/>
          <w:szCs w:val="24"/>
        </w:rPr>
        <w:t>X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套</w:t>
      </w:r>
      <w:r>
        <w:rPr>
          <w:rFonts w:hint="eastAsia" w:ascii="黑体" w:hAnsi="黑体" w:eastAsia="黑体" w:cs="黑体"/>
          <w:sz w:val="24"/>
          <w:szCs w:val="24"/>
        </w:rPr>
        <w:t>，（合同签订时间：XX年XX月XX日）。设备运行稳定，各项性能指标满足技术要求。</w:t>
      </w:r>
    </w:p>
    <w:p w14:paraId="0DCFB991">
      <w:pPr>
        <w:pStyle w:val="17"/>
        <w:spacing w:line="360" w:lineRule="auto"/>
        <w:ind w:left="525" w:firstLine="56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特出此函，以资证明。</w:t>
      </w:r>
    </w:p>
    <w:p w14:paraId="63499998">
      <w:pPr>
        <w:pStyle w:val="17"/>
        <w:wordWrap w:val="0"/>
        <w:spacing w:line="360" w:lineRule="auto"/>
        <w:ind w:left="525" w:firstLine="560"/>
        <w:jc w:val="righ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XXX (用户名称)盖章</w:t>
      </w:r>
    </w:p>
    <w:p w14:paraId="576D6B84">
      <w:pPr>
        <w:pStyle w:val="17"/>
        <w:spacing w:line="360" w:lineRule="auto"/>
        <w:ind w:left="525" w:firstLine="560"/>
        <w:jc w:val="righ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XX年XX月XX日</w:t>
      </w:r>
    </w:p>
    <w:p w14:paraId="6233554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注：比选申请人认为需要补充的其它材料，格式自拟。</w:t>
      </w:r>
    </w:p>
    <w:p w14:paraId="5C8A4F0D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5AF9242C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600249AF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8718514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56A857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5C88F92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D23D88F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EF61B75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88BBE8E">
      <w:pPr>
        <w:numPr>
          <w:ilvl w:val="0"/>
          <w:numId w:val="0"/>
        </w:numPr>
        <w:spacing w:line="360" w:lineRule="exact"/>
        <w:ind w:left="420" w:leftChars="0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（四）随机配件清单：</w:t>
      </w:r>
    </w:p>
    <w:p w14:paraId="0326840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8168F6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F69B38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BB7D5D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7257BD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B13601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17E82A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04EF95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57A29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E1CD1B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791BF5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CAFF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E28F2B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F02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733366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82C2F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DF0555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33D9BF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027543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D9D24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0B9B02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94BE02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604F10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63B2225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0F53C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7F1B2E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CF67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4FBE11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5DDAF8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659E1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C3ADC0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780F99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4D8D6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E9D644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66B543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C835A9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20A54F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AAC0E0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601FDF4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ECDB4DF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EF5DC04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42E1DC0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378A9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68CD468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DA483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default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（7）完全响应招标文件要求。</w:t>
      </w:r>
    </w:p>
    <w:p w14:paraId="4D39A6D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2DFC21E2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F8D279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4C25D3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1496973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05FA4A2C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B235820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0"/>
      <w:ind w:right="360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0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12</w:t>
    </w:r>
    <w:r>
      <w:fldChar w:fldCharType="end"/>
    </w:r>
  </w:p>
  <w:p w14:paraId="7BADD2C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DB7D4E"/>
    <w:multiLevelType w:val="singleLevel"/>
    <w:tmpl w:val="CBDB7D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62435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62665C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407893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2F5B55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987050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D526A3"/>
    <w:rsid w:val="4EE10E98"/>
    <w:rsid w:val="4EE97C85"/>
    <w:rsid w:val="4EF4434D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BD36581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7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5C5C5C"/>
      <w:u w:val="none"/>
    </w:rPr>
  </w:style>
  <w:style w:type="character" w:styleId="24">
    <w:name w:val="Emphasis"/>
    <w:basedOn w:val="20"/>
    <w:qFormat/>
    <w:uiPriority w:val="20"/>
    <w:rPr>
      <w:b/>
      <w:bCs/>
    </w:rPr>
  </w:style>
  <w:style w:type="character" w:styleId="25">
    <w:name w:val="HTML Definition"/>
    <w:basedOn w:val="20"/>
    <w:semiHidden/>
    <w:unhideWhenUsed/>
    <w:qFormat/>
    <w:uiPriority w:val="99"/>
  </w:style>
  <w:style w:type="character" w:styleId="26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0"/>
    <w:semiHidden/>
    <w:unhideWhenUsed/>
    <w:qFormat/>
    <w:uiPriority w:val="99"/>
  </w:style>
  <w:style w:type="character" w:styleId="28">
    <w:name w:val="HTML Variable"/>
    <w:basedOn w:val="20"/>
    <w:semiHidden/>
    <w:unhideWhenUsed/>
    <w:qFormat/>
    <w:uiPriority w:val="99"/>
  </w:style>
  <w:style w:type="character" w:styleId="29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30">
    <w:name w:val="HTML Code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32">
    <w:name w:val="HTML Cite"/>
    <w:basedOn w:val="20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3">
    <w:name w:val="HTML Keyboard"/>
    <w:basedOn w:val="20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4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5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6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7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0">
    <w:name w:val="页眉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页脚 Char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批注框文本 Char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hover"/>
    <w:basedOn w:val="20"/>
    <w:qFormat/>
    <w:uiPriority w:val="0"/>
    <w:rPr>
      <w:shd w:val="clear" w:color="auto" w:fill="E9F4FD"/>
    </w:rPr>
  </w:style>
  <w:style w:type="character" w:customStyle="1" w:styleId="44">
    <w:name w:val="hover1"/>
    <w:basedOn w:val="20"/>
    <w:qFormat/>
    <w:uiPriority w:val="0"/>
    <w:rPr>
      <w:color w:val="2590EB"/>
    </w:rPr>
  </w:style>
  <w:style w:type="character" w:customStyle="1" w:styleId="45">
    <w:name w:val="hover2"/>
    <w:basedOn w:val="20"/>
    <w:qFormat/>
    <w:uiPriority w:val="0"/>
    <w:rPr>
      <w:color w:val="2590EB"/>
      <w:shd w:val="clear" w:color="auto" w:fill="E9F4FD"/>
    </w:rPr>
  </w:style>
  <w:style w:type="character" w:customStyle="1" w:styleId="46">
    <w:name w:val="hover3"/>
    <w:basedOn w:val="20"/>
    <w:qFormat/>
    <w:uiPriority w:val="0"/>
    <w:rPr>
      <w:color w:val="2590EB"/>
    </w:rPr>
  </w:style>
  <w:style w:type="character" w:customStyle="1" w:styleId="47">
    <w:name w:val="laydate-disabled"/>
    <w:basedOn w:val="20"/>
    <w:qFormat/>
    <w:uiPriority w:val="0"/>
    <w:rPr>
      <w:color w:val="2590EB"/>
    </w:rPr>
  </w:style>
  <w:style w:type="character" w:customStyle="1" w:styleId="48">
    <w:name w:val="status"/>
    <w:basedOn w:val="20"/>
    <w:qFormat/>
    <w:uiPriority w:val="0"/>
    <w:rPr>
      <w:color w:val="0776DD"/>
    </w:rPr>
  </w:style>
  <w:style w:type="character" w:customStyle="1" w:styleId="49">
    <w:name w:val="time"/>
    <w:basedOn w:val="20"/>
    <w:qFormat/>
    <w:uiPriority w:val="0"/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1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2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3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4">
    <w:name w:val="font3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41"/>
    <w:basedOn w:val="2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6">
    <w:name w:val="font5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61"/>
    <w:basedOn w:val="2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2351</Words>
  <Characters>2501</Characters>
  <Lines>16</Lines>
  <Paragraphs>4</Paragraphs>
  <TotalTime>8</TotalTime>
  <ScaleCrop>false</ScaleCrop>
  <LinksUpToDate>false</LinksUpToDate>
  <CharactersWithSpaces>3187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2025-12-19T05:03:29Z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