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A9BD">
      <w:pPr>
        <w:spacing w:before="56" w:line="220" w:lineRule="auto"/>
        <w:jc w:val="center"/>
        <w:rPr>
          <w:rFonts w:ascii="隶书" w:eastAsia="隶书"/>
          <w:sz w:val="36"/>
          <w:szCs w:val="36"/>
        </w:rPr>
      </w:pPr>
    </w:p>
    <w:p w14:paraId="7F2EE382">
      <w:pPr>
        <w:spacing w:before="56" w:line="220" w:lineRule="auto"/>
        <w:jc w:val="center"/>
        <w:rPr>
          <w:rFonts w:ascii="隶书" w:eastAsia="隶书"/>
          <w:sz w:val="36"/>
          <w:szCs w:val="36"/>
        </w:rPr>
      </w:pPr>
      <w:r>
        <w:rPr>
          <w:rFonts w:hint="eastAsia" w:ascii="隶书" w:eastAsia="隶书"/>
          <w:sz w:val="36"/>
          <w:szCs w:val="36"/>
        </w:rPr>
        <w:t>四川宏达股份有限公司什邡有色金属分公司</w:t>
      </w:r>
    </w:p>
    <w:p w14:paraId="2216B7D4">
      <w:pPr>
        <w:snapToGrid w:val="0"/>
        <w:spacing w:line="560" w:lineRule="exact"/>
        <w:jc w:val="center"/>
        <w:rPr>
          <w:rFonts w:ascii="黑体" w:hAnsi="黑体" w:eastAsia="黑体" w:cs="黑体"/>
          <w:b/>
          <w:bCs/>
          <w:color w:val="000000" w:themeColor="text1"/>
          <w:sz w:val="44"/>
          <w:szCs w:val="44"/>
        </w:rPr>
      </w:pPr>
      <w:r>
        <w:rPr>
          <w:rFonts w:hint="eastAsia" w:ascii="隶书" w:eastAsia="隶书"/>
          <w:sz w:val="44"/>
          <w:szCs w:val="44"/>
        </w:rPr>
        <w:t>10万吨/年烟气制酸装置沸腾炉和余热锅炉安全更新及环保设施升级改造项目</w:t>
      </w:r>
    </w:p>
    <w:p w14:paraId="38163E94">
      <w:pPr>
        <w:spacing w:line="520" w:lineRule="exact"/>
        <w:outlineLvl w:val="0"/>
        <w:rPr>
          <w:rFonts w:ascii="仿宋_GB2312" w:hAnsi="仿宋_GB2312" w:eastAsia="仿宋_GB2312" w:cs="仿宋_GB2312"/>
          <w:b/>
          <w:color w:val="000000" w:themeColor="text1"/>
          <w:sz w:val="32"/>
          <w:szCs w:val="32"/>
        </w:rPr>
      </w:pPr>
    </w:p>
    <w:p w14:paraId="35E7BEF0">
      <w:pPr>
        <w:spacing w:line="520" w:lineRule="exact"/>
        <w:outlineLvl w:val="0"/>
        <w:rPr>
          <w:rFonts w:ascii="仿宋_GB2312" w:hAnsi="仿宋_GB2312" w:eastAsia="仿宋_GB2312" w:cs="仿宋_GB2312"/>
          <w:b/>
          <w:color w:val="000000" w:themeColor="text1"/>
          <w:sz w:val="32"/>
          <w:szCs w:val="32"/>
        </w:rPr>
      </w:pPr>
    </w:p>
    <w:p w14:paraId="0304DB3B">
      <w:pPr>
        <w:snapToGrid w:val="0"/>
        <w:spacing w:line="560" w:lineRule="exact"/>
        <w:jc w:val="center"/>
        <w:rPr>
          <w:rFonts w:ascii="黑体" w:hAnsi="黑体" w:eastAsia="黑体" w:cs="黑体"/>
          <w:b/>
          <w:bCs/>
          <w:color w:val="000000" w:themeColor="text1"/>
          <w:sz w:val="52"/>
          <w:szCs w:val="52"/>
        </w:rPr>
      </w:pPr>
      <w:r>
        <w:rPr>
          <w:rFonts w:hint="eastAsia" w:ascii="黑体" w:hAnsi="黑体" w:eastAsia="黑体" w:cs="黑体"/>
          <w:b/>
          <w:bCs/>
          <w:color w:val="000000" w:themeColor="text1"/>
          <w:sz w:val="52"/>
          <w:szCs w:val="52"/>
        </w:rPr>
        <w:t>余热锅炉</w:t>
      </w:r>
    </w:p>
    <w:p w14:paraId="2E9B9834">
      <w:pPr>
        <w:snapToGrid w:val="0"/>
        <w:spacing w:line="560" w:lineRule="exact"/>
        <w:jc w:val="center"/>
        <w:rPr>
          <w:rFonts w:ascii="黑体" w:hAnsi="黑体" w:eastAsia="黑体" w:cs="黑体"/>
          <w:b/>
          <w:bCs/>
          <w:color w:val="000000" w:themeColor="text1"/>
          <w:sz w:val="52"/>
          <w:szCs w:val="52"/>
        </w:rPr>
      </w:pPr>
    </w:p>
    <w:p w14:paraId="64D6F78A">
      <w:pPr>
        <w:snapToGrid w:val="0"/>
        <w:spacing w:line="560" w:lineRule="exact"/>
        <w:jc w:val="center"/>
        <w:rPr>
          <w:rFonts w:ascii="黑体" w:hAnsi="黑体" w:eastAsia="黑体" w:cs="黑体"/>
          <w:b/>
          <w:bCs/>
          <w:color w:val="000000" w:themeColor="text1"/>
          <w:sz w:val="52"/>
          <w:szCs w:val="52"/>
        </w:rPr>
      </w:pPr>
    </w:p>
    <w:p w14:paraId="6F6F193E">
      <w:pPr>
        <w:snapToGrid w:val="0"/>
        <w:spacing w:line="560" w:lineRule="exact"/>
        <w:jc w:val="center"/>
        <w:rPr>
          <w:rFonts w:ascii="黑体" w:hAnsi="黑体" w:eastAsia="黑体" w:cs="黑体"/>
          <w:b/>
          <w:bCs/>
          <w:color w:val="000000" w:themeColor="text1"/>
          <w:sz w:val="52"/>
          <w:szCs w:val="52"/>
        </w:rPr>
      </w:pPr>
    </w:p>
    <w:p w14:paraId="0C1452C9">
      <w:pPr>
        <w:snapToGrid w:val="0"/>
        <w:spacing w:line="560" w:lineRule="exact"/>
        <w:jc w:val="center"/>
        <w:rPr>
          <w:rFonts w:ascii="黑体" w:hAnsi="黑体" w:eastAsia="黑体" w:cs="黑体"/>
          <w:b/>
          <w:bCs/>
          <w:color w:val="000000" w:themeColor="text1"/>
          <w:sz w:val="52"/>
          <w:szCs w:val="52"/>
        </w:rPr>
      </w:pPr>
    </w:p>
    <w:p w14:paraId="70F2AE5D">
      <w:pPr>
        <w:pStyle w:val="4"/>
        <w:rPr>
          <w:color w:val="000000" w:themeColor="text1"/>
        </w:rPr>
      </w:pPr>
    </w:p>
    <w:p w14:paraId="04F26279">
      <w:pPr>
        <w:snapToGrid w:val="0"/>
        <w:spacing w:line="560" w:lineRule="exact"/>
        <w:jc w:val="center"/>
        <w:rPr>
          <w:rFonts w:ascii="黑体" w:hAnsi="黑体" w:eastAsia="黑体" w:cs="黑体"/>
          <w:b/>
          <w:bCs/>
          <w:color w:val="000000" w:themeColor="text1"/>
          <w:sz w:val="52"/>
          <w:szCs w:val="52"/>
        </w:rPr>
      </w:pPr>
    </w:p>
    <w:p w14:paraId="1D05E0C9">
      <w:pPr>
        <w:snapToGrid w:val="0"/>
        <w:spacing w:line="560" w:lineRule="exact"/>
        <w:jc w:val="center"/>
        <w:rPr>
          <w:rFonts w:ascii="黑体" w:hAnsi="黑体" w:eastAsia="黑体" w:cs="黑体"/>
          <w:b/>
          <w:bCs/>
          <w:color w:val="000000" w:themeColor="text1"/>
          <w:sz w:val="52"/>
          <w:szCs w:val="52"/>
        </w:rPr>
      </w:pPr>
    </w:p>
    <w:p w14:paraId="0080D4B3">
      <w:pPr>
        <w:snapToGrid w:val="0"/>
        <w:spacing w:line="560" w:lineRule="exact"/>
        <w:jc w:val="center"/>
        <w:rPr>
          <w:rFonts w:ascii="黑体" w:hAnsi="黑体" w:eastAsia="黑体" w:cs="黑体"/>
          <w:b/>
          <w:bCs/>
          <w:color w:val="000000" w:themeColor="text1"/>
          <w:sz w:val="52"/>
          <w:szCs w:val="52"/>
        </w:rPr>
      </w:pPr>
      <w:r>
        <w:rPr>
          <w:rFonts w:hint="eastAsia" w:ascii="黑体" w:hAnsi="黑体" w:eastAsia="黑体" w:cs="黑体"/>
          <w:b/>
          <w:bCs/>
          <w:color w:val="000000" w:themeColor="text1"/>
          <w:sz w:val="52"/>
          <w:szCs w:val="52"/>
        </w:rPr>
        <w:t>物资采购、安装合同</w:t>
      </w:r>
    </w:p>
    <w:p w14:paraId="09DE153E">
      <w:pPr>
        <w:rPr>
          <w:rFonts w:ascii="宋体" w:hAnsi="宋体"/>
          <w:b/>
          <w:bCs/>
          <w:color w:val="000000" w:themeColor="text1"/>
          <w:sz w:val="28"/>
          <w:szCs w:val="28"/>
        </w:rPr>
      </w:pPr>
      <w:r>
        <w:rPr>
          <w:rFonts w:hint="eastAsia" w:ascii="宋体" w:hAnsi="宋体"/>
          <w:b/>
          <w:bCs/>
          <w:color w:val="000000" w:themeColor="text1"/>
          <w:sz w:val="28"/>
          <w:szCs w:val="28"/>
        </w:rPr>
        <w:br w:type="page"/>
      </w:r>
      <w:r>
        <w:rPr>
          <w:rFonts w:hint="eastAsia" w:ascii="宋体" w:hAnsi="宋体"/>
          <w:b/>
          <w:bCs/>
          <w:color w:val="000000" w:themeColor="text1"/>
          <w:sz w:val="28"/>
          <w:szCs w:val="28"/>
        </w:rPr>
        <w:t>合同编号：</w:t>
      </w:r>
    </w:p>
    <w:p w14:paraId="0FC074D9">
      <w:pPr>
        <w:jc w:val="center"/>
        <w:rPr>
          <w:rFonts w:ascii="宋体" w:hAnsi="宋体"/>
          <w:color w:val="000000" w:themeColor="text1"/>
        </w:rPr>
      </w:pPr>
    </w:p>
    <w:p w14:paraId="49B0E8E5">
      <w:pPr>
        <w:jc w:val="center"/>
        <w:rPr>
          <w:rFonts w:ascii="宋体" w:hAnsi="宋体"/>
          <w:color w:val="000000" w:themeColor="text1"/>
        </w:rPr>
      </w:pPr>
    </w:p>
    <w:p w14:paraId="5F3444C4">
      <w:pPr>
        <w:jc w:val="center"/>
        <w:rPr>
          <w:rFonts w:ascii="宋体" w:hAnsi="宋体"/>
          <w:color w:val="000000" w:themeColor="text1"/>
        </w:rPr>
      </w:pPr>
    </w:p>
    <w:p w14:paraId="48B9EDEA">
      <w:pPr>
        <w:jc w:val="center"/>
        <w:rPr>
          <w:rFonts w:ascii="宋体" w:hAnsi="宋体"/>
          <w:color w:val="000000" w:themeColor="text1"/>
        </w:rPr>
      </w:pPr>
    </w:p>
    <w:p w14:paraId="330EF0C4">
      <w:pPr>
        <w:jc w:val="center"/>
        <w:rPr>
          <w:rFonts w:ascii="宋体" w:hAnsi="宋体"/>
          <w:color w:val="000000" w:themeColor="text1"/>
        </w:rPr>
      </w:pPr>
    </w:p>
    <w:p w14:paraId="4ABC0858">
      <w:pPr>
        <w:jc w:val="center"/>
        <w:rPr>
          <w:rFonts w:ascii="宋体" w:hAnsi="宋体"/>
          <w:color w:val="000000" w:themeColor="text1"/>
        </w:rPr>
      </w:pPr>
    </w:p>
    <w:p w14:paraId="0EE5C6C0">
      <w:pPr>
        <w:jc w:val="center"/>
        <w:rPr>
          <w:rFonts w:ascii="宋体" w:hAnsi="宋体"/>
          <w:color w:val="000000" w:themeColor="text1"/>
        </w:rPr>
      </w:pPr>
    </w:p>
    <w:p w14:paraId="7705ABCB">
      <w:pPr>
        <w:jc w:val="center"/>
        <w:rPr>
          <w:rFonts w:ascii="黑体" w:hAnsi="黑体" w:eastAsia="黑体" w:cs="黑体"/>
          <w:b/>
          <w:bCs/>
          <w:color w:val="000000" w:themeColor="text1"/>
          <w:sz w:val="52"/>
          <w:szCs w:val="52"/>
        </w:rPr>
      </w:pPr>
      <w:r>
        <w:rPr>
          <w:rFonts w:hint="eastAsia" w:ascii="黑体" w:hAnsi="黑体" w:eastAsia="黑体" w:cs="黑体"/>
          <w:b/>
          <w:bCs/>
          <w:color w:val="000000" w:themeColor="text1"/>
          <w:sz w:val="52"/>
          <w:szCs w:val="52"/>
        </w:rPr>
        <w:t>物资采购、安装合同</w:t>
      </w:r>
    </w:p>
    <w:p w14:paraId="759CB058">
      <w:pPr>
        <w:jc w:val="center"/>
        <w:rPr>
          <w:rFonts w:ascii="黑体" w:hAnsi="黑体" w:eastAsia="黑体" w:cs="黑体"/>
          <w:b/>
          <w:bCs/>
          <w:color w:val="000000" w:themeColor="text1"/>
          <w:sz w:val="52"/>
          <w:szCs w:val="52"/>
        </w:rPr>
      </w:pPr>
    </w:p>
    <w:p w14:paraId="67F1E2E8">
      <w:pPr>
        <w:jc w:val="center"/>
        <w:rPr>
          <w:rFonts w:ascii="黑体" w:hAnsi="黑体" w:eastAsia="黑体" w:cs="黑体"/>
          <w:b/>
          <w:bCs/>
          <w:color w:val="000000" w:themeColor="text1"/>
          <w:sz w:val="52"/>
          <w:szCs w:val="52"/>
        </w:rPr>
      </w:pPr>
    </w:p>
    <w:p w14:paraId="562BA0CB">
      <w:pPr>
        <w:jc w:val="center"/>
        <w:rPr>
          <w:rFonts w:ascii="黑体" w:hAnsi="黑体" w:eastAsia="黑体" w:cs="黑体"/>
          <w:b/>
          <w:bCs/>
          <w:color w:val="000000" w:themeColor="text1"/>
          <w:sz w:val="52"/>
          <w:szCs w:val="52"/>
        </w:rPr>
      </w:pPr>
    </w:p>
    <w:p w14:paraId="7FC2B238">
      <w:pPr>
        <w:jc w:val="center"/>
        <w:rPr>
          <w:rFonts w:ascii="黑体" w:hAnsi="黑体" w:eastAsia="黑体" w:cs="黑体"/>
          <w:b/>
          <w:bCs/>
          <w:color w:val="000000" w:themeColor="text1"/>
          <w:sz w:val="52"/>
          <w:szCs w:val="52"/>
        </w:rPr>
      </w:pPr>
    </w:p>
    <w:p w14:paraId="61531424">
      <w:pPr>
        <w:jc w:val="center"/>
        <w:rPr>
          <w:rFonts w:ascii="黑体" w:hAnsi="黑体" w:eastAsia="黑体" w:cs="黑体"/>
          <w:b/>
          <w:bCs/>
          <w:color w:val="000000" w:themeColor="text1"/>
          <w:sz w:val="52"/>
          <w:szCs w:val="52"/>
        </w:rPr>
      </w:pPr>
    </w:p>
    <w:p w14:paraId="0848FF7E">
      <w:pPr>
        <w:jc w:val="center"/>
        <w:rPr>
          <w:rFonts w:ascii="黑体" w:hAnsi="黑体" w:eastAsia="黑体" w:cs="黑体"/>
          <w:b/>
          <w:bCs/>
          <w:color w:val="000000" w:themeColor="text1"/>
          <w:sz w:val="52"/>
          <w:szCs w:val="52"/>
        </w:rPr>
      </w:pPr>
    </w:p>
    <w:p w14:paraId="779EB998">
      <w:pPr>
        <w:jc w:val="center"/>
        <w:rPr>
          <w:rFonts w:ascii="黑体" w:hAnsi="黑体" w:eastAsia="黑体" w:cs="黑体"/>
          <w:b/>
          <w:bCs/>
          <w:color w:val="000000" w:themeColor="text1"/>
          <w:sz w:val="52"/>
          <w:szCs w:val="52"/>
        </w:rPr>
      </w:pPr>
    </w:p>
    <w:p w14:paraId="626827A2">
      <w:pPr>
        <w:pStyle w:val="7"/>
      </w:pPr>
    </w:p>
    <w:p w14:paraId="79C42DE7">
      <w:pPr>
        <w:rPr>
          <w:color w:val="000000" w:themeColor="text1"/>
        </w:rPr>
      </w:pPr>
    </w:p>
    <w:p w14:paraId="7A73982B">
      <w:pPr>
        <w:ind w:firstLine="1799" w:firstLineChars="640"/>
        <w:rPr>
          <w:rFonts w:ascii="宋体" w:hAnsi="宋体"/>
          <w:b/>
          <w:bCs/>
          <w:color w:val="000000" w:themeColor="text1"/>
          <w:sz w:val="28"/>
          <w:szCs w:val="28"/>
        </w:rPr>
      </w:pPr>
      <w:r>
        <w:rPr>
          <w:rFonts w:hint="eastAsia" w:ascii="宋体" w:hAnsi="宋体"/>
          <w:b/>
          <w:bCs/>
          <w:color w:val="000000" w:themeColor="text1"/>
          <w:sz w:val="28"/>
          <w:szCs w:val="28"/>
        </w:rPr>
        <w:t>甲方：</w:t>
      </w:r>
    </w:p>
    <w:p w14:paraId="4E33E631">
      <w:pPr>
        <w:ind w:firstLine="1799" w:firstLineChars="640"/>
        <w:rPr>
          <w:rFonts w:ascii="宋体" w:hAnsi="宋体"/>
          <w:b/>
          <w:bCs/>
          <w:color w:val="000000" w:themeColor="text1"/>
          <w:sz w:val="28"/>
          <w:szCs w:val="28"/>
        </w:rPr>
      </w:pPr>
      <w:r>
        <w:rPr>
          <w:rFonts w:hint="eastAsia" w:ascii="宋体" w:hAnsi="宋体"/>
          <w:b/>
          <w:bCs/>
          <w:color w:val="000000" w:themeColor="text1"/>
          <w:sz w:val="28"/>
          <w:szCs w:val="28"/>
        </w:rPr>
        <w:t>乙方：</w:t>
      </w:r>
    </w:p>
    <w:p w14:paraId="30AF24FE">
      <w:pPr>
        <w:jc w:val="center"/>
        <w:rPr>
          <w:color w:val="000000" w:themeColor="text1"/>
        </w:rPr>
      </w:pPr>
      <w:r>
        <w:rPr>
          <w:rFonts w:hint="eastAsia" w:ascii="宋体" w:hAnsi="宋体" w:cs="宋体"/>
          <w:b/>
          <w:bCs/>
          <w:color w:val="000000" w:themeColor="text1"/>
          <w:sz w:val="28"/>
          <w:szCs w:val="28"/>
        </w:rPr>
        <w:br w:type="page"/>
      </w:r>
    </w:p>
    <w:sdt>
      <w:sdtPr>
        <w:rPr>
          <w:rFonts w:ascii="宋体" w:hAnsi="宋体"/>
          <w:color w:val="000000" w:themeColor="text1"/>
        </w:rPr>
        <w:id w:val="147467758"/>
        <w:docPartObj>
          <w:docPartGallery w:val="Table of Contents"/>
          <w:docPartUnique/>
        </w:docPartObj>
      </w:sdtPr>
      <w:sdtEndPr>
        <w:rPr>
          <w:rFonts w:hint="eastAsia" w:ascii="宋体" w:hAnsi="宋体" w:cs="宋体"/>
          <w:bCs/>
          <w:color w:val="000000" w:themeColor="text1"/>
          <w:szCs w:val="28"/>
        </w:rPr>
      </w:sdtEndPr>
      <w:sdtContent>
        <w:p w14:paraId="763BED22">
          <w:pPr>
            <w:jc w:val="center"/>
            <w:rPr>
              <w:rFonts w:ascii="宋体" w:hAnsi="宋体"/>
              <w:b/>
              <w:bCs/>
              <w:color w:val="000000" w:themeColor="text1"/>
              <w:sz w:val="32"/>
              <w:szCs w:val="32"/>
            </w:rPr>
          </w:pPr>
          <w:r>
            <w:rPr>
              <w:rFonts w:hint="eastAsia" w:ascii="黑体" w:hAnsi="黑体" w:eastAsia="黑体" w:cs="黑体"/>
              <w:b/>
              <w:bCs/>
              <w:color w:val="000000" w:themeColor="text1"/>
              <w:sz w:val="44"/>
              <w:szCs w:val="44"/>
            </w:rPr>
            <w:t>目  录</w:t>
          </w:r>
        </w:p>
        <w:p w14:paraId="5EF05156">
          <w:pPr>
            <w:pStyle w:val="11"/>
            <w:tabs>
              <w:tab w:val="right" w:leader="dot" w:pos="8296"/>
            </w:tabs>
            <w:spacing w:line="276" w:lineRule="auto"/>
            <w:rPr>
              <w:rFonts w:asciiTheme="minorEastAsia" w:hAnsiTheme="minorEastAsia" w:eastAsiaTheme="minorEastAsia" w:cstheme="minorBidi"/>
              <w:sz w:val="24"/>
            </w:rPr>
          </w:pPr>
          <w:r>
            <w:rPr>
              <w:rFonts w:hint="eastAsia" w:ascii="宋体" w:hAnsi="宋体" w:cs="宋体"/>
              <w:b/>
              <w:bCs/>
              <w:color w:val="000000" w:themeColor="text1"/>
              <w:sz w:val="24"/>
            </w:rPr>
            <w:fldChar w:fldCharType="begin"/>
          </w:r>
          <w:r>
            <w:rPr>
              <w:rFonts w:hint="eastAsia" w:ascii="宋体" w:hAnsi="宋体" w:cs="宋体"/>
              <w:b/>
              <w:bCs/>
              <w:color w:val="000000" w:themeColor="text1"/>
              <w:sz w:val="24"/>
            </w:rPr>
            <w:instrText xml:space="preserve">TOC \o "1-1" \h \u </w:instrText>
          </w:r>
          <w:r>
            <w:rPr>
              <w:rFonts w:hint="eastAsia" w:ascii="宋体" w:hAnsi="宋体" w:cs="宋体"/>
              <w:b/>
              <w:bCs/>
              <w:color w:val="000000" w:themeColor="text1"/>
              <w:sz w:val="24"/>
            </w:rPr>
            <w:fldChar w:fldCharType="separate"/>
          </w:r>
          <w:r>
            <w:fldChar w:fldCharType="begin"/>
          </w:r>
          <w:r>
            <w:instrText xml:space="preserve"> HYPERLINK \l "_Toc216855815" </w:instrText>
          </w:r>
          <w:r>
            <w:fldChar w:fldCharType="separate"/>
          </w:r>
          <w:r>
            <w:rPr>
              <w:rStyle w:val="16"/>
              <w:rFonts w:cs="仿宋_GB2312" w:asciiTheme="minorEastAsia" w:hAnsiTheme="minorEastAsia" w:eastAsiaTheme="minorEastAsia"/>
              <w:bCs/>
              <w:sz w:val="24"/>
            </w:rPr>
            <w:t>1.</w:t>
          </w:r>
          <w:r>
            <w:rPr>
              <w:rStyle w:val="16"/>
              <w:rFonts w:hint="eastAsia" w:cs="仿宋_GB2312" w:asciiTheme="minorEastAsia" w:hAnsiTheme="minorEastAsia" w:eastAsiaTheme="minorEastAsia"/>
              <w:bCs/>
              <w:sz w:val="24"/>
            </w:rPr>
            <w:t>货物供应、安装工程</w:t>
          </w:r>
          <w:r>
            <w:rPr>
              <w:rStyle w:val="16"/>
              <w:rFonts w:hint="eastAsia" w:cs="宋体" w:asciiTheme="minorEastAsia" w:hAnsiTheme="minorEastAsia" w:eastAsiaTheme="minorEastAsia"/>
              <w:bCs/>
              <w:sz w:val="24"/>
            </w:rPr>
            <w:t>概</w:t>
          </w:r>
          <w:r>
            <w:rPr>
              <w:rStyle w:val="16"/>
              <w:rFonts w:hint="eastAsia" w:cs="___WRD_EMBED_SUB_41" w:asciiTheme="minorEastAsia" w:hAnsiTheme="minorEastAsia" w:eastAsiaTheme="minorEastAsia"/>
              <w:bCs/>
              <w:sz w:val="24"/>
            </w:rPr>
            <w:t>况</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_Toc216855815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62D6602">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"_Toc216855816" </w:instrText>
          </w:r>
          <w:r>
            <w:fldChar w:fldCharType="separate"/>
          </w:r>
          <w:r>
            <w:rPr>
              <w:rStyle w:val="16"/>
              <w:rFonts w:cs="仿宋_GB2312" w:asciiTheme="minorEastAsia" w:hAnsiTheme="minorEastAsia" w:eastAsiaTheme="minorEastAsia"/>
              <w:bCs/>
              <w:sz w:val="24"/>
            </w:rPr>
            <w:t>2.</w:t>
          </w:r>
          <w:r>
            <w:rPr>
              <w:rStyle w:val="16"/>
              <w:rFonts w:hint="eastAsia" w:cs="仿宋_GB2312" w:asciiTheme="minorEastAsia" w:hAnsiTheme="minorEastAsia" w:eastAsiaTheme="minorEastAsia"/>
              <w:bCs/>
              <w:sz w:val="24"/>
            </w:rPr>
            <w:t>标的、数量、价款及交（提）货时间</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_Toc216855816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20D10AF">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"_Toc216855817" </w:instrText>
          </w:r>
          <w:r>
            <w:fldChar w:fldCharType="separate"/>
          </w:r>
          <w:r>
            <w:rPr>
              <w:rStyle w:val="16"/>
              <w:rFonts w:cs="仿宋_GB2312" w:asciiTheme="minorEastAsia" w:hAnsiTheme="minorEastAsia" w:eastAsiaTheme="minorEastAsia"/>
              <w:bCs/>
              <w:sz w:val="24"/>
            </w:rPr>
            <w:t>3.</w:t>
          </w:r>
          <w:r>
            <w:rPr>
              <w:rStyle w:val="16"/>
              <w:rFonts w:hint="eastAsia" w:cs="仿宋_GB2312" w:asciiTheme="minorEastAsia" w:hAnsiTheme="minorEastAsia" w:eastAsiaTheme="minorEastAsia"/>
              <w:bCs/>
              <w:sz w:val="24"/>
            </w:rPr>
            <w:t>担保方式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_Toc216855817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339FDED">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"_Toc216855818" </w:instrText>
          </w:r>
          <w:r>
            <w:fldChar w:fldCharType="separate"/>
          </w:r>
          <w:r>
            <w:rPr>
              <w:rStyle w:val="16"/>
              <w:rFonts w:cs="仿宋_GB2312" w:asciiTheme="minorEastAsia" w:hAnsiTheme="minorEastAsia" w:eastAsiaTheme="minorEastAsia"/>
              <w:bCs/>
              <w:sz w:val="24"/>
            </w:rPr>
            <w:t>4.</w:t>
          </w:r>
          <w:r>
            <w:rPr>
              <w:rStyle w:val="16"/>
              <w:rFonts w:hint="eastAsia" w:cs="仿宋_GB2312" w:asciiTheme="minorEastAsia" w:hAnsiTheme="minorEastAsia" w:eastAsiaTheme="minorEastAsia"/>
              <w:bCs/>
              <w:sz w:val="24"/>
            </w:rPr>
            <w:t>产品保证及质量标准</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_Toc216855818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3CA0A97">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"_Toc216855819" </w:instrText>
          </w:r>
          <w:r>
            <w:fldChar w:fldCharType="separate"/>
          </w:r>
          <w:r>
            <w:rPr>
              <w:rStyle w:val="16"/>
              <w:rFonts w:cs="仿宋_GB2312" w:asciiTheme="minorEastAsia" w:hAnsiTheme="minorEastAsia" w:eastAsiaTheme="minorEastAsia"/>
              <w:bCs/>
              <w:sz w:val="24"/>
            </w:rPr>
            <w:t>5.</w:t>
          </w:r>
          <w:r>
            <w:rPr>
              <w:rStyle w:val="16"/>
              <w:rFonts w:hint="eastAsia" w:cs="仿宋_GB2312" w:asciiTheme="minorEastAsia" w:hAnsiTheme="minorEastAsia" w:eastAsiaTheme="minorEastAsia"/>
              <w:bCs/>
              <w:sz w:val="24"/>
            </w:rPr>
            <w:t>包装标准、包装物的供应与回收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_Toc216855819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D0C1806">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"_Toc216855820" </w:instrText>
          </w:r>
          <w:r>
            <w:fldChar w:fldCharType="separate"/>
          </w:r>
          <w:r>
            <w:rPr>
              <w:rStyle w:val="16"/>
              <w:rFonts w:cs="仿宋_GB2312" w:asciiTheme="minorEastAsia" w:hAnsiTheme="minorEastAsia" w:eastAsiaTheme="minorEastAsia"/>
              <w:bCs/>
              <w:sz w:val="24"/>
            </w:rPr>
            <w:t>6.</w:t>
          </w:r>
          <w:r>
            <w:rPr>
              <w:rStyle w:val="16"/>
              <w:rFonts w:hint="eastAsia" w:cs="仿宋_GB2312" w:asciiTheme="minorEastAsia" w:hAnsiTheme="minorEastAsia" w:eastAsiaTheme="minorEastAsia"/>
              <w:bCs/>
              <w:sz w:val="24"/>
            </w:rPr>
            <w:t>货物运输</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_Toc216855820 \h </w:instrText>
          </w:r>
          <w:r>
            <w:rPr>
              <w:rFonts w:asciiTheme="minorEastAsia" w:hAnsiTheme="minorEastAsia" w:eastAsiaTheme="minorEastAsia"/>
              <w:sz w:val="24"/>
            </w:rPr>
            <w:fldChar w:fldCharType="separate"/>
          </w:r>
          <w:r>
            <w:rPr>
              <w:rFonts w:asciiTheme="minorEastAsia" w:hAnsiTheme="minorEastAsia" w:eastAsiaTheme="minorEastAsia"/>
              <w:sz w:val="24"/>
            </w:rPr>
            <w:t>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EBA2685">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"_Toc216855821" </w:instrText>
          </w:r>
          <w:r>
            <w:fldChar w:fldCharType="separate"/>
          </w:r>
          <w:r>
            <w:rPr>
              <w:rStyle w:val="16"/>
              <w:rFonts w:cs="仿宋_GB2312" w:asciiTheme="minorEastAsia" w:hAnsiTheme="minorEastAsia" w:eastAsiaTheme="minorEastAsia"/>
              <w:bCs/>
              <w:sz w:val="24"/>
            </w:rPr>
            <w:t>7.</w:t>
          </w:r>
          <w:r>
            <w:rPr>
              <w:rStyle w:val="16"/>
              <w:rFonts w:hint="eastAsia" w:cs="仿宋_GB2312" w:asciiTheme="minorEastAsia" w:hAnsiTheme="minorEastAsia" w:eastAsiaTheme="minorEastAsia"/>
              <w:bCs/>
              <w:sz w:val="24"/>
            </w:rPr>
            <w:t>交（提）货方式、地点</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_Toc216855821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9005B8E">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"_Toc216855835" </w:instrText>
          </w:r>
          <w:r>
            <w:fldChar w:fldCharType="separate"/>
          </w:r>
          <w:r>
            <w:rPr>
              <w:rStyle w:val="16"/>
              <w:rFonts w:cs="仿宋_GB2312" w:asciiTheme="minorEastAsia" w:hAnsiTheme="minorEastAsia" w:eastAsiaTheme="minorEastAsia"/>
              <w:bCs/>
              <w:sz w:val="24"/>
            </w:rPr>
            <w:t>8.</w:t>
          </w:r>
          <w:r>
            <w:rPr>
              <w:rStyle w:val="16"/>
              <w:rFonts w:hint="eastAsia" w:cs="仿宋_GB2312" w:asciiTheme="minorEastAsia" w:hAnsiTheme="minorEastAsia" w:eastAsiaTheme="minorEastAsia"/>
              <w:bCs/>
              <w:sz w:val="24"/>
            </w:rPr>
            <w:t>检测和验收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_Toc216855835 \h </w:instrText>
          </w:r>
          <w:r>
            <w:rPr>
              <w:rFonts w:asciiTheme="minorEastAsia" w:hAnsiTheme="minorEastAsia" w:eastAsiaTheme="minorEastAsia"/>
              <w:sz w:val="24"/>
            </w:rPr>
            <w:fldChar w:fldCharType="separate"/>
          </w:r>
          <w:r>
            <w:rPr>
              <w:rFonts w:asciiTheme="minorEastAsia" w:hAnsiTheme="minorEastAsia" w:eastAsiaTheme="minorEastAsia"/>
              <w:sz w:val="24"/>
            </w:rPr>
            <w:t>13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9BDC30B">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"_Toc216855836" </w:instrText>
          </w:r>
          <w:r>
            <w:fldChar w:fldCharType="separate"/>
          </w:r>
          <w:r>
            <w:rPr>
              <w:rStyle w:val="16"/>
              <w:rFonts w:cs="仿宋_GB2312" w:asciiTheme="minorEastAsia" w:hAnsiTheme="minorEastAsia" w:eastAsiaTheme="minorEastAsia"/>
              <w:bCs/>
              <w:sz w:val="24"/>
            </w:rPr>
            <w:t>9.</w:t>
          </w:r>
          <w:r>
            <w:rPr>
              <w:rStyle w:val="16"/>
              <w:rFonts w:hint="eastAsia" w:cs="仿宋_GB2312" w:asciiTheme="minorEastAsia" w:hAnsiTheme="minorEastAsia" w:eastAsiaTheme="minorEastAsia"/>
              <w:bCs/>
              <w:sz w:val="24"/>
            </w:rPr>
            <w:t>安装、调试及总体验收</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_Toc216855836 \h </w:instrText>
          </w:r>
          <w:r>
            <w:rPr>
              <w:rFonts w:asciiTheme="minorEastAsia" w:hAnsiTheme="minorEastAsia" w:eastAsiaTheme="minorEastAsia"/>
              <w:sz w:val="24"/>
            </w:rPr>
            <w:fldChar w:fldCharType="separate"/>
          </w:r>
          <w:r>
            <w:rPr>
              <w:rFonts w:asciiTheme="minorEastAsia" w:hAnsiTheme="minorEastAsia" w:eastAsiaTheme="minorEastAsia"/>
              <w:sz w:val="24"/>
            </w:rPr>
            <w:t>15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E6C63A2">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"_Toc216855837" </w:instrText>
          </w:r>
          <w:r>
            <w:fldChar w:fldCharType="separate"/>
          </w:r>
          <w:r>
            <w:rPr>
              <w:rStyle w:val="16"/>
              <w:rFonts w:cs="仿宋_GB2312" w:asciiTheme="minorEastAsia" w:hAnsiTheme="minorEastAsia" w:eastAsiaTheme="minorEastAsia"/>
              <w:bCs/>
              <w:sz w:val="24"/>
            </w:rPr>
            <w:t>10.</w:t>
          </w:r>
          <w:r>
            <w:rPr>
              <w:rStyle w:val="16"/>
              <w:rFonts w:hint="eastAsia" w:cs="仿宋_GB2312" w:asciiTheme="minorEastAsia" w:hAnsiTheme="minorEastAsia" w:eastAsiaTheme="minorEastAsia"/>
              <w:bCs/>
              <w:sz w:val="24"/>
            </w:rPr>
            <w:t>结算及付款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_Toc216855837 \h </w:instrText>
          </w:r>
          <w:r>
            <w:rPr>
              <w:rFonts w:asciiTheme="minorEastAsia" w:hAnsiTheme="minorEastAsia" w:eastAsiaTheme="minorEastAsia"/>
              <w:sz w:val="24"/>
            </w:rPr>
            <w:fldChar w:fldCharType="separate"/>
          </w:r>
          <w:r>
            <w:rPr>
              <w:rFonts w:asciiTheme="minorEastAsia" w:hAnsiTheme="minorEastAsia" w:eastAsiaTheme="minorEastAsia"/>
              <w:sz w:val="24"/>
            </w:rPr>
            <w:t>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020A924">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"_Toc216855838" </w:instrText>
          </w:r>
          <w:r>
            <w:fldChar w:fldCharType="separate"/>
          </w:r>
          <w:r>
            <w:rPr>
              <w:rStyle w:val="16"/>
              <w:rFonts w:cs="仿宋_GB2312" w:asciiTheme="minorEastAsia" w:hAnsiTheme="minorEastAsia" w:eastAsiaTheme="minorEastAsia"/>
              <w:bCs/>
              <w:sz w:val="24"/>
            </w:rPr>
            <w:t>11.</w:t>
          </w:r>
          <w:r>
            <w:rPr>
              <w:rStyle w:val="16"/>
              <w:rFonts w:hint="eastAsia" w:cs="仿宋_GB2312" w:asciiTheme="minorEastAsia" w:hAnsiTheme="minorEastAsia" w:eastAsiaTheme="minorEastAsia"/>
              <w:bCs/>
              <w:sz w:val="24"/>
            </w:rPr>
            <w:t>质量保证期</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_Toc216855838 \h </w:instrText>
          </w:r>
          <w:r>
            <w:rPr>
              <w:rFonts w:asciiTheme="minorEastAsia" w:hAnsiTheme="minorEastAsia" w:eastAsiaTheme="minorEastAsia"/>
              <w:sz w:val="24"/>
            </w:rPr>
            <w:fldChar w:fldCharType="separate"/>
          </w:r>
          <w:r>
            <w:rPr>
              <w:rFonts w:asciiTheme="minorEastAsia" w:hAnsiTheme="minorEastAsia" w:eastAsiaTheme="minorEastAsia"/>
              <w:sz w:val="24"/>
            </w:rPr>
            <w:t>19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051F01B">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"_Toc216855839" </w:instrText>
          </w:r>
          <w:r>
            <w:fldChar w:fldCharType="separate"/>
          </w:r>
          <w:r>
            <w:rPr>
              <w:rStyle w:val="16"/>
              <w:rFonts w:cs="仿宋_GB2312" w:asciiTheme="minorEastAsia" w:hAnsiTheme="minorEastAsia" w:eastAsiaTheme="minorEastAsia"/>
              <w:bCs/>
              <w:sz w:val="24"/>
            </w:rPr>
            <w:t>12.</w:t>
          </w:r>
          <w:r>
            <w:rPr>
              <w:rStyle w:val="16"/>
              <w:rFonts w:hint="eastAsia" w:cs="仿宋_GB2312" w:asciiTheme="minorEastAsia" w:hAnsiTheme="minorEastAsia" w:eastAsiaTheme="minorEastAsia"/>
              <w:bCs/>
              <w:sz w:val="24"/>
            </w:rPr>
            <w:t>合同的变更与解除</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_Toc216855839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2CA4788">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"_Toc216855840" </w:instrText>
          </w:r>
          <w:r>
            <w:fldChar w:fldCharType="separate"/>
          </w:r>
          <w:r>
            <w:rPr>
              <w:rStyle w:val="16"/>
              <w:rFonts w:cs="仿宋_GB2312" w:asciiTheme="minorEastAsia" w:hAnsiTheme="minorEastAsia" w:eastAsiaTheme="minorEastAsia"/>
              <w:bCs/>
              <w:sz w:val="24"/>
            </w:rPr>
            <w:t>13.</w:t>
          </w:r>
          <w:r>
            <w:rPr>
              <w:rStyle w:val="16"/>
              <w:rFonts w:hint="eastAsia" w:cs="仿宋_GB2312" w:asciiTheme="minorEastAsia" w:hAnsiTheme="minorEastAsia" w:eastAsiaTheme="minorEastAsia"/>
              <w:bCs/>
              <w:sz w:val="24"/>
            </w:rPr>
            <w:t>违约责任</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_Toc216855840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C913A34">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"_Toc216855841" </w:instrText>
          </w:r>
          <w:r>
            <w:fldChar w:fldCharType="separate"/>
          </w:r>
          <w:r>
            <w:rPr>
              <w:rStyle w:val="16"/>
              <w:rFonts w:cs="仿宋_GB2312" w:asciiTheme="minorEastAsia" w:hAnsiTheme="minorEastAsia" w:eastAsiaTheme="minorEastAsia"/>
              <w:bCs/>
              <w:sz w:val="24"/>
            </w:rPr>
            <w:t>14.</w:t>
          </w:r>
          <w:r>
            <w:rPr>
              <w:rStyle w:val="16"/>
              <w:rFonts w:hint="eastAsia" w:cs="仿宋_GB2312" w:asciiTheme="minorEastAsia" w:hAnsiTheme="minorEastAsia" w:eastAsiaTheme="minorEastAsia"/>
              <w:bCs/>
              <w:sz w:val="24"/>
            </w:rPr>
            <w:t>不可抗力</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_Toc216855841 \h </w:instrText>
          </w:r>
          <w:r>
            <w:rPr>
              <w:rFonts w:asciiTheme="minorEastAsia" w:hAnsiTheme="minorEastAsia" w:eastAsiaTheme="minorEastAsia"/>
              <w:sz w:val="24"/>
            </w:rPr>
            <w:fldChar w:fldCharType="separate"/>
          </w:r>
          <w:r>
            <w:rPr>
              <w:rFonts w:asciiTheme="minorEastAsia" w:hAnsiTheme="minorEastAsia" w:eastAsiaTheme="minorEastAsia"/>
              <w:sz w:val="24"/>
            </w:rPr>
            <w:t>24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DC84D25">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"_Toc216855842" </w:instrText>
          </w:r>
          <w:r>
            <w:fldChar w:fldCharType="separate"/>
          </w:r>
          <w:r>
            <w:rPr>
              <w:rStyle w:val="16"/>
              <w:rFonts w:cs="仿宋_GB2312" w:asciiTheme="minorEastAsia" w:hAnsiTheme="minorEastAsia" w:eastAsiaTheme="minorEastAsia"/>
              <w:bCs/>
              <w:sz w:val="24"/>
            </w:rPr>
            <w:t>15.</w:t>
          </w:r>
          <w:r>
            <w:rPr>
              <w:rStyle w:val="16"/>
              <w:rFonts w:hint="eastAsia" w:cs="仿宋_GB2312" w:asciiTheme="minorEastAsia" w:hAnsiTheme="minorEastAsia" w:eastAsiaTheme="minorEastAsia"/>
              <w:bCs/>
              <w:sz w:val="24"/>
            </w:rPr>
            <w:t>知识产权及保密</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_Toc216855842 \h </w:instrText>
          </w:r>
          <w:r>
            <w:rPr>
              <w:rFonts w:asciiTheme="minorEastAsia" w:hAnsiTheme="minorEastAsia" w:eastAsiaTheme="minorEastAsia"/>
              <w:sz w:val="24"/>
            </w:rPr>
            <w:fldChar w:fldCharType="separate"/>
          </w:r>
          <w:r>
            <w:rPr>
              <w:rFonts w:asciiTheme="minorEastAsia" w:hAnsiTheme="minorEastAsia" w:eastAsiaTheme="minorEastAsia"/>
              <w:sz w:val="24"/>
            </w:rPr>
            <w:t>25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84EC4FF">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"_Toc216855844" </w:instrText>
          </w:r>
          <w:r>
            <w:fldChar w:fldCharType="separate"/>
          </w:r>
          <w:r>
            <w:rPr>
              <w:rStyle w:val="16"/>
              <w:rFonts w:cs="仿宋_GB2312" w:asciiTheme="minorEastAsia" w:hAnsiTheme="minorEastAsia" w:eastAsiaTheme="minorEastAsia"/>
              <w:bCs/>
              <w:sz w:val="24"/>
            </w:rPr>
            <w:t>16.</w:t>
          </w:r>
          <w:r>
            <w:rPr>
              <w:rStyle w:val="16"/>
              <w:rFonts w:hint="eastAsia" w:cs="仿宋_GB2312" w:asciiTheme="minorEastAsia" w:hAnsiTheme="minorEastAsia" w:eastAsiaTheme="minorEastAsia"/>
              <w:bCs/>
              <w:sz w:val="24"/>
            </w:rPr>
            <w:t>争议解决</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_Toc216855844 \h </w:instrText>
          </w:r>
          <w:r>
            <w:rPr>
              <w:rFonts w:asciiTheme="minorEastAsia" w:hAnsiTheme="minorEastAsia" w:eastAsiaTheme="minorEastAsia"/>
              <w:sz w:val="24"/>
            </w:rPr>
            <w:fldChar w:fldCharType="separate"/>
          </w:r>
          <w:r>
            <w:rPr>
              <w:rFonts w:asciiTheme="minorEastAsia" w:hAnsiTheme="minorEastAsia" w:eastAsiaTheme="minorEastAsia"/>
              <w:sz w:val="24"/>
            </w:rPr>
            <w:t>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06AD6D1">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"_Toc216855845" </w:instrText>
          </w:r>
          <w:r>
            <w:fldChar w:fldCharType="separate"/>
          </w:r>
          <w:r>
            <w:rPr>
              <w:rStyle w:val="16"/>
              <w:rFonts w:cs="仿宋_GB2312" w:asciiTheme="minorEastAsia" w:hAnsiTheme="minorEastAsia" w:eastAsiaTheme="minorEastAsia"/>
              <w:bCs/>
              <w:sz w:val="24"/>
            </w:rPr>
            <w:t>17.</w:t>
          </w:r>
          <w:r>
            <w:rPr>
              <w:rStyle w:val="16"/>
              <w:rFonts w:hint="eastAsia" w:cs="仿宋_GB2312" w:asciiTheme="minorEastAsia" w:hAnsiTheme="minorEastAsia" w:eastAsiaTheme="minorEastAsia"/>
              <w:bCs/>
              <w:sz w:val="24"/>
            </w:rPr>
            <w:t>送达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_Toc216855845 \h </w:instrText>
          </w:r>
          <w:r>
            <w:rPr>
              <w:rFonts w:asciiTheme="minorEastAsia" w:hAnsiTheme="minorEastAsia" w:eastAsiaTheme="minorEastAsia"/>
              <w:sz w:val="24"/>
            </w:rPr>
            <w:fldChar w:fldCharType="separate"/>
          </w:r>
          <w:r>
            <w:rPr>
              <w:rFonts w:asciiTheme="minorEastAsia" w:hAnsiTheme="minorEastAsia" w:eastAsiaTheme="minorEastAsia"/>
              <w:sz w:val="24"/>
            </w:rPr>
            <w:t>28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AE268CC">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"_Toc216855846" </w:instrText>
          </w:r>
          <w:r>
            <w:fldChar w:fldCharType="separate"/>
          </w:r>
          <w:r>
            <w:rPr>
              <w:rStyle w:val="16"/>
              <w:rFonts w:cs="仿宋_GB2312" w:asciiTheme="minorEastAsia" w:hAnsiTheme="minorEastAsia" w:eastAsiaTheme="minorEastAsia"/>
              <w:bCs/>
              <w:sz w:val="24"/>
            </w:rPr>
            <w:t>18.</w:t>
          </w:r>
          <w:r>
            <w:rPr>
              <w:rStyle w:val="16"/>
              <w:rFonts w:hint="eastAsia" w:cs="仿宋_GB2312" w:asciiTheme="minorEastAsia" w:hAnsiTheme="minorEastAsia" w:eastAsiaTheme="minorEastAsia"/>
              <w:bCs/>
              <w:sz w:val="24"/>
            </w:rPr>
            <w:t>其他约定</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_Toc216855846 \h </w:instrText>
          </w:r>
          <w:r>
            <w:rPr>
              <w:rFonts w:asciiTheme="minorEastAsia" w:hAnsiTheme="minorEastAsia" w:eastAsiaTheme="minorEastAsia"/>
              <w:sz w:val="24"/>
            </w:rPr>
            <w:fldChar w:fldCharType="separate"/>
          </w:r>
          <w:r>
            <w:rPr>
              <w:rFonts w:asciiTheme="minorEastAsia" w:hAnsiTheme="minorEastAsia" w:eastAsiaTheme="minorEastAsia"/>
              <w:sz w:val="24"/>
            </w:rPr>
            <w:t>29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E64DCB2">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"_Toc216855847" </w:instrText>
          </w:r>
          <w:r>
            <w:fldChar w:fldCharType="separate"/>
          </w:r>
          <w:r>
            <w:rPr>
              <w:rStyle w:val="16"/>
              <w:rFonts w:cs="仿宋_GB2312" w:asciiTheme="minorEastAsia" w:hAnsiTheme="minorEastAsia" w:eastAsiaTheme="minorEastAsia"/>
              <w:bCs/>
              <w:sz w:val="24"/>
            </w:rPr>
            <w:t>19.</w:t>
          </w:r>
          <w:r>
            <w:rPr>
              <w:rStyle w:val="16"/>
              <w:rFonts w:hint="eastAsia" w:cs="仿宋_GB2312" w:asciiTheme="minorEastAsia" w:hAnsiTheme="minorEastAsia" w:eastAsiaTheme="minorEastAsia"/>
              <w:bCs/>
              <w:sz w:val="24"/>
            </w:rPr>
            <w:t>合同生效</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_Toc216855847 \h </w:instrText>
          </w:r>
          <w:r>
            <w:rPr>
              <w:rFonts w:asciiTheme="minorEastAsia" w:hAnsiTheme="minorEastAsia" w:eastAsiaTheme="minorEastAsia"/>
              <w:sz w:val="24"/>
            </w:rPr>
            <w:fldChar w:fldCharType="separate"/>
          </w:r>
          <w:r>
            <w:rPr>
              <w:rFonts w:asciiTheme="minorEastAsia" w:hAnsiTheme="minorEastAsia" w:eastAsiaTheme="minorEastAsia"/>
              <w:sz w:val="24"/>
            </w:rPr>
            <w:t>31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0E27A53">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"_Toc216855848"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1</w:t>
          </w:r>
          <w:r>
            <w:rPr>
              <w:rStyle w:val="16"/>
              <w:rFonts w:hint="eastAsia" w:cs="仿宋_GB2312" w:asciiTheme="minorEastAsia" w:hAnsiTheme="minorEastAsia" w:eastAsiaTheme="minorEastAsia"/>
              <w:bCs/>
              <w:sz w:val="24"/>
            </w:rPr>
            <w:t>：标的物清单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_Toc216855848 \h </w:instrText>
          </w:r>
          <w:r>
            <w:rPr>
              <w:rFonts w:asciiTheme="minorEastAsia" w:hAnsiTheme="minorEastAsia" w:eastAsiaTheme="minorEastAsia"/>
              <w:sz w:val="24"/>
            </w:rPr>
            <w:fldChar w:fldCharType="separate"/>
          </w:r>
          <w:r>
            <w:rPr>
              <w:rFonts w:asciiTheme="minorEastAsia" w:hAnsiTheme="minorEastAsia" w:eastAsiaTheme="minorEastAsia"/>
              <w:sz w:val="24"/>
            </w:rPr>
            <w:t>1</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09A70C8">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"_Toc216855849"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2</w:t>
          </w:r>
          <w:r>
            <w:rPr>
              <w:rStyle w:val="16"/>
              <w:rFonts w:hint="eastAsia" w:cs="仿宋_GB2312" w:asciiTheme="minorEastAsia" w:hAnsiTheme="minorEastAsia" w:eastAsiaTheme="minorEastAsia"/>
              <w:bCs/>
              <w:sz w:val="24"/>
            </w:rPr>
            <w:t>：锅炉产品数据表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_Toc216855849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EC27736">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"_Toc216855850"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3</w:t>
          </w:r>
          <w:r>
            <w:rPr>
              <w:rStyle w:val="16"/>
              <w:rFonts w:hint="eastAsia" w:cs="仿宋_GB2312" w:asciiTheme="minorEastAsia" w:hAnsiTheme="minorEastAsia" w:eastAsiaTheme="minorEastAsia"/>
              <w:bCs/>
              <w:sz w:val="24"/>
            </w:rPr>
            <w:t>：设备供货计划表、安装进度计划表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_Toc216855850 \h </w:instrText>
          </w:r>
          <w:r>
            <w:rPr>
              <w:rFonts w:asciiTheme="minorEastAsia" w:hAnsiTheme="minorEastAsia" w:eastAsiaTheme="minorEastAsia"/>
              <w:sz w:val="24"/>
            </w:rPr>
            <w:fldChar w:fldCharType="separate"/>
          </w:r>
          <w:r>
            <w:rPr>
              <w:rFonts w:asciiTheme="minorEastAsia" w:hAnsiTheme="minorEastAsia" w:eastAsiaTheme="minorEastAsia"/>
              <w:sz w:val="24"/>
            </w:rPr>
            <w:t>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0765B350">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"_Toc216855851"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4</w:t>
          </w:r>
          <w:r>
            <w:rPr>
              <w:rStyle w:val="16"/>
              <w:rFonts w:hint="eastAsia" w:cs="仿宋_GB2312" w:asciiTheme="minorEastAsia" w:hAnsiTheme="minorEastAsia" w:eastAsiaTheme="minorEastAsia"/>
              <w:bCs/>
              <w:sz w:val="24"/>
            </w:rPr>
            <w:t>：技术协议</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_Toc216855851 \h </w:instrText>
          </w:r>
          <w:r>
            <w:rPr>
              <w:rFonts w:asciiTheme="minorEastAsia" w:hAnsiTheme="minorEastAsia" w:eastAsiaTheme="minorEastAsia"/>
              <w:sz w:val="24"/>
            </w:rPr>
            <w:fldChar w:fldCharType="separate"/>
          </w:r>
          <w:r>
            <w:rPr>
              <w:rFonts w:asciiTheme="minorEastAsia" w:hAnsiTheme="minorEastAsia" w:eastAsiaTheme="minorEastAsia"/>
              <w:sz w:val="24"/>
            </w:rPr>
            <w:t>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1602790">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"_Toc216855852"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5</w:t>
          </w:r>
          <w:r>
            <w:rPr>
              <w:rStyle w:val="16"/>
              <w:rFonts w:hint="eastAsia" w:cs="仿宋_GB2312" w:asciiTheme="minorEastAsia" w:hAnsiTheme="minorEastAsia" w:eastAsiaTheme="minorEastAsia"/>
              <w:bCs/>
              <w:sz w:val="24"/>
            </w:rPr>
            <w:t>：现场安装施工安全技术方案</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_Toc216855852 \h </w:instrText>
          </w:r>
          <w:r>
            <w:rPr>
              <w:rFonts w:asciiTheme="minorEastAsia" w:hAnsiTheme="minorEastAsia" w:eastAsiaTheme="minorEastAsia"/>
              <w:sz w:val="24"/>
            </w:rPr>
            <w:fldChar w:fldCharType="separate"/>
          </w:r>
          <w:r>
            <w:rPr>
              <w:rFonts w:asciiTheme="minorEastAsia" w:hAnsiTheme="minorEastAsia" w:eastAsiaTheme="minorEastAsia"/>
              <w:sz w:val="24"/>
            </w:rPr>
            <w:t>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4D4DC9FD">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"_Toc216855853"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6</w:t>
          </w:r>
          <w:r>
            <w:rPr>
              <w:rStyle w:val="16"/>
              <w:rFonts w:hint="eastAsia" w:cs="仿宋_GB2312" w:asciiTheme="minorEastAsia" w:hAnsiTheme="minorEastAsia" w:eastAsiaTheme="minorEastAsia"/>
              <w:bCs/>
              <w:sz w:val="24"/>
            </w:rPr>
            <w:t>：煮炉、试运行、</w:t>
          </w:r>
          <w:r>
            <w:rPr>
              <w:rStyle w:val="16"/>
              <w:rFonts w:hint="eastAsia" w:cs="宋体" w:asciiTheme="minorEastAsia" w:hAnsiTheme="minorEastAsia" w:eastAsiaTheme="minorEastAsia"/>
              <w:bCs/>
              <w:sz w:val="24"/>
            </w:rPr>
            <w:t>耐</w:t>
          </w:r>
          <w:r>
            <w:rPr>
              <w:rStyle w:val="16"/>
              <w:rFonts w:hint="eastAsia" w:cs="___WRD_EMBED_SUB_41" w:asciiTheme="minorEastAsia" w:hAnsiTheme="minorEastAsia" w:eastAsiaTheme="minorEastAsia"/>
              <w:bCs/>
              <w:sz w:val="24"/>
            </w:rPr>
            <w:t>压试验安全技术方案</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_Toc216855853 \h </w:instrText>
          </w:r>
          <w:r>
            <w:rPr>
              <w:rFonts w:asciiTheme="minorEastAsia" w:hAnsiTheme="minorEastAsia" w:eastAsiaTheme="minorEastAsia"/>
              <w:sz w:val="24"/>
            </w:rPr>
            <w:fldChar w:fldCharType="separate"/>
          </w:r>
          <w:r>
            <w:rPr>
              <w:rFonts w:asciiTheme="minorEastAsia" w:hAnsiTheme="minorEastAsia" w:eastAsiaTheme="minorEastAsia"/>
              <w:sz w:val="24"/>
            </w:rPr>
            <w:t>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2D19E651">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"_Toc216855854"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7</w:t>
          </w:r>
          <w:r>
            <w:rPr>
              <w:rStyle w:val="16"/>
              <w:rFonts w:hint="eastAsia" w:cs="仿宋_GB2312" w:asciiTheme="minorEastAsia" w:hAnsiTheme="minorEastAsia" w:eastAsiaTheme="minorEastAsia"/>
              <w:bCs/>
              <w:sz w:val="24"/>
            </w:rPr>
            <w:t>：授权委托书</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_Toc216855854 \h </w:instrText>
          </w:r>
          <w:r>
            <w:rPr>
              <w:rFonts w:asciiTheme="minorEastAsia" w:hAnsiTheme="minorEastAsia" w:eastAsiaTheme="minorEastAsia"/>
              <w:sz w:val="24"/>
            </w:rPr>
            <w:fldChar w:fldCharType="separate"/>
          </w:r>
          <w:r>
            <w:rPr>
              <w:rFonts w:asciiTheme="minorEastAsia" w:hAnsiTheme="minorEastAsia" w:eastAsiaTheme="minorEastAsia"/>
              <w:sz w:val="24"/>
            </w:rPr>
            <w:t>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3BDB8ADD">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"_Toc216855855" </w:instrText>
          </w:r>
          <w:r>
            <w:fldChar w:fldCharType="separate"/>
          </w:r>
          <w:r>
            <w:rPr>
              <w:rStyle w:val="16"/>
              <w:rFonts w:hint="eastAsia" w:cs="仿宋_GB2312" w:asciiTheme="minorEastAsia" w:hAnsiTheme="minorEastAsia" w:eastAsiaTheme="minorEastAsia"/>
              <w:bCs/>
              <w:sz w:val="24"/>
            </w:rPr>
            <w:t>附件</w:t>
          </w:r>
          <w:r>
            <w:rPr>
              <w:rStyle w:val="16"/>
              <w:rFonts w:cs="仿宋_GB2312" w:asciiTheme="minorEastAsia" w:hAnsiTheme="minorEastAsia" w:eastAsiaTheme="minorEastAsia"/>
              <w:bCs/>
              <w:sz w:val="24"/>
            </w:rPr>
            <w:t>8</w:t>
          </w:r>
          <w:r>
            <w:rPr>
              <w:rStyle w:val="16"/>
              <w:rFonts w:hint="eastAsia" w:cs="仿宋_GB2312" w:asciiTheme="minorEastAsia" w:hAnsiTheme="minorEastAsia" w:eastAsiaTheme="minorEastAsia"/>
              <w:bCs/>
              <w:sz w:val="24"/>
            </w:rPr>
            <w:t>：廉洁协议</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_Toc216855855 \h </w:instrText>
          </w:r>
          <w:r>
            <w:rPr>
              <w:rFonts w:asciiTheme="minorEastAsia" w:hAnsiTheme="minorEastAsia" w:eastAsiaTheme="minorEastAsia"/>
              <w:sz w:val="24"/>
            </w:rPr>
            <w:fldChar w:fldCharType="separate"/>
          </w:r>
          <w:r>
            <w:rPr>
              <w:rFonts w:asciiTheme="minorEastAsia" w:hAnsiTheme="minorEastAsia" w:eastAsiaTheme="minorEastAsia"/>
              <w:sz w:val="24"/>
            </w:rPr>
            <w:t>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68D554AF">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"_Toc216855856"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9</w:t>
          </w:r>
          <w:r>
            <w:rPr>
              <w:rStyle w:val="16"/>
              <w:rFonts w:hint="eastAsia" w:cs="仿宋_GB2312" w:asciiTheme="minorEastAsia" w:hAnsiTheme="minorEastAsia" w:eastAsiaTheme="minorEastAsia"/>
              <w:sz w:val="24"/>
            </w:rPr>
            <w:t>：合规保护标准条款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_Toc216855856 \h </w:instrText>
          </w:r>
          <w:r>
            <w:rPr>
              <w:rFonts w:asciiTheme="minorEastAsia" w:hAnsiTheme="minorEastAsia" w:eastAsiaTheme="minorEastAsia"/>
              <w:sz w:val="24"/>
            </w:rPr>
            <w:fldChar w:fldCharType="separate"/>
          </w:r>
          <w:r>
            <w:rPr>
              <w:rFonts w:asciiTheme="minorEastAsia" w:hAnsiTheme="minorEastAsia" w:eastAsiaTheme="minorEastAsia"/>
              <w:sz w:val="24"/>
            </w:rPr>
            <w:t>12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C09A441">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"_Toc216855857"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10</w:t>
          </w:r>
          <w:r>
            <w:rPr>
              <w:rStyle w:val="16"/>
              <w:rFonts w:hint="eastAsia" w:cs="仿宋_GB2312" w:asciiTheme="minorEastAsia" w:hAnsiTheme="minorEastAsia" w:eastAsiaTheme="minorEastAsia"/>
              <w:sz w:val="24"/>
            </w:rPr>
            <w:t>：一年内易损件清单（赠送）</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_Toc216855857 \h </w:instrText>
          </w:r>
          <w:r>
            <w:rPr>
              <w:rFonts w:asciiTheme="minorEastAsia" w:hAnsiTheme="minorEastAsia" w:eastAsiaTheme="minorEastAsia"/>
              <w:sz w:val="24"/>
            </w:rPr>
            <w:fldChar w:fldCharType="separate"/>
          </w:r>
          <w:r>
            <w:rPr>
              <w:rFonts w:asciiTheme="minorEastAsia" w:hAnsiTheme="minorEastAsia" w:eastAsiaTheme="minorEastAsia"/>
              <w:sz w:val="24"/>
            </w:rPr>
            <w:t>17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33E826B">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"_Toc216855858"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11</w:t>
          </w:r>
          <w:r>
            <w:rPr>
              <w:rStyle w:val="16"/>
              <w:rFonts w:hint="eastAsia" w:cs="仿宋_GB2312" w:asciiTheme="minorEastAsia" w:hAnsiTheme="minorEastAsia" w:eastAsiaTheme="minorEastAsia"/>
              <w:sz w:val="24"/>
            </w:rPr>
            <w:t>：专用工具清单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_Toc216855858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F31BFCA">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"_Toc216855859"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12</w:t>
          </w:r>
          <w:r>
            <w:rPr>
              <w:rStyle w:val="16"/>
              <w:rFonts w:hint="eastAsia" w:cs="仿宋_GB2312" w:asciiTheme="minorEastAsia" w:hAnsiTheme="minorEastAsia" w:eastAsiaTheme="minorEastAsia"/>
              <w:sz w:val="24"/>
            </w:rPr>
            <w:t>：安全生产管理协议</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_Toc216855859 \h </w:instrText>
          </w:r>
          <w:r>
            <w:rPr>
              <w:rFonts w:asciiTheme="minorEastAsia" w:hAnsiTheme="minorEastAsia" w:eastAsiaTheme="minorEastAsia"/>
              <w:sz w:val="24"/>
            </w:rPr>
            <w:fldChar w:fldCharType="separate"/>
          </w:r>
          <w:r>
            <w:rPr>
              <w:rFonts w:asciiTheme="minorEastAsia" w:hAnsiTheme="minorEastAsia" w:eastAsiaTheme="minorEastAsia"/>
              <w:sz w:val="24"/>
            </w:rPr>
            <w:t>19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1B5ADEED">
          <w:pPr>
            <w:pStyle w:val="11"/>
            <w:tabs>
              <w:tab w:val="right" w:leader="dot" w:pos="8296"/>
            </w:tabs>
            <w:spacing w:line="276" w:lineRule="auto"/>
            <w:rPr>
              <w:rFonts w:asciiTheme="minorEastAsia" w:hAnsiTheme="minorEastAsia" w:eastAsiaTheme="minorEastAsia" w:cstheme="minorBidi"/>
              <w:sz w:val="24"/>
            </w:rPr>
          </w:pPr>
          <w:r>
            <w:fldChar w:fldCharType="begin"/>
          </w:r>
          <w:r>
            <w:instrText xml:space="preserve"> HYPERLINK \l "_Toc216855860"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13</w:t>
          </w:r>
          <w:r>
            <w:rPr>
              <w:rStyle w:val="16"/>
              <w:rFonts w:hint="eastAsia" w:cs="仿宋_GB2312" w:asciiTheme="minorEastAsia" w:hAnsiTheme="minorEastAsia" w:eastAsiaTheme="minorEastAsia"/>
              <w:sz w:val="24"/>
            </w:rPr>
            <w:t>：</w:t>
          </w:r>
          <w:r>
            <w:rPr>
              <w:rStyle w:val="16"/>
              <w:rFonts w:hint="eastAsia" w:cs="宋体" w:asciiTheme="minorEastAsia" w:hAnsiTheme="minorEastAsia" w:eastAsiaTheme="minorEastAsia"/>
              <w:sz w:val="24"/>
            </w:rPr>
            <w:t>社</w:t>
          </w:r>
          <w:r>
            <w:rPr>
              <w:rStyle w:val="16"/>
              <w:rFonts w:hint="eastAsia" w:cs="___WRD_EMBED_SUB_41" w:asciiTheme="minorEastAsia" w:hAnsiTheme="minorEastAsia" w:eastAsiaTheme="minorEastAsia"/>
              <w:sz w:val="24"/>
            </w:rPr>
            <w:t>会</w:t>
          </w:r>
          <w:r>
            <w:rPr>
              <w:rStyle w:val="16"/>
              <w:rFonts w:hint="eastAsia" w:cs="宋体" w:asciiTheme="minorEastAsia" w:hAnsiTheme="minorEastAsia" w:eastAsiaTheme="minorEastAsia"/>
              <w:sz w:val="24"/>
            </w:rPr>
            <w:t>治</w:t>
          </w:r>
          <w:r>
            <w:rPr>
              <w:rStyle w:val="16"/>
              <w:rFonts w:hint="eastAsia" w:cs="___WRD_EMBED_SUB_41" w:asciiTheme="minorEastAsia" w:hAnsiTheme="minorEastAsia" w:eastAsiaTheme="minorEastAsia"/>
              <w:sz w:val="24"/>
            </w:rPr>
            <w:t>安、综合</w:t>
          </w:r>
          <w:r>
            <w:rPr>
              <w:rStyle w:val="16"/>
              <w:rFonts w:hint="eastAsia" w:cs="宋体" w:asciiTheme="minorEastAsia" w:hAnsiTheme="minorEastAsia" w:eastAsiaTheme="minorEastAsia"/>
              <w:sz w:val="24"/>
            </w:rPr>
            <w:t>治</w:t>
          </w:r>
          <w:r>
            <w:rPr>
              <w:rStyle w:val="16"/>
              <w:rFonts w:hint="eastAsia" w:cs="___WRD_EMBED_SUB_41" w:asciiTheme="minorEastAsia" w:hAnsiTheme="minorEastAsia" w:eastAsiaTheme="minorEastAsia"/>
              <w:sz w:val="24"/>
            </w:rPr>
            <w:t>理协议</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_Toc216855860 \h </w:instrText>
          </w:r>
          <w:r>
            <w:rPr>
              <w:rFonts w:asciiTheme="minorEastAsia" w:hAnsiTheme="minorEastAsia" w:eastAsiaTheme="minorEastAsia"/>
              <w:sz w:val="24"/>
            </w:rPr>
            <w:fldChar w:fldCharType="separate"/>
          </w:r>
          <w:r>
            <w:rPr>
              <w:rFonts w:asciiTheme="minorEastAsia" w:hAnsiTheme="minorEastAsia" w:eastAsiaTheme="minorEastAsia"/>
              <w:sz w:val="24"/>
            </w:rPr>
            <w:t>39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7016F42A">
          <w:pPr>
            <w:pStyle w:val="11"/>
            <w:tabs>
              <w:tab w:val="right" w:leader="dot" w:pos="8296"/>
            </w:tabs>
            <w:spacing w:line="276" w:lineRule="auto"/>
            <w:rPr>
              <w:rFonts w:asciiTheme="minorHAnsi" w:hAnsiTheme="minorHAnsi" w:eastAsiaTheme="minorEastAsia" w:cstheme="minorBidi"/>
              <w:szCs w:val="22"/>
            </w:rPr>
          </w:pPr>
          <w:r>
            <w:fldChar w:fldCharType="begin"/>
          </w:r>
          <w:r>
            <w:instrText xml:space="preserve"> HYPERLINK \l "_Toc216855862" </w:instrText>
          </w:r>
          <w:r>
            <w:fldChar w:fldCharType="separate"/>
          </w:r>
          <w:r>
            <w:rPr>
              <w:rStyle w:val="16"/>
              <w:rFonts w:hint="eastAsia" w:cs="仿宋_GB2312" w:asciiTheme="minorEastAsia" w:hAnsiTheme="minorEastAsia" w:eastAsiaTheme="minorEastAsia"/>
              <w:sz w:val="24"/>
            </w:rPr>
            <w:t>附件</w:t>
          </w:r>
          <w:r>
            <w:rPr>
              <w:rStyle w:val="16"/>
              <w:rFonts w:cs="仿宋_GB2312" w:asciiTheme="minorEastAsia" w:hAnsiTheme="minorEastAsia" w:eastAsiaTheme="minorEastAsia"/>
              <w:sz w:val="24"/>
            </w:rPr>
            <w:t>14:</w:t>
          </w:r>
          <w:r>
            <w:rPr>
              <w:rStyle w:val="16"/>
              <w:rFonts w:hint="eastAsia" w:cs="仿宋_GB2312" w:asciiTheme="minorEastAsia" w:hAnsiTheme="minorEastAsia" w:eastAsiaTheme="minorEastAsia"/>
              <w:sz w:val="24"/>
            </w:rPr>
            <w:t>消防安全管理协议</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_Toc216855862 \h </w:instrText>
          </w:r>
          <w:r>
            <w:rPr>
              <w:rFonts w:asciiTheme="minorEastAsia" w:hAnsiTheme="minorEastAsia" w:eastAsiaTheme="minorEastAsia"/>
              <w:sz w:val="24"/>
            </w:rPr>
            <w:fldChar w:fldCharType="separate"/>
          </w:r>
          <w:r>
            <w:rPr>
              <w:rFonts w:asciiTheme="minorEastAsia" w:hAnsiTheme="minorEastAsia" w:eastAsiaTheme="minorEastAsia"/>
              <w:sz w:val="24"/>
            </w:rPr>
            <w:t>43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14:paraId="53E6E2ED">
          <w:pPr>
            <w:snapToGrid w:val="0"/>
            <w:spacing w:line="360" w:lineRule="auto"/>
            <w:rPr>
              <w:rFonts w:ascii="宋体" w:hAnsi="宋体" w:cs="宋体"/>
              <w:bCs/>
              <w:color w:val="000000" w:themeColor="text1"/>
              <w:szCs w:val="28"/>
            </w:rPr>
          </w:pPr>
          <w:r>
            <w:rPr>
              <w:rFonts w:hint="eastAsia" w:ascii="宋体" w:hAnsi="宋体" w:cs="宋体"/>
              <w:bCs/>
              <w:color w:val="000000" w:themeColor="text1"/>
              <w:sz w:val="24"/>
            </w:rPr>
            <w:fldChar w:fldCharType="end"/>
          </w:r>
        </w:p>
      </w:sdtContent>
    </w:sdt>
    <w:p w14:paraId="6019F2C6">
      <w:pPr>
        <w:snapToGrid w:val="0"/>
        <w:spacing w:line="360" w:lineRule="auto"/>
        <w:rPr>
          <w:rFonts w:ascii="宋体" w:hAnsi="宋体" w:cs="宋体"/>
          <w:bCs/>
          <w:color w:val="000000" w:themeColor="text1"/>
          <w:szCs w:val="28"/>
        </w:rPr>
      </w:pPr>
    </w:p>
    <w:p w14:paraId="5DB5A533">
      <w:pPr>
        <w:snapToGrid w:val="0"/>
        <w:spacing w:line="360" w:lineRule="auto"/>
        <w:rPr>
          <w:rFonts w:ascii="宋体" w:hAnsi="宋体" w:cs="宋体"/>
          <w:bCs/>
          <w:color w:val="000000" w:themeColor="text1"/>
          <w:szCs w:val="28"/>
        </w:rPr>
      </w:pPr>
    </w:p>
    <w:p w14:paraId="362BF6A6">
      <w:pPr>
        <w:snapToGrid w:val="0"/>
        <w:spacing w:line="360" w:lineRule="auto"/>
        <w:rPr>
          <w:rFonts w:ascii="宋体" w:hAnsi="宋体" w:cs="宋体"/>
          <w:bCs/>
          <w:color w:val="000000" w:themeColor="text1"/>
          <w:szCs w:val="28"/>
        </w:rPr>
      </w:pPr>
    </w:p>
    <w:p w14:paraId="4F467B12">
      <w:pPr>
        <w:snapToGrid w:val="0"/>
        <w:spacing w:line="360" w:lineRule="auto"/>
        <w:rPr>
          <w:rFonts w:ascii="宋体" w:hAnsi="宋体" w:cs="宋体"/>
          <w:bCs/>
          <w:color w:val="000000" w:themeColor="text1"/>
          <w:szCs w:val="28"/>
        </w:rPr>
      </w:pPr>
    </w:p>
    <w:p w14:paraId="54C04C3E">
      <w:pPr>
        <w:snapToGrid w:val="0"/>
        <w:spacing w:line="360" w:lineRule="auto"/>
        <w:rPr>
          <w:rFonts w:ascii="宋体" w:hAnsi="宋体" w:cs="宋体"/>
          <w:bCs/>
          <w:color w:val="000000" w:themeColor="text1"/>
          <w:szCs w:val="28"/>
        </w:rPr>
      </w:pPr>
    </w:p>
    <w:p w14:paraId="189466FF">
      <w:pPr>
        <w:snapToGrid w:val="0"/>
        <w:spacing w:line="360" w:lineRule="auto"/>
        <w:rPr>
          <w:rFonts w:ascii="宋体" w:hAnsi="宋体" w:cs="宋体"/>
          <w:bCs/>
          <w:color w:val="000000" w:themeColor="text1"/>
          <w:szCs w:val="28"/>
        </w:rPr>
      </w:pPr>
    </w:p>
    <w:p w14:paraId="630B2D72">
      <w:pPr>
        <w:snapToGrid w:val="0"/>
        <w:spacing w:line="360" w:lineRule="auto"/>
        <w:rPr>
          <w:rFonts w:ascii="宋体" w:hAnsi="宋体" w:cs="宋体"/>
          <w:bCs/>
          <w:color w:val="000000" w:themeColor="text1"/>
          <w:szCs w:val="28"/>
        </w:rPr>
      </w:pPr>
    </w:p>
    <w:p w14:paraId="7075BA85">
      <w:pPr>
        <w:snapToGrid w:val="0"/>
        <w:spacing w:line="360" w:lineRule="auto"/>
        <w:rPr>
          <w:rFonts w:ascii="宋体" w:hAnsi="宋体" w:cs="宋体"/>
          <w:bCs/>
          <w:color w:val="000000" w:themeColor="text1"/>
          <w:szCs w:val="28"/>
        </w:rPr>
      </w:pPr>
    </w:p>
    <w:p w14:paraId="1F553E58">
      <w:pPr>
        <w:snapToGrid w:val="0"/>
        <w:spacing w:line="360" w:lineRule="auto"/>
        <w:rPr>
          <w:rFonts w:ascii="宋体" w:hAnsi="宋体" w:cs="宋体"/>
          <w:bCs/>
          <w:color w:val="000000" w:themeColor="text1"/>
          <w:szCs w:val="28"/>
        </w:rPr>
      </w:pPr>
    </w:p>
    <w:p w14:paraId="3EB12633">
      <w:pPr>
        <w:snapToGrid w:val="0"/>
        <w:spacing w:line="360" w:lineRule="auto"/>
        <w:rPr>
          <w:rFonts w:ascii="宋体" w:hAnsi="宋体" w:cs="宋体"/>
          <w:bCs/>
          <w:color w:val="000000" w:themeColor="text1"/>
          <w:szCs w:val="28"/>
        </w:rPr>
      </w:pPr>
    </w:p>
    <w:p w14:paraId="0F2E42A3">
      <w:pPr>
        <w:snapToGrid w:val="0"/>
        <w:spacing w:line="360" w:lineRule="auto"/>
        <w:rPr>
          <w:rFonts w:ascii="宋体" w:hAnsi="宋体" w:cs="宋体"/>
          <w:bCs/>
          <w:color w:val="000000" w:themeColor="text1"/>
          <w:szCs w:val="28"/>
        </w:rPr>
      </w:pPr>
    </w:p>
    <w:p w14:paraId="215E6D36">
      <w:pPr>
        <w:snapToGrid w:val="0"/>
        <w:spacing w:line="360" w:lineRule="auto"/>
        <w:rPr>
          <w:rFonts w:ascii="宋体" w:hAnsi="宋体" w:cs="宋体"/>
          <w:bCs/>
          <w:color w:val="000000" w:themeColor="text1"/>
          <w:szCs w:val="28"/>
        </w:rPr>
      </w:pPr>
    </w:p>
    <w:p w14:paraId="6B65D7AB">
      <w:pPr>
        <w:snapToGrid w:val="0"/>
        <w:spacing w:line="360" w:lineRule="auto"/>
        <w:rPr>
          <w:rFonts w:ascii="宋体" w:hAnsi="宋体" w:cs="宋体"/>
          <w:bCs/>
          <w:color w:val="000000" w:themeColor="text1"/>
          <w:szCs w:val="28"/>
        </w:rPr>
      </w:pPr>
    </w:p>
    <w:p w14:paraId="572CD3CA">
      <w:pPr>
        <w:snapToGrid w:val="0"/>
        <w:spacing w:line="360" w:lineRule="auto"/>
        <w:rPr>
          <w:rFonts w:ascii="宋体" w:hAnsi="宋体" w:cs="宋体"/>
          <w:bCs/>
          <w:color w:val="000000" w:themeColor="text1"/>
          <w:szCs w:val="28"/>
        </w:rPr>
      </w:pPr>
    </w:p>
    <w:p w14:paraId="2C2829BF">
      <w:pPr>
        <w:snapToGrid w:val="0"/>
        <w:spacing w:line="360" w:lineRule="auto"/>
        <w:rPr>
          <w:rFonts w:ascii="宋体" w:hAnsi="宋体" w:cs="宋体"/>
          <w:bCs/>
          <w:color w:val="000000" w:themeColor="text1"/>
          <w:szCs w:val="28"/>
        </w:rPr>
      </w:pPr>
    </w:p>
    <w:p w14:paraId="4E1F94F8">
      <w:pPr>
        <w:snapToGrid w:val="0"/>
        <w:spacing w:line="360" w:lineRule="auto"/>
        <w:rPr>
          <w:rFonts w:ascii="宋体" w:hAnsi="宋体" w:cs="宋体"/>
          <w:bCs/>
          <w:color w:val="000000" w:themeColor="text1"/>
          <w:szCs w:val="28"/>
        </w:rPr>
      </w:pPr>
    </w:p>
    <w:p w14:paraId="37BA5264">
      <w:pPr>
        <w:snapToGrid w:val="0"/>
        <w:spacing w:line="360" w:lineRule="auto"/>
        <w:rPr>
          <w:rFonts w:ascii="宋体" w:hAnsi="宋体" w:cs="宋体"/>
          <w:bCs/>
          <w:color w:val="000000" w:themeColor="text1"/>
          <w:szCs w:val="28"/>
        </w:rPr>
      </w:pPr>
    </w:p>
    <w:p w14:paraId="6D161663">
      <w:pPr>
        <w:snapToGrid w:val="0"/>
        <w:spacing w:line="360" w:lineRule="auto"/>
        <w:rPr>
          <w:rFonts w:ascii="宋体" w:hAnsi="宋体" w:cs="宋体"/>
          <w:bCs/>
          <w:color w:val="000000" w:themeColor="text1"/>
          <w:szCs w:val="28"/>
        </w:rPr>
      </w:pPr>
    </w:p>
    <w:p w14:paraId="2F2941D1">
      <w:pPr>
        <w:snapToGrid w:val="0"/>
        <w:spacing w:line="360" w:lineRule="auto"/>
        <w:rPr>
          <w:rFonts w:ascii="宋体" w:hAnsi="宋体" w:cs="宋体"/>
          <w:bCs/>
          <w:color w:val="000000" w:themeColor="text1"/>
          <w:szCs w:val="28"/>
        </w:rPr>
      </w:pPr>
    </w:p>
    <w:p w14:paraId="2588B18C">
      <w:pPr>
        <w:snapToGrid w:val="0"/>
        <w:spacing w:line="360" w:lineRule="auto"/>
        <w:rPr>
          <w:rFonts w:ascii="宋体" w:hAnsi="宋体" w:cs="宋体"/>
          <w:bCs/>
          <w:color w:val="000000" w:themeColor="text1"/>
          <w:szCs w:val="28"/>
        </w:rPr>
      </w:pPr>
    </w:p>
    <w:p w14:paraId="1A8C23FD">
      <w:pPr>
        <w:snapToGrid w:val="0"/>
        <w:spacing w:line="360" w:lineRule="auto"/>
        <w:rPr>
          <w:rFonts w:ascii="宋体" w:hAnsi="宋体" w:cs="宋体"/>
          <w:bCs/>
          <w:color w:val="000000" w:themeColor="text1"/>
          <w:szCs w:val="28"/>
        </w:rPr>
      </w:pPr>
    </w:p>
    <w:p w14:paraId="5CFBD209">
      <w:pPr>
        <w:snapToGrid w:val="0"/>
        <w:spacing w:line="360" w:lineRule="auto"/>
        <w:rPr>
          <w:rFonts w:ascii="宋体" w:hAnsi="宋体" w:cs="宋体"/>
          <w:bCs/>
          <w:color w:val="000000" w:themeColor="text1"/>
          <w:szCs w:val="28"/>
        </w:rPr>
      </w:pPr>
    </w:p>
    <w:p w14:paraId="11BE8841">
      <w:pPr>
        <w:snapToGrid w:val="0"/>
        <w:spacing w:line="360" w:lineRule="auto"/>
        <w:rPr>
          <w:rFonts w:ascii="宋体" w:hAnsi="宋体" w:cs="宋体"/>
          <w:bCs/>
          <w:color w:val="000000" w:themeColor="text1"/>
          <w:szCs w:val="28"/>
        </w:rPr>
      </w:pPr>
    </w:p>
    <w:p w14:paraId="3A2CB6CD">
      <w:pPr>
        <w:snapToGrid w:val="0"/>
        <w:spacing w:line="360" w:lineRule="auto"/>
        <w:rPr>
          <w:rFonts w:ascii="宋体" w:hAnsi="宋体" w:cs="宋体"/>
          <w:bCs/>
          <w:color w:val="000000" w:themeColor="text1"/>
          <w:szCs w:val="28"/>
        </w:rPr>
      </w:pPr>
    </w:p>
    <w:p w14:paraId="17E8EC66">
      <w:pPr>
        <w:snapToGrid w:val="0"/>
        <w:spacing w:line="360" w:lineRule="auto"/>
        <w:rPr>
          <w:rFonts w:ascii="宋体" w:hAnsi="宋体" w:cs="宋体"/>
          <w:bCs/>
          <w:color w:val="000000" w:themeColor="text1"/>
          <w:szCs w:val="28"/>
        </w:rPr>
      </w:pPr>
    </w:p>
    <w:p w14:paraId="616ED36E">
      <w:pPr>
        <w:snapToGrid w:val="0"/>
        <w:spacing w:line="360" w:lineRule="auto"/>
        <w:rPr>
          <w:rFonts w:ascii="宋体" w:hAnsi="宋体" w:cs="宋体"/>
          <w:bCs/>
          <w:color w:val="000000" w:themeColor="text1"/>
          <w:szCs w:val="28"/>
        </w:rPr>
      </w:pPr>
    </w:p>
    <w:p w14:paraId="599B1D46">
      <w:pPr>
        <w:snapToGrid w:val="0"/>
        <w:spacing w:line="360" w:lineRule="auto"/>
        <w:rPr>
          <w:rFonts w:ascii="宋体" w:hAnsi="宋体" w:cs="宋体"/>
          <w:bCs/>
          <w:color w:val="000000" w:themeColor="text1"/>
          <w:szCs w:val="28"/>
        </w:rPr>
      </w:pPr>
    </w:p>
    <w:p w14:paraId="248C36BC">
      <w:pPr>
        <w:snapToGrid w:val="0"/>
        <w:spacing w:line="360" w:lineRule="auto"/>
        <w:rPr>
          <w:rFonts w:ascii="宋体" w:hAnsi="宋体" w:cs="宋体"/>
          <w:bCs/>
          <w:color w:val="000000" w:themeColor="text1"/>
          <w:szCs w:val="28"/>
        </w:rPr>
      </w:pPr>
    </w:p>
    <w:p w14:paraId="0981FEE4">
      <w:pPr>
        <w:snapToGrid w:val="0"/>
        <w:spacing w:line="360" w:lineRule="auto"/>
        <w:rPr>
          <w:rFonts w:ascii="宋体" w:hAnsi="宋体" w:cs="宋体"/>
          <w:bCs/>
          <w:color w:val="000000" w:themeColor="text1"/>
          <w:szCs w:val="28"/>
        </w:rPr>
      </w:pPr>
    </w:p>
    <w:p w14:paraId="5F3A255F">
      <w:pPr>
        <w:snapToGrid w:val="0"/>
        <w:spacing w:line="360" w:lineRule="auto"/>
        <w:rPr>
          <w:rFonts w:ascii="宋体" w:hAnsi="宋体" w:cs="宋体"/>
          <w:bCs/>
          <w:color w:val="000000" w:themeColor="text1"/>
          <w:szCs w:val="28"/>
        </w:rPr>
      </w:pPr>
    </w:p>
    <w:p w14:paraId="51F97484">
      <w:pPr>
        <w:snapToGrid w:val="0"/>
        <w:spacing w:line="360" w:lineRule="auto"/>
        <w:rPr>
          <w:rFonts w:ascii="宋体" w:hAnsi="宋体" w:cs="宋体"/>
          <w:bCs/>
          <w:color w:val="000000" w:themeColor="text1"/>
          <w:szCs w:val="28"/>
        </w:rPr>
      </w:pPr>
    </w:p>
    <w:p w14:paraId="61AF8A3F">
      <w:pPr>
        <w:snapToGrid w:val="0"/>
        <w:spacing w:line="360" w:lineRule="auto"/>
        <w:rPr>
          <w:rFonts w:ascii="宋体" w:hAnsi="宋体" w:cs="宋体"/>
          <w:bCs/>
          <w:color w:val="000000" w:themeColor="text1"/>
          <w:szCs w:val="28"/>
        </w:rPr>
      </w:pPr>
    </w:p>
    <w:p w14:paraId="20EB6E15">
      <w:pPr>
        <w:snapToGrid w:val="0"/>
        <w:spacing w:line="360" w:lineRule="auto"/>
        <w:rPr>
          <w:rFonts w:ascii="宋体" w:hAnsi="宋体" w:cs="宋体"/>
          <w:bCs/>
          <w:color w:val="000000" w:themeColor="text1"/>
          <w:szCs w:val="28"/>
        </w:rPr>
      </w:pPr>
    </w:p>
    <w:p w14:paraId="7EFA3509">
      <w:pPr>
        <w:snapToGrid w:val="0"/>
        <w:spacing w:line="360" w:lineRule="auto"/>
        <w:rPr>
          <w:rFonts w:ascii="宋体" w:hAnsi="宋体" w:cs="宋体"/>
          <w:bCs/>
          <w:color w:val="000000" w:themeColor="text1"/>
          <w:szCs w:val="28"/>
        </w:rPr>
      </w:pPr>
    </w:p>
    <w:p w14:paraId="38F2AA66">
      <w:pPr>
        <w:snapToGrid w:val="0"/>
        <w:spacing w:line="360" w:lineRule="auto"/>
        <w:rPr>
          <w:rFonts w:ascii="宋体" w:hAnsi="宋体" w:cs="宋体"/>
          <w:bCs/>
          <w:color w:val="000000" w:themeColor="text1"/>
          <w:szCs w:val="28"/>
        </w:rPr>
      </w:pPr>
    </w:p>
    <w:p w14:paraId="41EDFA7D">
      <w:pPr>
        <w:snapToGrid w:val="0"/>
        <w:spacing w:line="360" w:lineRule="auto"/>
        <w:rPr>
          <w:rFonts w:ascii="宋体" w:hAnsi="宋体" w:cs="宋体"/>
          <w:bCs/>
          <w:color w:val="000000" w:themeColor="text1"/>
          <w:szCs w:val="28"/>
        </w:rPr>
      </w:pPr>
    </w:p>
    <w:p w14:paraId="388B769D">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根据《中华人民共和国民法典》《中华人民共和国建筑法》及有关法律规定，遵循平等、自愿、公平和诚实信用的原则，</w:t>
      </w:r>
      <w:bookmarkStart w:id="0" w:name="_Hlk187063004"/>
      <w:r>
        <w:rPr>
          <w:rFonts w:hint="eastAsia" w:ascii="仿宋_GB2312" w:hAnsi="仿宋_GB2312" w:eastAsia="仿宋_GB2312" w:cs="仿宋_GB2312"/>
          <w:color w:val="000000" w:themeColor="text1"/>
          <w:sz w:val="32"/>
          <w:szCs w:val="32"/>
        </w:rPr>
        <w:t>为规范合同双方的交易行为，保护双方合法权益，双方就物资材料采购有关事项协商一致，共同达成如下协议</w:t>
      </w:r>
      <w:bookmarkEnd w:id="0"/>
      <w:r>
        <w:rPr>
          <w:rFonts w:hint="eastAsia" w:ascii="仿宋_GB2312" w:hAnsi="仿宋_GB2312" w:eastAsia="仿宋_GB2312" w:cs="仿宋_GB2312"/>
          <w:color w:val="000000" w:themeColor="text1"/>
          <w:sz w:val="32"/>
          <w:szCs w:val="32"/>
        </w:rPr>
        <w:t>：</w:t>
      </w:r>
    </w:p>
    <w:p w14:paraId="565F5D43">
      <w:pPr>
        <w:adjustRightInd w:val="0"/>
        <w:snapToGrid w:val="0"/>
        <w:spacing w:line="520" w:lineRule="exact"/>
        <w:outlineLvl w:val="0"/>
        <w:rPr>
          <w:rFonts w:ascii="仿宋_GB2312" w:hAnsi="仿宋_GB2312" w:eastAsia="仿宋_GB2312" w:cs="仿宋_GB2312"/>
          <w:b/>
          <w:bCs/>
          <w:color w:val="000000" w:themeColor="text1"/>
          <w:sz w:val="32"/>
          <w:szCs w:val="32"/>
        </w:rPr>
      </w:pPr>
      <w:bookmarkStart w:id="1" w:name="_Toc22259"/>
      <w:bookmarkStart w:id="2" w:name="_Toc216855815"/>
      <w:r>
        <w:rPr>
          <w:rFonts w:hint="eastAsia" w:ascii="仿宋_GB2312" w:hAnsi="仿宋_GB2312" w:eastAsia="仿宋_GB2312" w:cs="仿宋_GB2312"/>
          <w:b/>
          <w:bCs/>
          <w:color w:val="000000" w:themeColor="text1"/>
          <w:sz w:val="32"/>
          <w:szCs w:val="32"/>
        </w:rPr>
        <w:t>1.货物供应、安装工程概况</w:t>
      </w:r>
      <w:bookmarkEnd w:id="1"/>
      <w:bookmarkEnd w:id="2"/>
    </w:p>
    <w:p w14:paraId="65B689D2">
      <w:pPr>
        <w:adjustRightInd w:val="0"/>
        <w:snapToGrid w:val="0"/>
        <w:spacing w:line="520" w:lineRule="exact"/>
        <w:ind w:firstLine="640" w:firstLineChars="200"/>
        <w:rPr>
          <w:rFonts w:ascii="仿宋_GB2312" w:hAnsi="仿宋_GB2312" w:eastAsia="仿宋_GB2312" w:cs="仿宋_GB2312"/>
          <w:color w:val="000000" w:themeColor="text1"/>
          <w:sz w:val="32"/>
          <w:szCs w:val="32"/>
          <w:u w:val="single"/>
        </w:rPr>
      </w:pPr>
      <w:bookmarkStart w:id="3" w:name="_Hlk187063052"/>
      <w:r>
        <w:rPr>
          <w:rFonts w:hint="eastAsia" w:ascii="仿宋_GB2312" w:hAnsi="仿宋_GB2312" w:eastAsia="仿宋_GB2312" w:cs="仿宋_GB2312"/>
          <w:color w:val="000000" w:themeColor="text1"/>
          <w:sz w:val="32"/>
          <w:szCs w:val="32"/>
        </w:rPr>
        <w:t>1.1 项目名称：</w:t>
      </w:r>
      <w:r>
        <w:rPr>
          <w:rFonts w:hint="eastAsia" w:ascii="仿宋_GB2312" w:hAnsi="仿宋_GB2312" w:eastAsia="仿宋_GB2312" w:cs="仿宋_GB2312"/>
          <w:b/>
          <w:color w:val="000000" w:themeColor="text1"/>
          <w:sz w:val="32"/>
          <w:szCs w:val="32"/>
          <w:u w:val="single"/>
        </w:rPr>
        <w:t>四川宏达股份有限公司什邡有色金属分公司10万吨/年烟气制酸装置沸腾炉和余热锅炉安全更新及环保设施升级改造项目采购—余热锅炉</w:t>
      </w:r>
    </w:p>
    <w:p w14:paraId="197C8470">
      <w:pPr>
        <w:adjustRightInd w:val="0"/>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1.2 项目地点：</w:t>
      </w:r>
      <w:r>
        <w:rPr>
          <w:rFonts w:hint="eastAsia" w:ascii="仿宋_GB2312" w:hAnsi="仿宋_GB2312" w:eastAsia="仿宋_GB2312" w:cs="仿宋_GB2312"/>
          <w:b/>
          <w:color w:val="000000" w:themeColor="text1"/>
          <w:sz w:val="32"/>
          <w:szCs w:val="32"/>
          <w:u w:val="single"/>
        </w:rPr>
        <w:t>四川省德阳市什邡市师古镇四川宏达股份有限公司有色金属分公司</w:t>
      </w:r>
    </w:p>
    <w:p w14:paraId="5BC42DAB">
      <w:pPr>
        <w:adjustRightInd w:val="0"/>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1.3 供应链平台采购计划编码：</w:t>
      </w:r>
    </w:p>
    <w:bookmarkEnd w:id="3"/>
    <w:p w14:paraId="155F22E4">
      <w:pPr>
        <w:adjustRightInd w:val="0"/>
        <w:snapToGrid w:val="0"/>
        <w:spacing w:line="520" w:lineRule="exact"/>
        <w:outlineLvl w:val="0"/>
        <w:rPr>
          <w:rFonts w:ascii="仿宋_GB2312" w:hAnsi="仿宋_GB2312" w:eastAsia="仿宋_GB2312" w:cs="仿宋_GB2312"/>
          <w:b/>
          <w:bCs/>
          <w:color w:val="000000" w:themeColor="text1"/>
          <w:sz w:val="32"/>
          <w:szCs w:val="32"/>
        </w:rPr>
      </w:pPr>
      <w:bookmarkStart w:id="4" w:name="_Toc2749"/>
      <w:bookmarkStart w:id="5" w:name="_Toc216855816"/>
      <w:r>
        <w:rPr>
          <w:rFonts w:hint="eastAsia" w:ascii="仿宋_GB2312" w:hAnsi="仿宋_GB2312" w:eastAsia="仿宋_GB2312" w:cs="仿宋_GB2312"/>
          <w:b/>
          <w:bCs/>
          <w:color w:val="000000" w:themeColor="text1"/>
          <w:sz w:val="32"/>
          <w:szCs w:val="32"/>
        </w:rPr>
        <w:t>2.标的、数量、价款及交（提）货时间</w:t>
      </w:r>
      <w:bookmarkEnd w:id="4"/>
      <w:bookmarkEnd w:id="5"/>
    </w:p>
    <w:p w14:paraId="76997ABC">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bookmarkStart w:id="6" w:name="_Hlk187063141"/>
      <w:r>
        <w:rPr>
          <w:rFonts w:hint="eastAsia" w:ascii="仿宋_GB2312" w:hAnsi="仿宋_GB2312" w:eastAsia="仿宋_GB2312" w:cs="仿宋_GB2312"/>
          <w:color w:val="000000" w:themeColor="text1"/>
          <w:sz w:val="32"/>
          <w:szCs w:val="32"/>
        </w:rPr>
        <w:t>2.1 乙方同意向甲方提供如下标准物资（以下有时简称“产品”或“标的物”）：</w:t>
      </w:r>
      <w:r>
        <w:rPr>
          <w:rFonts w:hint="eastAsia" w:ascii="仿宋_GB2312" w:hAnsi="仿宋_GB2312" w:eastAsia="仿宋_GB2312" w:cs="仿宋_GB2312"/>
          <w:color w:val="000000" w:themeColor="text1"/>
          <w:sz w:val="32"/>
          <w:szCs w:val="32"/>
          <w:u w:val="single"/>
        </w:rPr>
        <w:t>供货范围、规格、型号、数量等详见附件1《标的物清单》。</w:t>
      </w:r>
    </w:p>
    <w:p w14:paraId="06D492BF">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2.2 签约合同价：</w:t>
      </w:r>
    </w:p>
    <w:p w14:paraId="218E956C">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合同价款人民币</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元（大写：</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）；其中：含税货款：</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元，税率</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%；安装费：</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元，税率</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%。如合同执行过程中出现国家出台税率调整政策的情况，应按原合同不含税价格与政策变更后税率计算税额，确定含税合同价款。 </w:t>
      </w:r>
    </w:p>
    <w:p w14:paraId="5FE035B9">
      <w:pPr>
        <w:adjustRightInd w:val="0"/>
        <w:snapToGrid w:val="0"/>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乙方供应量不得超过合同附件1标的物清单量（属于交货公差或另有约定的除外），甲方对超过部分不承担保管义务和付款义务，双方另行签订补充协议的除外。</w:t>
      </w:r>
    </w:p>
    <w:p w14:paraId="6882B9D4">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2.3 合同交付周期（含设备设计、制造、出厂检验、运输、装卸、安装、调试、试验和监督检验、具备煮炉点火试运行条件）：</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日历天，其中：货物交货期</w:t>
      </w:r>
      <w:r>
        <w:rPr>
          <w:rFonts w:hint="eastAsia" w:ascii="仿宋_GB2312" w:hAnsi="仿宋_GB2312" w:eastAsia="仿宋_GB2312" w:cs="仿宋_GB2312"/>
          <w:color w:val="000000" w:themeColor="text1"/>
          <w:sz w:val="32"/>
          <w:szCs w:val="32"/>
          <w:u w:val="single"/>
        </w:rPr>
        <w:t xml:space="preserve">       xxxx</w:t>
      </w:r>
      <w:r>
        <w:rPr>
          <w:rFonts w:hint="eastAsia" w:ascii="仿宋_GB2312" w:hAnsi="仿宋_GB2312" w:eastAsia="仿宋_GB2312" w:cs="仿宋_GB2312"/>
          <w:color w:val="000000" w:themeColor="text1"/>
          <w:sz w:val="32"/>
          <w:szCs w:val="32"/>
        </w:rPr>
        <w:t>日历天，乙方应于上述约定时间内将产品全部交付完毕，产品所有权自完成竣工验收之日起转移至甲方。</w:t>
      </w:r>
    </w:p>
    <w:p w14:paraId="04F0B7D0">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乙方应在交货</w:t>
      </w:r>
      <w:r>
        <w:rPr>
          <w:rFonts w:hint="eastAsia" w:ascii="仿宋_GB2312" w:hAnsi="仿宋_GB2312" w:eastAsia="仿宋_GB2312" w:cs="仿宋_GB2312"/>
          <w:color w:val="000000" w:themeColor="text1"/>
          <w:sz w:val="32"/>
          <w:szCs w:val="32"/>
          <w:u w:val="single"/>
        </w:rPr>
        <w:t xml:space="preserve"> 10 </w:t>
      </w:r>
      <w:r>
        <w:rPr>
          <w:rFonts w:hint="eastAsia" w:ascii="仿宋_GB2312" w:hAnsi="仿宋_GB2312" w:eastAsia="仿宋_GB2312" w:cs="仿宋_GB2312"/>
          <w:color w:val="000000" w:themeColor="text1"/>
          <w:sz w:val="32"/>
          <w:szCs w:val="32"/>
        </w:rPr>
        <w:t>日历天之前，将发货事项通知甲方，甲方在收到乙方通知后，应尽快向乙方确认交货地点与交货日期。</w:t>
      </w:r>
    </w:p>
    <w:p w14:paraId="721A339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交货地点由甲方指定交货地点，所有产品配送到指定地点后，甲方安排专人签收，并负责保管好设备。甲方验收之前的运输、保管及相关费用及一切风险责任由乙方负责。</w:t>
      </w:r>
    </w:p>
    <w:bookmarkEnd w:id="6"/>
    <w:p w14:paraId="7323A596">
      <w:pPr>
        <w:adjustRightInd w:val="0"/>
        <w:snapToGrid w:val="0"/>
        <w:spacing w:line="520" w:lineRule="exact"/>
        <w:outlineLvl w:val="0"/>
        <w:rPr>
          <w:rFonts w:ascii="仿宋_GB2312" w:hAnsi="仿宋_GB2312" w:eastAsia="仿宋_GB2312" w:cs="仿宋_GB2312"/>
          <w:b/>
          <w:bCs/>
          <w:color w:val="000000" w:themeColor="text1"/>
          <w:sz w:val="32"/>
          <w:szCs w:val="32"/>
        </w:rPr>
      </w:pPr>
      <w:bookmarkStart w:id="7" w:name="_Toc29563"/>
      <w:bookmarkStart w:id="8" w:name="_Toc216855817"/>
      <w:r>
        <w:rPr>
          <w:rFonts w:hint="eastAsia" w:ascii="仿宋_GB2312" w:hAnsi="仿宋_GB2312" w:eastAsia="仿宋_GB2312" w:cs="仿宋_GB2312"/>
          <w:b/>
          <w:bCs/>
          <w:color w:val="000000" w:themeColor="text1"/>
          <w:sz w:val="32"/>
          <w:szCs w:val="32"/>
        </w:rPr>
        <w:t>3.担保方式</w:t>
      </w:r>
      <w:bookmarkEnd w:id="7"/>
      <w:bookmarkEnd w:id="8"/>
    </w:p>
    <w:p w14:paraId="6008422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bookmarkStart w:id="9" w:name="_Hlk187065594"/>
      <w:r>
        <w:rPr>
          <w:rFonts w:hint="eastAsia" w:ascii="仿宋_GB2312" w:hAnsi="仿宋_GB2312" w:eastAsia="仿宋_GB2312" w:cs="仿宋_GB2312"/>
          <w:color w:val="000000" w:themeColor="text1"/>
          <w:sz w:val="32"/>
          <w:szCs w:val="32"/>
        </w:rPr>
        <w:t>3.1 担保方式选择以下第</w:t>
      </w:r>
      <w:r>
        <w:rPr>
          <w:rFonts w:hint="eastAsia" w:ascii="仿宋_GB2312" w:hAnsi="仿宋_GB2312" w:eastAsia="仿宋_GB2312" w:cs="仿宋_GB2312"/>
          <w:color w:val="000000" w:themeColor="text1"/>
          <w:sz w:val="32"/>
          <w:szCs w:val="32"/>
          <w:u w:val="single"/>
        </w:rPr>
        <w:t xml:space="preserve">  3  </w:t>
      </w:r>
      <w:r>
        <w:rPr>
          <w:rFonts w:hint="eastAsia" w:ascii="仿宋_GB2312" w:hAnsi="仿宋_GB2312" w:eastAsia="仿宋_GB2312" w:cs="仿宋_GB2312"/>
          <w:color w:val="000000" w:themeColor="text1"/>
          <w:sz w:val="32"/>
          <w:szCs w:val="32"/>
        </w:rPr>
        <w:t>种方式：</w:t>
      </w:r>
    </w:p>
    <w:p w14:paraId="21E4F3A7">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（1）乙方应在本合同生效后</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日内，按合同签约价的</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%向甲方提交履约保证金或不可撤销、见索即付的银行履约保函。银行履约保函自开具之日起生效，直至本工程竣工验收合格后</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日或者</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日失效。</w:t>
      </w:r>
    </w:p>
    <w:p w14:paraId="3D8D074C">
      <w:pPr>
        <w:adjustRightInd w:val="0"/>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（2）其他方式：。</w:t>
      </w:r>
    </w:p>
    <w:p w14:paraId="0817042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（3）乙方不提供履约担保。</w:t>
      </w:r>
    </w:p>
    <w:bookmarkEnd w:id="9"/>
    <w:p w14:paraId="24AAB7A0">
      <w:pPr>
        <w:adjustRightInd w:val="0"/>
        <w:snapToGrid w:val="0"/>
        <w:spacing w:line="520" w:lineRule="exact"/>
        <w:outlineLvl w:val="0"/>
        <w:rPr>
          <w:rFonts w:ascii="仿宋_GB2312" w:hAnsi="仿宋_GB2312" w:eastAsia="仿宋_GB2312" w:cs="仿宋_GB2312"/>
          <w:b/>
          <w:bCs/>
          <w:color w:val="000000" w:themeColor="text1"/>
          <w:sz w:val="32"/>
          <w:szCs w:val="32"/>
        </w:rPr>
      </w:pPr>
      <w:bookmarkStart w:id="10" w:name="_Toc216855818"/>
      <w:bookmarkStart w:id="11" w:name="_Toc18781"/>
      <w:r>
        <w:rPr>
          <w:rFonts w:hint="eastAsia" w:ascii="仿宋_GB2312" w:hAnsi="仿宋_GB2312" w:eastAsia="仿宋_GB2312" w:cs="仿宋_GB2312"/>
          <w:b/>
          <w:bCs/>
          <w:color w:val="000000" w:themeColor="text1"/>
          <w:sz w:val="32"/>
          <w:szCs w:val="32"/>
        </w:rPr>
        <w:t>4.产品保证及质量标准</w:t>
      </w:r>
      <w:bookmarkEnd w:id="10"/>
      <w:bookmarkEnd w:id="11"/>
    </w:p>
    <w:p w14:paraId="73DC7C84">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4.1 乙方提供的产品应符合最新颁布的国家或行业标准及规范规程的要求，并满足本合同要求；保证产品在正常使用条件下具备应有的性能与功能。</w:t>
      </w:r>
    </w:p>
    <w:p w14:paraId="52ABA91E">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4.2 乙方提供的产品应当符合国家相关环保法律法规的规定。</w:t>
      </w:r>
    </w:p>
    <w:p w14:paraId="2E5D7744">
      <w:pPr>
        <w:adjustRightInd w:val="0"/>
        <w:snapToGrid w:val="0"/>
        <w:spacing w:line="520" w:lineRule="exact"/>
        <w:ind w:firstLine="640" w:firstLineChars="200"/>
        <w:rPr>
          <w:rFonts w:eastAsia="仿宋_GB2312"/>
          <w:color w:val="000000" w:themeColor="text1"/>
        </w:rPr>
      </w:pPr>
      <w:r>
        <w:rPr>
          <w:rFonts w:hint="eastAsia" w:ascii="仿宋_GB2312" w:hAnsi="仿宋_GB2312" w:eastAsia="仿宋_GB2312" w:cs="仿宋_GB2312"/>
          <w:color w:val="000000" w:themeColor="text1"/>
          <w:sz w:val="32"/>
          <w:szCs w:val="32"/>
        </w:rPr>
        <w:t>4.3 由于产品质量、验收或其他因素产生维修等情况，乙方应在接到甲方通知后</w:t>
      </w:r>
      <w:r>
        <w:rPr>
          <w:rFonts w:hint="eastAsia" w:ascii="仿宋_GB2312" w:hAnsi="仿宋_GB2312" w:eastAsia="仿宋_GB2312" w:cs="仿宋_GB2312"/>
          <w:color w:val="000000" w:themeColor="text1"/>
          <w:sz w:val="32"/>
          <w:szCs w:val="32"/>
          <w:u w:val="single"/>
        </w:rPr>
        <w:t xml:space="preserve"> 3 </w:t>
      </w:r>
      <w:r>
        <w:rPr>
          <w:rFonts w:hint="eastAsia" w:ascii="仿宋_GB2312" w:hAnsi="仿宋_GB2312" w:eastAsia="仿宋_GB2312" w:cs="仿宋_GB2312"/>
          <w:color w:val="000000" w:themeColor="text1"/>
          <w:sz w:val="32"/>
          <w:szCs w:val="32"/>
        </w:rPr>
        <w:t>日及时赶到现场进行维修或更换，通知时限应以到达乙方邮箱时开始起算。如超过</w:t>
      </w:r>
      <w:r>
        <w:rPr>
          <w:rFonts w:hint="eastAsia" w:ascii="仿宋_GB2312" w:hAnsi="仿宋_GB2312" w:eastAsia="仿宋_GB2312" w:cs="仿宋_GB2312"/>
          <w:color w:val="000000" w:themeColor="text1"/>
          <w:sz w:val="32"/>
          <w:szCs w:val="32"/>
          <w:u w:val="single"/>
        </w:rPr>
        <w:t xml:space="preserve"> 5 </w:t>
      </w:r>
      <w:r>
        <w:rPr>
          <w:rFonts w:hint="eastAsia" w:ascii="仿宋_GB2312" w:hAnsi="仿宋_GB2312" w:eastAsia="仿宋_GB2312" w:cs="仿宋_GB2312"/>
          <w:color w:val="000000" w:themeColor="text1"/>
          <w:sz w:val="32"/>
          <w:szCs w:val="32"/>
        </w:rPr>
        <w:t xml:space="preserve">日乙方未进行回复并未安排维修，甲方将发函对乙方进行 </w:t>
      </w:r>
      <w:r>
        <w:rPr>
          <w:rFonts w:hint="eastAsia" w:ascii="仿宋_GB2312" w:hAnsi="仿宋_GB2312" w:eastAsia="仿宋_GB2312" w:cs="仿宋_GB2312"/>
          <w:color w:val="000000" w:themeColor="text1"/>
          <w:sz w:val="32"/>
          <w:szCs w:val="32"/>
          <w:u w:val="single"/>
        </w:rPr>
        <w:t>5000</w:t>
      </w:r>
      <w:r>
        <w:rPr>
          <w:rFonts w:hint="eastAsia" w:ascii="仿宋_GB2312" w:hAnsi="仿宋_GB2312" w:eastAsia="仿宋_GB2312" w:cs="仿宋_GB2312"/>
          <w:color w:val="000000" w:themeColor="text1"/>
          <w:sz w:val="32"/>
          <w:szCs w:val="32"/>
        </w:rPr>
        <w:t>元/次处罚，此费用在采购结算中扣除。如仍未按时维修或拒绝维修，甲方有权委托第三方单位进行维修、更换，因此产生的相关费用及给甲方产生的损失均由乙方承担，产生的所有费用甲方有权直接从乙方的任意材料款中进行扣除，如款项不足以扣除，或因此产生其他费用，甲方保留追诉全部费用的权利。</w:t>
      </w:r>
    </w:p>
    <w:p w14:paraId="3A3C4504">
      <w:pPr>
        <w:adjustRightInd w:val="0"/>
        <w:snapToGrid w:val="0"/>
        <w:spacing w:line="520"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4.4 其他约定</w:t>
      </w:r>
      <w:bookmarkStart w:id="12" w:name="_Toc534"/>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u w:val="single"/>
        </w:rPr>
        <w:t xml:space="preserve">  / </w:t>
      </w:r>
    </w:p>
    <w:p w14:paraId="2CB4C323">
      <w:pPr>
        <w:snapToGrid w:val="0"/>
        <w:spacing w:line="520" w:lineRule="exact"/>
        <w:ind w:firstLine="643" w:firstLineChars="200"/>
        <w:outlineLvl w:val="0"/>
        <w:rPr>
          <w:rFonts w:ascii="仿宋_GB2312" w:hAnsi="仿宋_GB2312" w:eastAsia="仿宋_GB2312" w:cs="仿宋_GB2312"/>
          <w:b/>
          <w:bCs/>
          <w:color w:val="000000" w:themeColor="text1"/>
          <w:sz w:val="32"/>
          <w:szCs w:val="32"/>
        </w:rPr>
      </w:pPr>
      <w:bookmarkStart w:id="13" w:name="_Toc216855819"/>
      <w:r>
        <w:rPr>
          <w:rFonts w:hint="eastAsia" w:ascii="仿宋_GB2312" w:hAnsi="仿宋_GB2312" w:eastAsia="仿宋_GB2312" w:cs="仿宋_GB2312"/>
          <w:b/>
          <w:bCs/>
          <w:color w:val="000000" w:themeColor="text1"/>
          <w:sz w:val="32"/>
          <w:szCs w:val="32"/>
        </w:rPr>
        <w:t>5.包装标准、包装物的供应与回收</w:t>
      </w:r>
      <w:bookmarkEnd w:id="12"/>
      <w:bookmarkEnd w:id="13"/>
    </w:p>
    <w:p w14:paraId="3DCAA1CE">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5.1除合同另有约定外，乙方提供的全部货物，均应采用国家或专业标准保护措施进行包装，使包装应适应于远距离运输、防潮、防震、防锈和防粗暴装卸，确保货物安全无损运抵现场。包装材料应优先选用可降解、可回收的绿色环保材质。由于包装不善所引起的货物锈蚀、损坏和损失均由乙方承担。</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☑适用□不适用</w:t>
      </w:r>
      <w:r>
        <w:rPr>
          <w:rFonts w:hint="eastAsia" w:ascii="仿宋_GB2312" w:hAnsi="仿宋_GB2312" w:eastAsia="仿宋_GB2312" w:cs="仿宋_GB2312"/>
          <w:b/>
          <w:bCs/>
          <w:color w:val="000000" w:themeColor="text1"/>
          <w:sz w:val="32"/>
          <w:szCs w:val="32"/>
        </w:rPr>
        <w:t>）</w:t>
      </w:r>
    </w:p>
    <w:p w14:paraId="7DCEC0C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5.2乙方应提供货物运至合同约定的最终目的地所需要的包装，以防止货物在转运中损坏或变质。包装设计应遵循减量化原则，避免过度包装，在满足运输保护要求的前提下，尽量减少包装材料的使用量，降低碳排放。</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☑适用□不适用</w:t>
      </w:r>
      <w:r>
        <w:rPr>
          <w:rFonts w:hint="eastAsia" w:ascii="仿宋_GB2312" w:hAnsi="仿宋_GB2312" w:eastAsia="仿宋_GB2312" w:cs="仿宋_GB2312"/>
          <w:b/>
          <w:bCs/>
          <w:color w:val="000000" w:themeColor="text1"/>
          <w:sz w:val="32"/>
          <w:szCs w:val="32"/>
        </w:rPr>
        <w:t>）</w:t>
      </w:r>
    </w:p>
    <w:p w14:paraId="462B3F9F">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5.3每件包装箱内应附一份详细装箱单和质量合格证，送货清单应与装运清单一致，内容包括合同号、货物名称、规格型号、重量、收货人等具体信息。同时，包装箱外应标注绿色环保标识，注明包装材料的可回收属性及处理方式，引导收货人合理处置。</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☑适用□不适用</w:t>
      </w:r>
      <w:r>
        <w:rPr>
          <w:rFonts w:hint="eastAsia" w:ascii="仿宋_GB2312" w:hAnsi="仿宋_GB2312" w:eastAsia="仿宋_GB2312" w:cs="仿宋_GB2312"/>
          <w:b/>
          <w:bCs/>
          <w:color w:val="000000" w:themeColor="text1"/>
          <w:sz w:val="32"/>
          <w:szCs w:val="32"/>
        </w:rPr>
        <w:t>）</w:t>
      </w:r>
    </w:p>
    <w:p w14:paraId="488C9132">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5.4 如果单件包装箱的重量在2吨或2吨以上，乙方应在包装箱两侧用中文和适当的运输标记标注“重心”和“起吊点”以便装卸和搬运。根据货物的特点和运输的不同要求，乙方应在包装箱上清楚地标注“小心轻放”“请勿倒置”“防潮”等字样和其他适当标记。</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☑适用□不适用</w:t>
      </w:r>
      <w:r>
        <w:rPr>
          <w:rFonts w:hint="eastAsia" w:ascii="仿宋_GB2312" w:hAnsi="仿宋_GB2312" w:eastAsia="仿宋_GB2312" w:cs="仿宋_GB2312"/>
          <w:b/>
          <w:bCs/>
          <w:color w:val="000000" w:themeColor="text1"/>
          <w:sz w:val="32"/>
          <w:szCs w:val="32"/>
        </w:rPr>
        <w:t>）</w:t>
      </w:r>
    </w:p>
    <w:p w14:paraId="6D1796C2">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5.5乙方不得回收包装物及相关材料，双方另有约定的除外，同时需确保所提供的包装物符合国家环保标准。乙方应积极配合甲方开展包装废弃物回收统计工作，提供包装材料类型、用量等数据，共同推动包装环节的低碳化进程。</w:t>
      </w:r>
      <w:r>
        <w:rPr>
          <w:rFonts w:hint="eastAsia" w:ascii="仿宋_GB2312" w:hAnsi="仿宋_GB2312" w:eastAsia="仿宋_GB2312" w:cs="仿宋_GB2312"/>
          <w:b/>
          <w:bCs/>
          <w:color w:val="000000" w:themeColor="text1"/>
          <w:sz w:val="32"/>
          <w:szCs w:val="32"/>
        </w:rPr>
        <w:t>（</w:t>
      </w:r>
      <w:r>
        <w:rPr>
          <w:rFonts w:hint="eastAsia" w:ascii="仿宋_GB2312" w:hAnsi="仿宋_GB2312" w:eastAsia="仿宋_GB2312" w:cs="仿宋_GB2312"/>
          <w:color w:val="000000" w:themeColor="text1"/>
          <w:sz w:val="32"/>
          <w:szCs w:val="32"/>
        </w:rPr>
        <w:t>☑适用□不适用</w:t>
      </w:r>
      <w:r>
        <w:rPr>
          <w:rFonts w:hint="eastAsia" w:ascii="仿宋_GB2312" w:hAnsi="仿宋_GB2312" w:eastAsia="仿宋_GB2312" w:cs="仿宋_GB2312"/>
          <w:b/>
          <w:bCs/>
          <w:color w:val="000000" w:themeColor="text1"/>
          <w:sz w:val="32"/>
          <w:szCs w:val="32"/>
        </w:rPr>
        <w:t>）</w:t>
      </w:r>
    </w:p>
    <w:p w14:paraId="0A708B6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5.6 其他：</w:t>
      </w:r>
      <w:r>
        <w:rPr>
          <w:rFonts w:hint="eastAsia" w:ascii="仿宋_GB2312" w:hAnsi="仿宋_GB2312" w:eastAsia="仿宋_GB2312" w:cs="仿宋_GB2312"/>
          <w:color w:val="000000" w:themeColor="text1"/>
          <w:sz w:val="32"/>
          <w:szCs w:val="32"/>
          <w:u w:val="single"/>
        </w:rPr>
        <w:t xml:space="preserve">  /  </w:t>
      </w:r>
      <w:r>
        <w:rPr>
          <w:rFonts w:hint="eastAsia" w:ascii="仿宋_GB2312" w:hAnsi="仿宋_GB2312" w:eastAsia="仿宋_GB2312" w:cs="仿宋_GB2312"/>
          <w:color w:val="000000" w:themeColor="text1"/>
          <w:sz w:val="32"/>
          <w:szCs w:val="32"/>
        </w:rPr>
        <w:t>。</w:t>
      </w:r>
    </w:p>
    <w:p w14:paraId="153CEB94">
      <w:pPr>
        <w:snapToGrid w:val="0"/>
        <w:spacing w:line="520" w:lineRule="exact"/>
        <w:outlineLvl w:val="0"/>
        <w:rPr>
          <w:rFonts w:ascii="仿宋_GB2312" w:hAnsi="仿宋_GB2312" w:eastAsia="仿宋_GB2312" w:cs="仿宋_GB2312"/>
          <w:b/>
          <w:bCs/>
          <w:color w:val="000000" w:themeColor="text1"/>
          <w:sz w:val="32"/>
          <w:szCs w:val="32"/>
        </w:rPr>
      </w:pPr>
      <w:bookmarkStart w:id="14" w:name="_Toc216855820"/>
      <w:bookmarkStart w:id="15" w:name="_Toc10430"/>
      <w:r>
        <w:rPr>
          <w:rFonts w:hint="eastAsia" w:ascii="仿宋_GB2312" w:hAnsi="仿宋_GB2312" w:eastAsia="仿宋_GB2312" w:cs="仿宋_GB2312"/>
          <w:b/>
          <w:bCs/>
          <w:color w:val="000000" w:themeColor="text1"/>
          <w:sz w:val="32"/>
          <w:szCs w:val="32"/>
        </w:rPr>
        <w:t>6.货物运输</w:t>
      </w:r>
      <w:bookmarkEnd w:id="14"/>
      <w:bookmarkEnd w:id="15"/>
    </w:p>
    <w:p w14:paraId="60982857">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6.1 乙方应采取一切合理的措施防止乙方的任何运输车辆破坏或损伤通往现场的道路或桥梁，尤其应当合理选定运输线路，选用运输车辆，限制和分配载运重量，使上述道路和桥梁不致遭受任何不必要的损坏和损伤。</w:t>
      </w:r>
    </w:p>
    <w:p w14:paraId="22D8494D">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6.2 如果在通向现场的路线上或进场有关的路线上因运输货物引起任何桥梁或道路的损坏，乙方在得知这类损坏后，或收到有权索取这种索赔的主管机构的索赔要求后，应立即通知甲方，而甲方对与此有关的任何诉讼费、指控或其他费用不负责任。</w:t>
      </w:r>
    </w:p>
    <w:p w14:paraId="1FB71E43">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6.3 在现场交货的货物，在乙方已通知甲方货物已备妥待运输后24小时之内，乙方应将合同号、货名、数量、毛重、总体积（立方米）、运输工具名称及启运日期以书面形式通知甲方。如因乙方延误将上述内容用书面形式通知甲方，由此引起的一切损失应由乙方负担。</w:t>
      </w:r>
    </w:p>
    <w:p w14:paraId="67A412A3">
      <w:pPr>
        <w:adjustRightInd w:val="0"/>
        <w:snapToGrid w:val="0"/>
        <w:spacing w:line="520"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6.4 本合同标的物不允许出现损耗，运输途中一切损耗由乙方承担。</w:t>
      </w:r>
      <w:bookmarkStart w:id="16" w:name="_Toc638"/>
    </w:p>
    <w:p w14:paraId="4ABD4F4D">
      <w:pPr>
        <w:adjustRightInd w:val="0"/>
        <w:snapToGrid w:val="0"/>
        <w:spacing w:line="520" w:lineRule="exact"/>
        <w:ind w:firstLine="643" w:firstLineChars="200"/>
        <w:outlineLvl w:val="0"/>
        <w:rPr>
          <w:rFonts w:ascii="仿宋_GB2312" w:hAnsi="仿宋_GB2312" w:eastAsia="仿宋_GB2312" w:cs="仿宋_GB2312"/>
          <w:b/>
          <w:bCs/>
          <w:color w:val="000000" w:themeColor="text1"/>
          <w:sz w:val="32"/>
          <w:szCs w:val="32"/>
        </w:rPr>
      </w:pPr>
      <w:bookmarkStart w:id="17" w:name="_Toc216855821"/>
      <w:r>
        <w:rPr>
          <w:rFonts w:hint="eastAsia" w:ascii="仿宋_GB2312" w:hAnsi="仿宋_GB2312" w:eastAsia="仿宋_GB2312" w:cs="仿宋_GB2312"/>
          <w:b/>
          <w:bCs/>
          <w:color w:val="000000" w:themeColor="text1"/>
          <w:sz w:val="32"/>
          <w:szCs w:val="32"/>
        </w:rPr>
        <w:t>7.交（提）货方式、地点</w:t>
      </w:r>
      <w:bookmarkEnd w:id="16"/>
      <w:bookmarkEnd w:id="17"/>
    </w:p>
    <w:p w14:paraId="23AB5E97">
      <w:pPr>
        <w:adjustRightInd w:val="0"/>
        <w:snapToGrid w:val="0"/>
        <w:spacing w:line="520" w:lineRule="exact"/>
        <w:ind w:firstLine="640" w:firstLineChars="200"/>
        <w:rPr>
          <w:rFonts w:ascii="仿宋_GB2312" w:hAnsi="仿宋_GB2312" w:eastAsia="仿宋_GB2312" w:cs="仿宋_GB2312"/>
          <w:b/>
          <w:sz w:val="32"/>
          <w:szCs w:val="32"/>
          <w:u w:val="single"/>
        </w:rPr>
      </w:pPr>
      <w:r>
        <w:rPr>
          <w:rFonts w:hint="eastAsia" w:ascii="仿宋_GB2312" w:hAnsi="仿宋_GB2312" w:eastAsia="仿宋_GB2312" w:cs="仿宋_GB2312"/>
          <w:color w:val="000000" w:themeColor="text1"/>
          <w:sz w:val="32"/>
          <w:szCs w:val="32"/>
        </w:rPr>
        <w:t>7.1 交货地点：</w:t>
      </w:r>
      <w:r>
        <w:rPr>
          <w:rFonts w:hint="eastAsia" w:ascii="仿宋_GB2312" w:hAnsi="仿宋_GB2312" w:eastAsia="仿宋_GB2312" w:cs="仿宋_GB2312"/>
          <w:b/>
          <w:sz w:val="32"/>
          <w:szCs w:val="32"/>
          <w:u w:val="single"/>
        </w:rPr>
        <w:t>四川省德阳市什邡市师古镇宏达股份</w:t>
      </w:r>
    </w:p>
    <w:p w14:paraId="4EB7BCE4">
      <w:pPr>
        <w:adjustRightInd w:val="0"/>
        <w:snapToGrid w:val="0"/>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u w:val="single"/>
        </w:rPr>
        <w:t>有色金属分公司本项目安装现场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645A994">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7.2 交货方法：采用现场交货形式，由乙方送到甲方指定交货地点，☑总价包括卸车费用□总价不包括卸车费用。</w:t>
      </w:r>
    </w:p>
    <w:p w14:paraId="1C2E8F6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货物送达指定地点后，乙方将送货单交甲方指定现场收料人员，经双方指定联系人签字确认，仅是对货物数量的认可，价格仍以本合同约定为准，乙方所供货物存在内在质量不明或暂时难以发现质量缺陷时，即使各方签字也不表示验收合格，即不免除乙方货物内在质量缺陷造成的各种损失赔偿责任。</w:t>
      </w:r>
    </w:p>
    <w:p w14:paraId="46E289B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bookmarkStart w:id="18" w:name="_Hlk187064629"/>
      <w:r>
        <w:rPr>
          <w:rFonts w:hint="eastAsia" w:ascii="仿宋_GB2312" w:hAnsi="仿宋_GB2312" w:eastAsia="仿宋_GB2312" w:cs="仿宋_GB2312"/>
          <w:color w:val="000000" w:themeColor="text1"/>
          <w:sz w:val="32"/>
          <w:szCs w:val="32"/>
        </w:rPr>
        <w:t>非经甲方指定的两名收货人员共同签字确认的，不得视为甲方已签收货物。</w:t>
      </w:r>
      <w:bookmarkEnd w:id="18"/>
      <w:r>
        <w:rPr>
          <w:rFonts w:hint="eastAsia" w:ascii="仿宋_GB2312" w:hAnsi="仿宋_GB2312" w:eastAsia="仿宋_GB2312" w:cs="仿宋_GB2312"/>
          <w:color w:val="000000" w:themeColor="text1"/>
          <w:sz w:val="32"/>
          <w:szCs w:val="32"/>
        </w:rPr>
        <w:t>如甲方更换现场收料人员，应在订货单（合同履约平台）中明确，甲方现场收料人员姓名及联系方式。如乙方变更指定联系人员应及时提交乙方联系人变更授权书。</w:t>
      </w:r>
    </w:p>
    <w:p w14:paraId="4CD5EE2F">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bookmarkStart w:id="19" w:name="_Hlk187064285"/>
      <w:r>
        <w:rPr>
          <w:rFonts w:hint="eastAsia" w:ascii="仿宋_GB2312" w:hAnsi="仿宋_GB2312" w:eastAsia="仿宋_GB2312" w:cs="仿宋_GB2312"/>
          <w:color w:val="000000" w:themeColor="text1"/>
          <w:sz w:val="32"/>
          <w:szCs w:val="32"/>
        </w:rPr>
        <w:t>甲方指定现场收料人员：</w:t>
      </w:r>
    </w:p>
    <w:p w14:paraId="459A64D4">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身份证号：</w:t>
      </w:r>
    </w:p>
    <w:p w14:paraId="31DBE25E">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联系方式</w:t>
      </w:r>
      <w:bookmarkStart w:id="20" w:name="_Hlk187667855"/>
      <w:r>
        <w:rPr>
          <w:rFonts w:hint="eastAsia" w:ascii="仿宋_GB2312" w:hAnsi="仿宋_GB2312" w:eastAsia="仿宋_GB2312" w:cs="仿宋_GB2312"/>
          <w:color w:val="000000" w:themeColor="text1"/>
          <w:sz w:val="32"/>
          <w:szCs w:val="32"/>
        </w:rPr>
        <w:t>：</w:t>
      </w:r>
    </w:p>
    <w:p w14:paraId="73B251CA">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微信号：</w:t>
      </w:r>
      <w:bookmarkEnd w:id="20"/>
    </w:p>
    <w:p w14:paraId="6D692DFE">
      <w:pPr>
        <w:adjustRightInd w:val="0"/>
        <w:snapToGrid w:val="0"/>
        <w:spacing w:line="520" w:lineRule="exact"/>
        <w:ind w:firstLine="320" w:firstLineChars="1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电子邮箱：</w:t>
      </w:r>
    </w:p>
    <w:bookmarkEnd w:id="19"/>
    <w:p w14:paraId="02D70BDD">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乙方指定联系人员：</w:t>
      </w:r>
    </w:p>
    <w:p w14:paraId="3B1EBE57">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身份证号：</w:t>
      </w:r>
    </w:p>
    <w:p w14:paraId="7BFD7671">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联系方式：</w:t>
      </w:r>
    </w:p>
    <w:p w14:paraId="2469836B">
      <w:pPr>
        <w:adjustRightInd w:val="0"/>
        <w:snapToGrid w:val="0"/>
        <w:spacing w:line="520" w:lineRule="exact"/>
        <w:ind w:firstLine="320" w:firstLineChars="1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微信号：</w:t>
      </w:r>
    </w:p>
    <w:p w14:paraId="0C6CAD7C">
      <w:pPr>
        <w:adjustRightInd w:val="0"/>
        <w:snapToGrid w:val="0"/>
        <w:spacing w:line="520" w:lineRule="exact"/>
        <w:ind w:firstLine="320" w:firstLineChars="1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电子邮箱：</w:t>
      </w:r>
    </w:p>
    <w:p w14:paraId="3A68354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货物到达甲方指定地点后，由</w:t>
      </w:r>
      <w:r>
        <w:rPr>
          <w:rFonts w:hint="eastAsia" w:ascii="仿宋_GB2312" w:hAnsi="仿宋_GB2312" w:eastAsia="仿宋_GB2312" w:cs="仿宋_GB2312"/>
          <w:color w:val="000000" w:themeColor="text1"/>
          <w:sz w:val="32"/>
          <w:szCs w:val="32"/>
          <w:u w:val="single"/>
        </w:rPr>
        <w:t xml:space="preserve"> 乙 </w:t>
      </w:r>
      <w:r>
        <w:rPr>
          <w:rFonts w:hint="eastAsia" w:ascii="仿宋_GB2312" w:hAnsi="仿宋_GB2312" w:eastAsia="仿宋_GB2312" w:cs="仿宋_GB2312"/>
          <w:color w:val="000000" w:themeColor="text1"/>
          <w:sz w:val="32"/>
          <w:szCs w:val="32"/>
        </w:rPr>
        <w:t>方负责卸货。如由甲方负责卸货，乙方应提供必要的技术指导和协助；如由乙方负责卸货，乙方应配备卸货人员，并配备必要的安全防护措施。乙方应确保卸至甲方指定地点，确保货物摆放稳固，避免发生倾倒、滑落等事故，由乙方承担卸货、卸货指挥及货物摆放过程中发生的一切风险和事故责任。如有需要甲方提供配合协助的应当提前书面通知，未按上述约定完成卸货的，甲方有权不予验收，由乙方承担全部责任。</w:t>
      </w:r>
    </w:p>
    <w:p w14:paraId="09A8780B">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乙方按照甲方要求卸至甲方指定地点，</w:t>
      </w:r>
      <w:bookmarkStart w:id="21" w:name="OLE_LINK1"/>
      <w:r>
        <w:rPr>
          <w:rFonts w:hint="eastAsia" w:ascii="仿宋_GB2312" w:hAnsi="仿宋_GB2312" w:eastAsia="仿宋_GB2312" w:cs="仿宋_GB2312"/>
          <w:color w:val="000000" w:themeColor="text1"/>
          <w:sz w:val="32"/>
          <w:szCs w:val="32"/>
        </w:rPr>
        <w:t>承担运输和所有权转移之前的货物保管义务，</w:t>
      </w:r>
      <w:bookmarkEnd w:id="21"/>
      <w:r>
        <w:rPr>
          <w:rFonts w:hint="eastAsia" w:ascii="仿宋_GB2312" w:hAnsi="仿宋_GB2312" w:eastAsia="仿宋_GB2312" w:cs="仿宋_GB2312"/>
          <w:color w:val="000000" w:themeColor="text1"/>
          <w:sz w:val="32"/>
          <w:szCs w:val="32"/>
        </w:rPr>
        <w:t>进入现场后应保护所有公共财产、道路、公共设施、邻近财产和现存管线，因乙方原因造成财产损失、人员伤害或其他安全事故的，由乙方承担责任。货物所有权自移交甲方转移。</w:t>
      </w:r>
    </w:p>
    <w:p w14:paraId="4013E7E5">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乙方应为履行本合同的乙方人员办理意外伤害保险和工伤保险等，并对其提供必要的安全培训及防护，乙方或乙方关联方人员履行本合同时发生安全事故的，由乙方负责。</w:t>
      </w:r>
    </w:p>
    <w:p w14:paraId="766AA977">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7.3 乙方应在发货前至少</w:t>
      </w:r>
      <w:r>
        <w:rPr>
          <w:rFonts w:hint="eastAsia" w:ascii="仿宋_GB2312" w:hAnsi="仿宋_GB2312" w:eastAsia="仿宋_GB2312" w:cs="仿宋_GB2312"/>
          <w:color w:val="000000" w:themeColor="text1"/>
          <w:sz w:val="32"/>
          <w:szCs w:val="32"/>
          <w:u w:val="single"/>
        </w:rPr>
        <w:t xml:space="preserve"> 2 </w:t>
      </w:r>
      <w:r>
        <w:rPr>
          <w:rFonts w:hint="eastAsia" w:ascii="仿宋_GB2312" w:hAnsi="仿宋_GB2312" w:eastAsia="仿宋_GB2312" w:cs="仿宋_GB2312"/>
          <w:color w:val="000000" w:themeColor="text1"/>
          <w:sz w:val="32"/>
          <w:szCs w:val="32"/>
        </w:rPr>
        <w:t>个工作日以电子邮件、微信或短信的形式通知甲方。若交货地点尚不具备到货条件的，甲方有权以电子邮件、微信或短信的形式要求乙方延迟交货，乙方擅自发货的，甲方有权拒绝签收且不视为违约；若交货地点具备到货条件的，甲方应及时通知乙方，乙方应以电子邮件、微信或短信的形式进行回复确认。</w:t>
      </w:r>
    </w:p>
    <w:p w14:paraId="6F18225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7.4 乙方应将详细交货清单包括合同号、货物名称、规格、数量、总毛重、总体积（立方米）件数或每个包装箱的尺寸（长×宽×高）单价、总价以及对货物在运输和仓储的特殊要求和注意事项随车带给甲方。交货时应随车附带货物检验报告、出厂合格证、质量保证书、使用说明书等随机文件一份；质保书必须符合国家标准规范，不允许造假，如乙方质保书造假应视为违约，并承担违约责任。</w:t>
      </w:r>
    </w:p>
    <w:p w14:paraId="072C4F03">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7.5 设备技术配合资料应在合同签订后</w:t>
      </w:r>
      <w:r>
        <w:rPr>
          <w:rFonts w:hint="eastAsia" w:ascii="仿宋_GB2312" w:hAnsi="仿宋_GB2312" w:eastAsia="仿宋_GB2312" w:cs="仿宋_GB2312"/>
          <w:color w:val="000000" w:themeColor="text1"/>
          <w:sz w:val="32"/>
          <w:szCs w:val="32"/>
          <w:u w:val="single"/>
        </w:rPr>
        <w:t xml:space="preserve"> 7 </w:t>
      </w:r>
      <w:r>
        <w:rPr>
          <w:rFonts w:hint="eastAsia" w:ascii="仿宋_GB2312" w:hAnsi="仿宋_GB2312" w:eastAsia="仿宋_GB2312" w:cs="仿宋_GB2312"/>
          <w:color w:val="000000" w:themeColor="text1"/>
          <w:sz w:val="32"/>
          <w:szCs w:val="32"/>
        </w:rPr>
        <w:t>个日历天内通过特快专递、电子邮件等方式交付给甲方，乙方应负担所有的包装费、运费及保险费。以上资料需提供可编辑的电子文档，如.doc、.dwg、.xls 等。技术资料邮寄至：</w:t>
      </w:r>
    </w:p>
    <w:tbl>
      <w:tblPr>
        <w:tblStyle w:val="28"/>
        <w:tblpPr w:leftFromText="180" w:rightFromText="180" w:vertAnchor="text" w:horzAnchor="margin" w:tblpY="82"/>
        <w:tblOverlap w:val="never"/>
        <w:tblW w:w="78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7"/>
        <w:gridCol w:w="5401"/>
      </w:tblGrid>
      <w:tr w14:paraId="342D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437" w:type="dxa"/>
            <w:vAlign w:val="center"/>
          </w:tcPr>
          <w:p w14:paraId="432825CE">
            <w:pPr>
              <w:pStyle w:val="27"/>
              <w:spacing w:before="35" w:line="238" w:lineRule="auto"/>
              <w:ind w:left="-706" w:firstLine="819" w:firstLineChars="256"/>
              <w:jc w:val="center"/>
              <w:rPr>
                <w:rFonts w:ascii="仿宋_GB2312" w:hAnsi="仿宋_GB2312" w:eastAsia="仿宋_GB2312" w:cs="仿宋_GB2312"/>
                <w:color w:val="000000" w:themeColor="text1"/>
                <w:sz w:val="32"/>
                <w:szCs w:val="32"/>
              </w:rPr>
            </w:pPr>
            <w:bookmarkStart w:id="22" w:name="_Toc2948"/>
            <w:r>
              <w:rPr>
                <w:rFonts w:hint="eastAsia" w:ascii="仿宋_GB2312" w:hAnsi="仿宋_GB2312" w:eastAsia="仿宋_GB2312" w:cs="仿宋_GB2312"/>
                <w:color w:val="000000" w:themeColor="text1"/>
                <w:sz w:val="32"/>
                <w:szCs w:val="32"/>
              </w:rPr>
              <w:t>地址</w:t>
            </w:r>
          </w:p>
        </w:tc>
        <w:tc>
          <w:tcPr>
            <w:tcW w:w="5401" w:type="dxa"/>
          </w:tcPr>
          <w:p w14:paraId="5F5980DF">
            <w:pPr>
              <w:jc w:val="center"/>
            </w:pPr>
          </w:p>
        </w:tc>
      </w:tr>
      <w:tr w14:paraId="3E853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437" w:type="dxa"/>
            <w:vAlign w:val="center"/>
          </w:tcPr>
          <w:p w14:paraId="7B5BE9EE">
            <w:pPr>
              <w:pStyle w:val="27"/>
              <w:spacing w:before="33" w:line="228" w:lineRule="auto"/>
              <w:ind w:left="132"/>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邮政编码</w:t>
            </w:r>
          </w:p>
        </w:tc>
        <w:tc>
          <w:tcPr>
            <w:tcW w:w="5401" w:type="dxa"/>
          </w:tcPr>
          <w:p w14:paraId="6E3EBD37">
            <w:pPr>
              <w:jc w:val="center"/>
            </w:pPr>
          </w:p>
        </w:tc>
      </w:tr>
      <w:tr w14:paraId="56CA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437" w:type="dxa"/>
            <w:vAlign w:val="center"/>
          </w:tcPr>
          <w:p w14:paraId="75978709">
            <w:pPr>
              <w:pStyle w:val="27"/>
              <w:spacing w:before="34" w:line="228" w:lineRule="auto"/>
              <w:ind w:left="124"/>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收件人</w:t>
            </w:r>
          </w:p>
        </w:tc>
        <w:tc>
          <w:tcPr>
            <w:tcW w:w="5401" w:type="dxa"/>
          </w:tcPr>
          <w:p w14:paraId="1063BC8E">
            <w:pPr>
              <w:jc w:val="center"/>
            </w:pPr>
          </w:p>
        </w:tc>
      </w:tr>
      <w:tr w14:paraId="419D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437" w:type="dxa"/>
            <w:vAlign w:val="center"/>
          </w:tcPr>
          <w:p w14:paraId="2B39F490">
            <w:pPr>
              <w:pStyle w:val="27"/>
              <w:spacing w:before="33" w:line="231" w:lineRule="auto"/>
              <w:ind w:left="141"/>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电话</w:t>
            </w:r>
          </w:p>
        </w:tc>
        <w:tc>
          <w:tcPr>
            <w:tcW w:w="5401" w:type="dxa"/>
          </w:tcPr>
          <w:p w14:paraId="41DE2FBF">
            <w:pPr>
              <w:jc w:val="center"/>
            </w:pPr>
          </w:p>
        </w:tc>
      </w:tr>
      <w:tr w14:paraId="748B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437" w:type="dxa"/>
            <w:vAlign w:val="center"/>
          </w:tcPr>
          <w:p w14:paraId="564B4338">
            <w:pPr>
              <w:pStyle w:val="27"/>
              <w:spacing w:before="33" w:line="231" w:lineRule="auto"/>
              <w:ind w:left="141"/>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电子信箱</w:t>
            </w:r>
          </w:p>
        </w:tc>
        <w:tc>
          <w:tcPr>
            <w:tcW w:w="5401" w:type="dxa"/>
          </w:tcPr>
          <w:p w14:paraId="72BA04A5">
            <w:pPr>
              <w:jc w:val="center"/>
            </w:pPr>
          </w:p>
        </w:tc>
      </w:tr>
    </w:tbl>
    <w:p w14:paraId="2E9476B9">
      <w:pPr>
        <w:snapToGrid w:val="0"/>
        <w:spacing w:line="520" w:lineRule="exact"/>
        <w:ind w:firstLine="640" w:firstLineChars="200"/>
        <w:outlineLvl w:val="0"/>
        <w:rPr>
          <w:rFonts w:ascii="仿宋_GB2312" w:hAnsi="仿宋_GB2312" w:eastAsia="仿宋_GB2312" w:cs="仿宋_GB2312"/>
          <w:sz w:val="32"/>
          <w:szCs w:val="32"/>
        </w:rPr>
      </w:pPr>
      <w:bookmarkStart w:id="23" w:name="_Toc216809162"/>
      <w:bookmarkStart w:id="24" w:name="_Toc216809516"/>
      <w:bookmarkStart w:id="25" w:name="_Toc216808924"/>
      <w:bookmarkStart w:id="26" w:name="_Toc216807362"/>
      <w:bookmarkStart w:id="27" w:name="_Toc216809109"/>
      <w:bookmarkStart w:id="28" w:name="_Toc216855822"/>
      <w:r>
        <w:rPr>
          <w:rFonts w:hint="eastAsia" w:ascii="仿宋_GB2312" w:hAnsi="仿宋_GB2312" w:eastAsia="仿宋_GB2312" w:cs="仿宋_GB2312"/>
          <w:sz w:val="32"/>
          <w:szCs w:val="32"/>
        </w:rPr>
        <w:t>7.6水压试验合格后，乙方应向甲方提供以下技术文件：</w:t>
      </w:r>
      <w:bookmarkEnd w:id="23"/>
      <w:bookmarkEnd w:id="24"/>
      <w:bookmarkEnd w:id="25"/>
      <w:bookmarkEnd w:id="26"/>
      <w:bookmarkEnd w:id="27"/>
      <w:bookmarkEnd w:id="28"/>
    </w:p>
    <w:p w14:paraId="5AB67DD8">
      <w:pPr>
        <w:snapToGrid w:val="0"/>
        <w:spacing w:line="520" w:lineRule="exact"/>
        <w:ind w:firstLine="640" w:firstLineChars="200"/>
        <w:outlineLvl w:val="0"/>
        <w:rPr>
          <w:rFonts w:ascii="仿宋_GB2312" w:hAnsi="仿宋_GB2312" w:eastAsia="仿宋_GB2312" w:cs="仿宋_GB2312"/>
          <w:b/>
          <w:sz w:val="32"/>
          <w:szCs w:val="32"/>
        </w:rPr>
      </w:pPr>
      <w:bookmarkStart w:id="29" w:name="_Toc216809517"/>
      <w:bookmarkStart w:id="30" w:name="_Toc216855823"/>
      <w:bookmarkStart w:id="31" w:name="_Toc216809163"/>
      <w:bookmarkStart w:id="32" w:name="_Toc216807363"/>
      <w:bookmarkStart w:id="33" w:name="_Toc216808925"/>
      <w:bookmarkStart w:id="34" w:name="_Toc216809110"/>
      <w:r>
        <w:rPr>
          <w:rFonts w:hint="eastAsia" w:ascii="仿宋_GB2312" w:hAnsi="仿宋_GB2312" w:eastAsia="仿宋_GB2312" w:cs="仿宋_GB2312"/>
          <w:sz w:val="32"/>
          <w:szCs w:val="32"/>
        </w:rPr>
        <w:t>①</w:t>
      </w:r>
      <w:r>
        <w:rPr>
          <w:rFonts w:hint="eastAsia" w:ascii="仿宋_GB2312" w:hAnsi="仿宋_GB2312" w:eastAsia="仿宋_GB2312" w:cs="仿宋_GB2312"/>
          <w:b/>
          <w:sz w:val="32"/>
          <w:szCs w:val="32"/>
        </w:rPr>
        <w:t>锅炉出厂资料、锅炉产品合格证、制造监督检验证书；</w:t>
      </w:r>
      <w:bookmarkEnd w:id="29"/>
      <w:bookmarkEnd w:id="30"/>
      <w:bookmarkEnd w:id="31"/>
      <w:bookmarkEnd w:id="32"/>
      <w:bookmarkEnd w:id="33"/>
      <w:bookmarkEnd w:id="34"/>
    </w:p>
    <w:p w14:paraId="527C9475">
      <w:pPr>
        <w:snapToGrid w:val="0"/>
        <w:spacing w:line="520" w:lineRule="exact"/>
        <w:ind w:firstLine="640" w:firstLineChars="200"/>
        <w:outlineLvl w:val="0"/>
        <w:rPr>
          <w:rFonts w:ascii="仿宋_GB2312" w:hAnsi="仿宋_GB2312" w:eastAsia="仿宋_GB2312" w:cs="仿宋_GB2312"/>
          <w:b/>
          <w:sz w:val="32"/>
          <w:szCs w:val="32"/>
        </w:rPr>
      </w:pPr>
      <w:bookmarkStart w:id="35" w:name="_Toc216855824"/>
      <w:bookmarkStart w:id="36" w:name="_Toc216808926"/>
      <w:bookmarkStart w:id="37" w:name="_Toc216809111"/>
      <w:bookmarkStart w:id="38" w:name="_Toc216809164"/>
      <w:bookmarkStart w:id="39" w:name="_Toc216809518"/>
      <w:bookmarkStart w:id="40" w:name="_Toc216807364"/>
      <w:r>
        <w:rPr>
          <w:rFonts w:hint="eastAsia" w:ascii="仿宋_GB2312" w:hAnsi="仿宋_GB2312" w:eastAsia="仿宋_GB2312" w:cs="仿宋_GB2312"/>
          <w:sz w:val="32"/>
          <w:szCs w:val="32"/>
        </w:rPr>
        <w:t>②</w:t>
      </w:r>
      <w:r>
        <w:rPr>
          <w:rFonts w:hint="eastAsia" w:ascii="仿宋_GB2312" w:hAnsi="仿宋_GB2312" w:eastAsia="仿宋_GB2312" w:cs="仿宋_GB2312"/>
          <w:b/>
          <w:sz w:val="32"/>
          <w:szCs w:val="32"/>
        </w:rPr>
        <w:t>安全附件和自控、仪表质量证明文件；</w:t>
      </w:r>
      <w:bookmarkEnd w:id="35"/>
      <w:bookmarkEnd w:id="36"/>
      <w:bookmarkEnd w:id="37"/>
      <w:bookmarkEnd w:id="38"/>
      <w:bookmarkEnd w:id="39"/>
      <w:bookmarkEnd w:id="40"/>
    </w:p>
    <w:p w14:paraId="69ABD376">
      <w:pPr>
        <w:snapToGrid w:val="0"/>
        <w:spacing w:line="520" w:lineRule="exact"/>
        <w:ind w:firstLine="640" w:firstLineChars="200"/>
        <w:outlineLvl w:val="0"/>
        <w:rPr>
          <w:rFonts w:ascii="仿宋_GB2312" w:hAnsi="仿宋_GB2312" w:eastAsia="仿宋_GB2312" w:cs="仿宋_GB2312"/>
          <w:b/>
          <w:sz w:val="32"/>
          <w:szCs w:val="32"/>
        </w:rPr>
      </w:pPr>
      <w:bookmarkStart w:id="41" w:name="_Toc216809519"/>
      <w:bookmarkStart w:id="42" w:name="_Toc216807365"/>
      <w:bookmarkStart w:id="43" w:name="_Toc216855825"/>
      <w:bookmarkStart w:id="44" w:name="_Toc216809165"/>
      <w:bookmarkStart w:id="45" w:name="_Toc216809112"/>
      <w:bookmarkStart w:id="46" w:name="_Toc216808927"/>
      <w:r>
        <w:rPr>
          <w:rFonts w:hint="eastAsia" w:ascii="仿宋_GB2312" w:hAnsi="仿宋_GB2312" w:eastAsia="仿宋_GB2312" w:cs="仿宋_GB2312"/>
          <w:sz w:val="32"/>
          <w:szCs w:val="32"/>
        </w:rPr>
        <w:t>③</w:t>
      </w:r>
      <w:r>
        <w:rPr>
          <w:rFonts w:hint="eastAsia" w:ascii="仿宋_GB2312" w:hAnsi="仿宋_GB2312" w:eastAsia="仿宋_GB2312" w:cs="仿宋_GB2312"/>
          <w:b/>
          <w:sz w:val="32"/>
          <w:szCs w:val="32"/>
        </w:rPr>
        <w:t>配套的主、辅机设备、零部件及材料产品合格证；</w:t>
      </w:r>
      <w:bookmarkEnd w:id="41"/>
      <w:bookmarkEnd w:id="42"/>
      <w:bookmarkEnd w:id="43"/>
      <w:bookmarkEnd w:id="44"/>
      <w:bookmarkEnd w:id="45"/>
      <w:bookmarkEnd w:id="46"/>
    </w:p>
    <w:p w14:paraId="0EB5160A">
      <w:pPr>
        <w:snapToGrid w:val="0"/>
        <w:spacing w:line="520" w:lineRule="exact"/>
        <w:ind w:firstLine="640" w:firstLineChars="200"/>
        <w:outlineLvl w:val="0"/>
        <w:rPr>
          <w:rFonts w:ascii="仿宋_GB2312" w:hAnsi="仿宋_GB2312" w:eastAsia="仿宋_GB2312" w:cs="仿宋_GB2312"/>
          <w:b/>
          <w:sz w:val="32"/>
          <w:szCs w:val="32"/>
        </w:rPr>
      </w:pPr>
      <w:bookmarkStart w:id="47" w:name="_Toc216808928"/>
      <w:bookmarkStart w:id="48" w:name="_Toc216807366"/>
      <w:bookmarkStart w:id="49" w:name="_Toc216809113"/>
      <w:bookmarkStart w:id="50" w:name="_Toc216809166"/>
      <w:bookmarkStart w:id="51" w:name="_Toc216855826"/>
      <w:bookmarkStart w:id="52" w:name="_Toc216809520"/>
      <w:r>
        <w:rPr>
          <w:rFonts w:hint="eastAsia" w:ascii="仿宋_GB2312" w:hAnsi="仿宋_GB2312" w:eastAsia="仿宋_GB2312" w:cs="仿宋_GB2312"/>
          <w:sz w:val="32"/>
          <w:szCs w:val="32"/>
        </w:rPr>
        <w:t>④</w:t>
      </w:r>
      <w:r>
        <w:rPr>
          <w:rFonts w:hint="eastAsia" w:ascii="仿宋_GB2312" w:hAnsi="仿宋_GB2312" w:eastAsia="仿宋_GB2312" w:cs="仿宋_GB2312"/>
          <w:b/>
          <w:sz w:val="32"/>
          <w:szCs w:val="32"/>
        </w:rPr>
        <w:t>操作使用说明书、安装使用指南、零配件手册、服务手册、维修保养说明书、保修卡，满足锅炉产品国家规范要求的内容。</w:t>
      </w:r>
      <w:bookmarkEnd w:id="47"/>
      <w:bookmarkEnd w:id="48"/>
      <w:bookmarkEnd w:id="49"/>
      <w:bookmarkEnd w:id="50"/>
      <w:bookmarkEnd w:id="51"/>
      <w:bookmarkEnd w:id="52"/>
    </w:p>
    <w:p w14:paraId="1AE292A8">
      <w:pPr>
        <w:snapToGrid w:val="0"/>
        <w:spacing w:line="520" w:lineRule="exact"/>
        <w:ind w:firstLine="640" w:firstLineChars="200"/>
        <w:outlineLvl w:val="0"/>
        <w:rPr>
          <w:rFonts w:ascii="仿宋_GB2312" w:hAnsi="仿宋_GB2312" w:eastAsia="仿宋_GB2312" w:cs="仿宋_GB2312"/>
          <w:sz w:val="32"/>
          <w:szCs w:val="32"/>
        </w:rPr>
      </w:pPr>
      <w:bookmarkStart w:id="53" w:name="_Toc216855827"/>
      <w:bookmarkStart w:id="54" w:name="_Toc216809521"/>
      <w:bookmarkStart w:id="55" w:name="_Toc216807367"/>
      <w:bookmarkStart w:id="56" w:name="_Toc216808929"/>
      <w:bookmarkStart w:id="57" w:name="_Toc216809167"/>
      <w:bookmarkStart w:id="58" w:name="_Toc216809114"/>
      <w:r>
        <w:rPr>
          <w:rFonts w:hint="eastAsia" w:ascii="仿宋_GB2312" w:hAnsi="仿宋_GB2312" w:eastAsia="仿宋_GB2312" w:cs="仿宋_GB2312"/>
          <w:sz w:val="32"/>
          <w:szCs w:val="32"/>
        </w:rPr>
        <w:t>7.7总体验收时，乙方应向甲方提供以下技术文件：</w:t>
      </w:r>
      <w:bookmarkEnd w:id="53"/>
      <w:bookmarkEnd w:id="54"/>
      <w:bookmarkEnd w:id="55"/>
      <w:bookmarkEnd w:id="56"/>
      <w:bookmarkEnd w:id="57"/>
      <w:bookmarkEnd w:id="58"/>
    </w:p>
    <w:p w14:paraId="61BC18A6">
      <w:pPr>
        <w:snapToGrid w:val="0"/>
        <w:spacing w:line="520" w:lineRule="exact"/>
        <w:ind w:firstLine="640" w:firstLineChars="200"/>
        <w:outlineLvl w:val="0"/>
        <w:rPr>
          <w:rFonts w:ascii="仿宋_GB2312" w:hAnsi="仿宋_GB2312" w:eastAsia="仿宋_GB2312" w:cs="仿宋_GB2312"/>
          <w:b/>
          <w:sz w:val="32"/>
          <w:szCs w:val="32"/>
        </w:rPr>
      </w:pPr>
      <w:bookmarkStart w:id="59" w:name="_Toc216855828"/>
      <w:bookmarkStart w:id="60" w:name="_Toc216808930"/>
      <w:bookmarkStart w:id="61" w:name="_Toc216809115"/>
      <w:bookmarkStart w:id="62" w:name="_Toc216809522"/>
      <w:bookmarkStart w:id="63" w:name="_Toc216807368"/>
      <w:bookmarkStart w:id="64" w:name="_Toc216809168"/>
      <w:r>
        <w:rPr>
          <w:rFonts w:hint="eastAsia" w:ascii="仿宋_GB2312" w:hAnsi="仿宋_GB2312" w:eastAsia="仿宋_GB2312" w:cs="仿宋_GB2312"/>
          <w:sz w:val="32"/>
          <w:szCs w:val="32"/>
        </w:rPr>
        <w:t>①</w:t>
      </w:r>
      <w:r>
        <w:rPr>
          <w:rFonts w:hint="eastAsia" w:ascii="仿宋_GB2312" w:hAnsi="仿宋_GB2312" w:eastAsia="仿宋_GB2312" w:cs="仿宋_GB2312"/>
          <w:b/>
          <w:sz w:val="32"/>
          <w:szCs w:val="32"/>
        </w:rPr>
        <w:t>锅炉基础及本体检查、验收资料；</w:t>
      </w:r>
      <w:bookmarkEnd w:id="59"/>
      <w:bookmarkEnd w:id="60"/>
      <w:bookmarkEnd w:id="61"/>
      <w:bookmarkEnd w:id="62"/>
      <w:bookmarkEnd w:id="63"/>
      <w:bookmarkEnd w:id="64"/>
    </w:p>
    <w:p w14:paraId="131FB215">
      <w:pPr>
        <w:snapToGrid w:val="0"/>
        <w:spacing w:line="520" w:lineRule="exact"/>
        <w:ind w:firstLine="640" w:firstLineChars="200"/>
        <w:outlineLvl w:val="0"/>
        <w:rPr>
          <w:rFonts w:ascii="仿宋_GB2312" w:hAnsi="仿宋_GB2312" w:eastAsia="仿宋_GB2312" w:cs="仿宋_GB2312"/>
          <w:b/>
          <w:sz w:val="32"/>
          <w:szCs w:val="32"/>
        </w:rPr>
      </w:pPr>
      <w:bookmarkStart w:id="65" w:name="_Toc216807369"/>
      <w:bookmarkStart w:id="66" w:name="_Toc216809116"/>
      <w:bookmarkStart w:id="67" w:name="_Toc216855829"/>
      <w:bookmarkStart w:id="68" w:name="_Toc216809169"/>
      <w:bookmarkStart w:id="69" w:name="_Toc216809523"/>
      <w:bookmarkStart w:id="70" w:name="_Toc216808931"/>
      <w:r>
        <w:rPr>
          <w:rFonts w:hint="eastAsia" w:ascii="仿宋_GB2312" w:hAnsi="仿宋_GB2312" w:eastAsia="仿宋_GB2312" w:cs="仿宋_GB2312"/>
          <w:sz w:val="32"/>
          <w:szCs w:val="32"/>
        </w:rPr>
        <w:t>②</w:t>
      </w:r>
      <w:r>
        <w:rPr>
          <w:rFonts w:hint="eastAsia" w:ascii="仿宋_GB2312" w:hAnsi="仿宋_GB2312" w:eastAsia="仿宋_GB2312" w:cs="仿宋_GB2312"/>
          <w:b/>
          <w:sz w:val="32"/>
          <w:szCs w:val="32"/>
        </w:rPr>
        <w:t>受压元件现场施工质量证明文件；</w:t>
      </w:r>
      <w:bookmarkEnd w:id="65"/>
      <w:bookmarkEnd w:id="66"/>
      <w:bookmarkEnd w:id="67"/>
      <w:bookmarkEnd w:id="68"/>
      <w:bookmarkEnd w:id="69"/>
      <w:bookmarkEnd w:id="70"/>
    </w:p>
    <w:p w14:paraId="2BA6CECB">
      <w:pPr>
        <w:snapToGrid w:val="0"/>
        <w:spacing w:line="520" w:lineRule="exact"/>
        <w:ind w:firstLine="640" w:firstLineChars="200"/>
        <w:outlineLvl w:val="0"/>
        <w:rPr>
          <w:rFonts w:ascii="仿宋_GB2312" w:hAnsi="仿宋_GB2312" w:eastAsia="仿宋_GB2312" w:cs="仿宋_GB2312"/>
          <w:b/>
          <w:sz w:val="32"/>
          <w:szCs w:val="32"/>
        </w:rPr>
      </w:pPr>
      <w:bookmarkStart w:id="71" w:name="_Toc216807370"/>
      <w:bookmarkStart w:id="72" w:name="_Toc216809117"/>
      <w:bookmarkStart w:id="73" w:name="_Toc216809170"/>
      <w:bookmarkStart w:id="74" w:name="_Toc216855830"/>
      <w:bookmarkStart w:id="75" w:name="_Toc216809524"/>
      <w:bookmarkStart w:id="76" w:name="_Toc216808932"/>
      <w:r>
        <w:rPr>
          <w:rFonts w:hint="eastAsia" w:ascii="仿宋_GB2312" w:hAnsi="仿宋_GB2312" w:eastAsia="仿宋_GB2312" w:cs="仿宋_GB2312"/>
          <w:sz w:val="32"/>
          <w:szCs w:val="32"/>
        </w:rPr>
        <w:t>③</w:t>
      </w:r>
      <w:r>
        <w:rPr>
          <w:rFonts w:hint="eastAsia" w:ascii="仿宋_GB2312" w:hAnsi="仿宋_GB2312" w:eastAsia="仿宋_GB2312" w:cs="仿宋_GB2312"/>
          <w:b/>
          <w:sz w:val="32"/>
          <w:szCs w:val="32"/>
        </w:rPr>
        <w:t>主蒸汽管道、给水管道、管道支吊架、膨胀节、阀门、法兰等质量证明文件、检测报告、安装质量证明文件；</w:t>
      </w:r>
      <w:bookmarkEnd w:id="71"/>
      <w:bookmarkEnd w:id="72"/>
      <w:bookmarkEnd w:id="73"/>
      <w:bookmarkEnd w:id="74"/>
      <w:bookmarkEnd w:id="75"/>
      <w:bookmarkEnd w:id="76"/>
    </w:p>
    <w:p w14:paraId="290FADBB">
      <w:pPr>
        <w:snapToGrid w:val="0"/>
        <w:spacing w:line="520" w:lineRule="exact"/>
        <w:ind w:firstLine="640" w:firstLineChars="200"/>
        <w:outlineLvl w:val="0"/>
        <w:rPr>
          <w:rFonts w:ascii="仿宋_GB2312" w:hAnsi="仿宋_GB2312" w:eastAsia="仿宋_GB2312" w:cs="仿宋_GB2312"/>
          <w:b/>
          <w:sz w:val="32"/>
          <w:szCs w:val="32"/>
        </w:rPr>
      </w:pPr>
      <w:bookmarkStart w:id="77" w:name="_Toc216807371"/>
      <w:bookmarkStart w:id="78" w:name="_Toc216809171"/>
      <w:bookmarkStart w:id="79" w:name="_Toc216855831"/>
      <w:bookmarkStart w:id="80" w:name="_Toc216809525"/>
      <w:bookmarkStart w:id="81" w:name="_Toc216808933"/>
      <w:bookmarkStart w:id="82" w:name="_Toc216809118"/>
      <w:r>
        <w:rPr>
          <w:rFonts w:hint="eastAsia" w:ascii="仿宋_GB2312" w:hAnsi="仿宋_GB2312" w:eastAsia="仿宋_GB2312" w:cs="仿宋_GB2312"/>
          <w:sz w:val="32"/>
          <w:szCs w:val="32"/>
        </w:rPr>
        <w:t>④</w:t>
      </w:r>
      <w:r>
        <w:rPr>
          <w:rFonts w:hint="eastAsia" w:ascii="仿宋_GB2312" w:hAnsi="仿宋_GB2312" w:eastAsia="仿宋_GB2312" w:cs="仿宋_GB2312"/>
          <w:b/>
          <w:sz w:val="32"/>
          <w:szCs w:val="32"/>
        </w:rPr>
        <w:t>水（耐）压试验报告；</w:t>
      </w:r>
      <w:bookmarkEnd w:id="77"/>
      <w:bookmarkEnd w:id="78"/>
      <w:bookmarkEnd w:id="79"/>
      <w:bookmarkEnd w:id="80"/>
      <w:bookmarkEnd w:id="81"/>
      <w:bookmarkEnd w:id="82"/>
    </w:p>
    <w:p w14:paraId="67C97A79">
      <w:pPr>
        <w:snapToGrid w:val="0"/>
        <w:spacing w:line="520" w:lineRule="exact"/>
        <w:ind w:firstLine="643" w:firstLineChars="200"/>
        <w:outlineLvl w:val="0"/>
        <w:rPr>
          <w:rFonts w:ascii="仿宋_GB2312" w:hAnsi="仿宋_GB2312" w:eastAsia="仿宋_GB2312" w:cs="仿宋_GB2312"/>
          <w:b/>
          <w:sz w:val="32"/>
          <w:szCs w:val="32"/>
        </w:rPr>
      </w:pPr>
      <w:bookmarkStart w:id="83" w:name="_Toc216807372"/>
      <w:bookmarkStart w:id="84" w:name="_Toc216808934"/>
      <w:bookmarkStart w:id="85" w:name="_Toc216809119"/>
      <w:bookmarkStart w:id="86" w:name="_Toc216809526"/>
      <w:bookmarkStart w:id="87" w:name="_Toc216809172"/>
      <w:bookmarkStart w:id="88" w:name="_Toc216855832"/>
      <w:r>
        <w:rPr>
          <w:rFonts w:hint="eastAsia" w:ascii="仿宋_GB2312" w:hAnsi="仿宋_GB2312" w:eastAsia="仿宋_GB2312" w:cs="仿宋_GB2312"/>
          <w:b/>
          <w:sz w:val="32"/>
          <w:szCs w:val="32"/>
        </w:rPr>
        <w:t>⑤烘炉、煮炉记录、锅炉及安全附件、自控、仪表调试试运行记录（报告）；</w:t>
      </w:r>
      <w:bookmarkEnd w:id="83"/>
      <w:bookmarkEnd w:id="84"/>
      <w:bookmarkEnd w:id="85"/>
      <w:bookmarkEnd w:id="86"/>
      <w:bookmarkEnd w:id="87"/>
      <w:bookmarkEnd w:id="88"/>
    </w:p>
    <w:p w14:paraId="54B44B29">
      <w:pPr>
        <w:snapToGrid w:val="0"/>
        <w:spacing w:line="520" w:lineRule="exact"/>
        <w:ind w:firstLine="643" w:firstLineChars="200"/>
        <w:outlineLvl w:val="0"/>
        <w:rPr>
          <w:rFonts w:ascii="仿宋_GB2312" w:hAnsi="仿宋_GB2312" w:eastAsia="仿宋_GB2312" w:cs="仿宋_GB2312"/>
          <w:b/>
          <w:sz w:val="32"/>
          <w:szCs w:val="32"/>
        </w:rPr>
      </w:pPr>
      <w:bookmarkStart w:id="89" w:name="_Toc216809120"/>
      <w:bookmarkStart w:id="90" w:name="_Toc216809173"/>
      <w:bookmarkStart w:id="91" w:name="_Toc216809527"/>
      <w:bookmarkStart w:id="92" w:name="_Toc216807373"/>
      <w:bookmarkStart w:id="93" w:name="_Toc216808935"/>
      <w:bookmarkStart w:id="94" w:name="_Toc216855833"/>
      <w:r>
        <w:rPr>
          <w:rFonts w:hint="eastAsia" w:ascii="仿宋_GB2312" w:hAnsi="仿宋_GB2312" w:eastAsia="仿宋_GB2312" w:cs="仿宋_GB2312"/>
          <w:b/>
          <w:sz w:val="32"/>
          <w:szCs w:val="32"/>
        </w:rPr>
        <w:t>⑥符合相关安全技术规范要求的锅炉产品能效测试报告；</w:t>
      </w:r>
      <w:bookmarkEnd w:id="89"/>
      <w:bookmarkEnd w:id="90"/>
      <w:bookmarkEnd w:id="91"/>
      <w:bookmarkEnd w:id="92"/>
      <w:bookmarkEnd w:id="93"/>
      <w:bookmarkEnd w:id="94"/>
    </w:p>
    <w:p w14:paraId="44FB20F4">
      <w:pPr>
        <w:snapToGrid w:val="0"/>
        <w:spacing w:line="520" w:lineRule="exact"/>
        <w:ind w:firstLine="643" w:firstLineChars="200"/>
        <w:outlineLvl w:val="0"/>
        <w:rPr>
          <w:rFonts w:ascii="仿宋_GB2312" w:hAnsi="仿宋_GB2312" w:eastAsia="仿宋_GB2312" w:cs="仿宋_GB2312"/>
          <w:b/>
          <w:sz w:val="32"/>
          <w:szCs w:val="32"/>
        </w:rPr>
      </w:pPr>
      <w:bookmarkStart w:id="95" w:name="_Toc216809174"/>
      <w:bookmarkStart w:id="96" w:name="_Toc216855834"/>
      <w:bookmarkStart w:id="97" w:name="_Toc216807374"/>
      <w:bookmarkStart w:id="98" w:name="_Toc216809528"/>
      <w:bookmarkStart w:id="99" w:name="_Toc216809121"/>
      <w:bookmarkStart w:id="100" w:name="_Toc216808936"/>
      <w:r>
        <w:rPr>
          <w:rFonts w:hint="eastAsia" w:ascii="仿宋_GB2312" w:hAnsi="仿宋_GB2312" w:eastAsia="仿宋_GB2312" w:cs="仿宋_GB2312"/>
          <w:b/>
          <w:sz w:val="32"/>
          <w:szCs w:val="32"/>
        </w:rPr>
        <w:t>⑦安装监督检验证书。</w:t>
      </w:r>
      <w:bookmarkEnd w:id="95"/>
      <w:bookmarkEnd w:id="96"/>
      <w:bookmarkEnd w:id="97"/>
      <w:bookmarkEnd w:id="98"/>
      <w:bookmarkEnd w:id="99"/>
      <w:bookmarkEnd w:id="100"/>
    </w:p>
    <w:p w14:paraId="26F0C788">
      <w:pPr>
        <w:snapToGrid w:val="0"/>
        <w:spacing w:line="520" w:lineRule="exact"/>
        <w:outlineLvl w:val="0"/>
        <w:rPr>
          <w:rFonts w:ascii="仿宋_GB2312" w:hAnsi="仿宋_GB2312" w:eastAsia="仿宋_GB2312" w:cs="仿宋_GB2312"/>
          <w:b/>
          <w:bCs/>
          <w:sz w:val="32"/>
          <w:szCs w:val="32"/>
        </w:rPr>
      </w:pPr>
      <w:bookmarkStart w:id="101" w:name="_Toc216855835"/>
      <w:r>
        <w:rPr>
          <w:rFonts w:hint="eastAsia" w:ascii="仿宋_GB2312" w:hAnsi="仿宋_GB2312" w:eastAsia="仿宋_GB2312" w:cs="仿宋_GB2312"/>
          <w:b/>
          <w:bCs/>
          <w:sz w:val="32"/>
          <w:szCs w:val="32"/>
        </w:rPr>
        <w:t>8.检测和验收</w:t>
      </w:r>
      <w:bookmarkEnd w:id="22"/>
      <w:bookmarkEnd w:id="101"/>
    </w:p>
    <w:p w14:paraId="1CDD35D9">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8.1 验收时间：货物到达指定地点或双方约定的验收地点，由甲方在实际可行的最短时间内组织相关人员与乙方共同进行验收。如甲方因特殊原因无法在合同约定的验收时间内进行验收，应立即通知乙方，并说明原因及预计验收时间（最长不超过3天）。</w:t>
      </w:r>
    </w:p>
    <w:p w14:paraId="5AC8F01B">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8.2 验收标准：按国家或行业现行相关产品质量验收及规范、设计图样进行验收；无国家标准或行业规范参照的，按照本合同及甲方要求执行的需求计划要求执行。</w:t>
      </w:r>
    </w:p>
    <w:p w14:paraId="5796047B">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8.3 验收方式：乙方应主动配合甲方依据供货清单和质量合格证明文件进行验收，验收内容包括但不限于货物外观、数量、规格型号、技术参数、性能指标、随机资料、包装规格、备品备件、技术资料等，要求乙方提供验收方案，与甲方协商后确定，由双方签字确认合格后接收。如乙方不能完整交付产品及合同规定的资料、文件或未按合同规定时间按时交货的视为违约，由乙方承担相关的违约责任，乙方负责</w:t>
      </w:r>
      <w:r>
        <w:rPr>
          <w:rFonts w:hint="eastAsia" w:ascii="仿宋_GB2312" w:hAnsi="仿宋_GB2312" w:eastAsia="仿宋_GB2312" w:cs="仿宋_GB2312"/>
          <w:color w:val="000000" w:themeColor="text1"/>
          <w:sz w:val="32"/>
          <w:szCs w:val="32"/>
          <w:u w:val="single"/>
        </w:rPr>
        <w:t xml:space="preserve">  10  </w:t>
      </w:r>
      <w:r>
        <w:rPr>
          <w:rFonts w:hint="eastAsia" w:ascii="仿宋_GB2312" w:hAnsi="仿宋_GB2312" w:eastAsia="仿宋_GB2312" w:cs="仿宋_GB2312"/>
          <w:color w:val="000000" w:themeColor="text1"/>
          <w:sz w:val="32"/>
          <w:szCs w:val="32"/>
        </w:rPr>
        <w:t>日内补齐。甲方根据8.2条约定进行验收、计量并书面确认，未按合同约定完成卸货的，甲方有权不予验收。乙方提供的货物相关合格证、说明书、质量证明等资料不全可视为验收不合格，甲方有权拒收，乙方应立即补全相应资料，2个日历日内未补全的乙方应将该批货物退场。如因此给甲方造成的所有损失乙方应予赔偿。</w:t>
      </w:r>
    </w:p>
    <w:p w14:paraId="5D79B176">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8.4 验收及检验费用的承担：由</w:t>
      </w:r>
      <w:r>
        <w:rPr>
          <w:rFonts w:hint="eastAsia" w:ascii="仿宋_GB2312" w:hAnsi="仿宋_GB2312" w:eastAsia="仿宋_GB2312" w:cs="仿宋_GB2312"/>
          <w:color w:val="000000" w:themeColor="text1"/>
          <w:sz w:val="32"/>
          <w:szCs w:val="32"/>
          <w:u w:val="single"/>
        </w:rPr>
        <w:t xml:space="preserve"> 甲 </w:t>
      </w:r>
      <w:r>
        <w:rPr>
          <w:rFonts w:hint="eastAsia" w:ascii="仿宋_GB2312" w:hAnsi="仿宋_GB2312" w:eastAsia="仿宋_GB2312" w:cs="仿宋_GB2312"/>
          <w:color w:val="000000" w:themeColor="text1"/>
          <w:sz w:val="32"/>
          <w:szCs w:val="32"/>
        </w:rPr>
        <w:t>方承担，如检验不合格费用由乙方承担。对于乙方不认可检验结果的，经双方协商进行第三方复检，费用由乙方承担，如复检结果与甲方检验结果不符，则费用由甲方承担。</w:t>
      </w:r>
    </w:p>
    <w:p w14:paraId="77900182">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8.5 乙方同意按双方约定的货物验收日期及地点，并随时接受甲方关于执行检查或参加检验的意向，验收过程中，乙方应派遣专业技术人员到场配合，提供必要的技术资料和检测工具，确保验收工作顺利进行，如因乙方原因导致验收延误，责任由乙方承担。检查和检验不合格的，应当在接到甲方通知后立即采取有效措施以保证货物运行正常，如接到甲方通知后未保证货物运行正常或再次检查和检验不合格，甲方可要求乙方承担相应违约责任。</w:t>
      </w:r>
    </w:p>
    <w:p w14:paraId="360A0924">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8.6 乙方应保证提供的货物质量完好无瑕疵。对货物在现场验收中无法发现的潜在的质量缺陷与瑕疵，并不因验收单的签署而免除乙方按照法律规定和本合同约定承担的责任和后果。如因乙方产品不合格造成甲方现场施工窝工或返工损失，由乙方承担全部赔偿责任。</w:t>
      </w:r>
    </w:p>
    <w:p w14:paraId="03FD37FB">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8.7 甲方在验收或使用过程中，如发现货物的品种、规格、型号、颜色、数量、质量等不符合约定；或在质量保证期内证实货物是有缺陷的，包括潜在的缺陷、重大的缺陷（如功能缺陷）以及使用不符合要求的，有权向乙方提出异议或索赔，并保留要求更换货物的权利；甲方有权拒收不符合约定部分的货物，并有权拒付该部分的货款。因乙方原因造成甲方停工、窝工或工期延误的，甲方有权向乙方提出停窝工损失（包括但不限于甲方因此需要向建设单位及任意第三方承担的违约或赔偿责任）索赔，该损失甲方有权直接从货款中扣除，乙方对此予以认可，如不足以赔偿甲方损失的，乙方应予以补足。</w:t>
      </w:r>
    </w:p>
    <w:p w14:paraId="5EDD4ECF">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乙方在接到甲方的异议后，应在</w:t>
      </w:r>
      <w:r>
        <w:rPr>
          <w:rFonts w:hint="eastAsia" w:ascii="仿宋_GB2312" w:hAnsi="仿宋_GB2312" w:eastAsia="仿宋_GB2312" w:cs="仿宋_GB2312"/>
          <w:color w:val="000000" w:themeColor="text1"/>
          <w:sz w:val="32"/>
          <w:szCs w:val="32"/>
          <w:u w:val="single"/>
        </w:rPr>
        <w:t xml:space="preserve"> 5</w:t>
      </w:r>
      <w:r>
        <w:rPr>
          <w:rFonts w:hint="eastAsia" w:ascii="仿宋_GB2312" w:hAnsi="仿宋_GB2312" w:eastAsia="仿宋_GB2312" w:cs="仿宋_GB2312"/>
          <w:color w:val="000000" w:themeColor="text1"/>
          <w:sz w:val="32"/>
          <w:szCs w:val="32"/>
        </w:rPr>
        <w:t>天内处理完毕。如乙方逾期不予处理，则视为同意甲方提出的异议，且甲方有权单方处理该不符合约定部分的货物，因此所产生的一切责任和费用均由乙方承担。</w:t>
      </w:r>
    </w:p>
    <w:p w14:paraId="6D084F09">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8.8 因乙方所提供的产品出现质量问题而引起纠纷，则由具有资质的相关国家质检机构进行检测，由此而发生的费用由乙方负责。</w:t>
      </w:r>
    </w:p>
    <w:p w14:paraId="77C2649B">
      <w:pPr>
        <w:snapToGrid w:val="0"/>
        <w:spacing w:line="520" w:lineRule="exact"/>
        <w:outlineLvl w:val="0"/>
        <w:rPr>
          <w:rFonts w:ascii="仿宋_GB2312" w:hAnsi="仿宋_GB2312" w:eastAsia="仿宋_GB2312" w:cs="仿宋_GB2312"/>
          <w:b/>
          <w:bCs/>
          <w:color w:val="000000" w:themeColor="text1"/>
          <w:sz w:val="32"/>
          <w:szCs w:val="32"/>
        </w:rPr>
      </w:pPr>
      <w:bookmarkStart w:id="102" w:name="_Toc28500"/>
      <w:bookmarkStart w:id="103" w:name="_Toc216855836"/>
      <w:r>
        <w:rPr>
          <w:rFonts w:hint="eastAsia" w:ascii="仿宋_GB2312" w:hAnsi="仿宋_GB2312" w:eastAsia="仿宋_GB2312" w:cs="仿宋_GB2312"/>
          <w:b/>
          <w:bCs/>
          <w:color w:val="000000" w:themeColor="text1"/>
          <w:sz w:val="32"/>
          <w:szCs w:val="32"/>
        </w:rPr>
        <w:t>9.安装、调试</w:t>
      </w:r>
      <w:bookmarkEnd w:id="102"/>
      <w:r>
        <w:rPr>
          <w:rFonts w:hint="eastAsia" w:ascii="仿宋_GB2312" w:hAnsi="仿宋_GB2312" w:eastAsia="仿宋_GB2312" w:cs="仿宋_GB2312"/>
          <w:b/>
          <w:bCs/>
          <w:color w:val="000000" w:themeColor="text1"/>
          <w:sz w:val="32"/>
          <w:szCs w:val="32"/>
        </w:rPr>
        <w:t>及总体验收</w:t>
      </w:r>
      <w:bookmarkEnd w:id="103"/>
    </w:p>
    <w:p w14:paraId="73029DE5">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9.1 安装：</w:t>
      </w:r>
      <w:r>
        <w:rPr>
          <w:rFonts w:hint="eastAsia" w:ascii="仿宋_GB2312" w:hAnsi="仿宋_GB2312" w:eastAsia="仿宋_GB2312" w:cs="仿宋_GB2312"/>
          <w:b/>
          <w:color w:val="000000" w:themeColor="text1"/>
          <w:sz w:val="32"/>
          <w:szCs w:val="32"/>
        </w:rPr>
        <w:t>产品的安装由</w:t>
      </w:r>
      <w:r>
        <w:rPr>
          <w:rFonts w:hint="eastAsia" w:ascii="仿宋_GB2312" w:hAnsi="仿宋_GB2312" w:eastAsia="仿宋_GB2312" w:cs="仿宋_GB2312"/>
          <w:b/>
          <w:color w:val="000000" w:themeColor="text1"/>
          <w:sz w:val="32"/>
          <w:szCs w:val="32"/>
          <w:u w:val="single"/>
        </w:rPr>
        <w:t xml:space="preserve"> 乙方 </w:t>
      </w:r>
      <w:r>
        <w:rPr>
          <w:rFonts w:hint="eastAsia" w:ascii="仿宋_GB2312" w:hAnsi="仿宋_GB2312" w:eastAsia="仿宋_GB2312" w:cs="仿宋_GB2312"/>
          <w:b/>
          <w:color w:val="000000" w:themeColor="text1"/>
          <w:sz w:val="32"/>
          <w:szCs w:val="32"/>
        </w:rPr>
        <w:t>负责</w:t>
      </w:r>
      <w:r>
        <w:rPr>
          <w:rFonts w:hint="eastAsia" w:ascii="仿宋_GB2312" w:hAnsi="仿宋_GB2312" w:eastAsia="仿宋_GB2312" w:cs="仿宋_GB2312"/>
          <w:color w:val="000000" w:themeColor="text1"/>
          <w:sz w:val="32"/>
          <w:szCs w:val="32"/>
        </w:rPr>
        <w:t>，乙方应严格按照相关安全技术规范，保证产品和系统安装质量，提供全面的技术服务与支持，为顺利安装运行提供完全技术保证。乙方安装施工须满足甲方现场管理及安全要求。</w:t>
      </w:r>
    </w:p>
    <w:p w14:paraId="48BFAD42">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9.2调试：</w:t>
      </w:r>
      <w:r>
        <w:rPr>
          <w:rFonts w:hint="eastAsia" w:ascii="仿宋_GB2312" w:hAnsi="仿宋_GB2312" w:eastAsia="仿宋_GB2312" w:cs="仿宋_GB2312"/>
          <w:b/>
          <w:color w:val="000000" w:themeColor="text1"/>
          <w:sz w:val="32"/>
          <w:szCs w:val="32"/>
        </w:rPr>
        <w:t>调试由</w:t>
      </w:r>
      <w:r>
        <w:rPr>
          <w:rFonts w:hint="eastAsia" w:ascii="仿宋_GB2312" w:hAnsi="仿宋_GB2312" w:eastAsia="仿宋_GB2312" w:cs="仿宋_GB2312"/>
          <w:b/>
          <w:color w:val="000000" w:themeColor="text1"/>
          <w:sz w:val="32"/>
          <w:szCs w:val="32"/>
          <w:u w:val="single"/>
        </w:rPr>
        <w:t xml:space="preserve"> 乙方 </w:t>
      </w:r>
      <w:r>
        <w:rPr>
          <w:rFonts w:hint="eastAsia" w:ascii="仿宋_GB2312" w:hAnsi="仿宋_GB2312" w:eastAsia="仿宋_GB2312" w:cs="仿宋_GB2312"/>
          <w:b/>
          <w:color w:val="000000" w:themeColor="text1"/>
          <w:sz w:val="32"/>
          <w:szCs w:val="32"/>
        </w:rPr>
        <w:t>负责，</w:t>
      </w:r>
      <w:r>
        <w:rPr>
          <w:rFonts w:hint="eastAsia" w:ascii="仿宋_GB2312" w:hAnsi="仿宋_GB2312" w:eastAsia="仿宋_GB2312" w:cs="仿宋_GB2312"/>
          <w:b/>
          <w:color w:val="000000" w:themeColor="text1"/>
          <w:sz w:val="32"/>
          <w:szCs w:val="32"/>
          <w:u w:val="single"/>
        </w:rPr>
        <w:t xml:space="preserve"> 甲方 </w:t>
      </w:r>
      <w:r>
        <w:rPr>
          <w:rFonts w:hint="eastAsia" w:ascii="仿宋_GB2312" w:hAnsi="仿宋_GB2312" w:eastAsia="仿宋_GB2312" w:cs="仿宋_GB2312"/>
          <w:b/>
          <w:color w:val="000000" w:themeColor="text1"/>
          <w:sz w:val="32"/>
          <w:szCs w:val="32"/>
        </w:rPr>
        <w:t>予以配合</w:t>
      </w:r>
      <w:r>
        <w:rPr>
          <w:rFonts w:hint="eastAsia" w:ascii="仿宋_GB2312" w:hAnsi="仿宋_GB2312" w:eastAsia="仿宋_GB2312" w:cs="仿宋_GB2312"/>
          <w:color w:val="000000" w:themeColor="text1"/>
          <w:sz w:val="32"/>
          <w:szCs w:val="32"/>
        </w:rPr>
        <w:t>。乙方为运行调试提供技术和产品的必要条件。并应向甲方有关人员讲解产品和系统结构与计划调试方法，包括系统的性能、技术特点、调试技巧等有关技术原理、方法，指导解决调试过程中出现的技术问题。</w:t>
      </w:r>
    </w:p>
    <w:p w14:paraId="0CBC9498">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9.3 乙方应积极配合甲方和业主的现场管理，采取严格的安全措施，确保安全和质量，承担由于自身安全措施不力造成事故的责任和因此发生的任何费用。</w:t>
      </w:r>
    </w:p>
    <w:p w14:paraId="6DC73C0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9.4 乙方安装、调试作业人员应服从甲方现场管理及安全要求，乙方应及时支付农民工工资及现场作业人员劳动报酬，如因拖欠劳动报酬产生纠纷影响甲方现场施工或对甲方造成损失的，应由乙方全额进行赔偿。</w:t>
      </w:r>
    </w:p>
    <w:p w14:paraId="40F01232">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9.4总体验收：</w:t>
      </w:r>
      <w:r>
        <w:rPr>
          <w:rFonts w:hint="eastAsia" w:ascii="仿宋_GB2312" w:hAnsi="仿宋_GB2312" w:eastAsia="仿宋_GB2312" w:cs="仿宋_GB2312"/>
          <w:b/>
          <w:color w:val="000000" w:themeColor="text1"/>
          <w:sz w:val="32"/>
          <w:szCs w:val="32"/>
        </w:rPr>
        <w:t>①甲方负责组织锅炉产品交付前的总体验收。锅炉系统应经过72小时整套连续满负荷试运行后，对各项设备做一次全面检查，缺陷处理合格后再次启动，经过24小时整套连续满负荷试运行无缺陷，各项安全技术指标均达到相关标准或设计值，取得甲方所在地出具的安装质量监督检验合格证，视为总体验收合格，业主方签发试车考核及工程验收合格证明、机组竣工验收证书。</w:t>
      </w:r>
    </w:p>
    <w:p w14:paraId="3403C58C">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②验收地点：设备实际安装地点，由甲方指定。验收过程中，乙方应派遣专业技术人员到场配合，提供必要的技术资料和检测工具，确保验收工作顺利进行。如因乙方原因导致验收延误，责任由乙方承担。</w:t>
      </w:r>
    </w:p>
    <w:p w14:paraId="1AB43D4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③严格按照国家及行业相关标准进行验收。对未达到技术要求的不合格产品，一律拒收；并可终止合同执行。</w:t>
      </w:r>
    </w:p>
    <w:p w14:paraId="72CBB2B9">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④因乙方所提供的产品出现质量问题而引起纠纷，则由具有资质的相关国家质检机构进行检测，由此而发生的费用由乙方负责。</w:t>
      </w:r>
    </w:p>
    <w:p w14:paraId="02908D9F">
      <w:pPr>
        <w:snapToGrid w:val="0"/>
        <w:spacing w:line="520" w:lineRule="exact"/>
        <w:outlineLvl w:val="0"/>
        <w:rPr>
          <w:rFonts w:ascii="仿宋_GB2312" w:hAnsi="仿宋_GB2312" w:eastAsia="仿宋_GB2312" w:cs="仿宋_GB2312"/>
          <w:b/>
          <w:bCs/>
          <w:color w:val="000000" w:themeColor="text1"/>
          <w:sz w:val="32"/>
          <w:szCs w:val="32"/>
        </w:rPr>
      </w:pPr>
      <w:bookmarkStart w:id="104" w:name="_Toc16942"/>
      <w:bookmarkStart w:id="105" w:name="_Toc216855837"/>
      <w:r>
        <w:rPr>
          <w:rFonts w:hint="eastAsia" w:ascii="仿宋_GB2312" w:hAnsi="仿宋_GB2312" w:eastAsia="仿宋_GB2312" w:cs="仿宋_GB2312"/>
          <w:b/>
          <w:bCs/>
          <w:color w:val="000000" w:themeColor="text1"/>
          <w:sz w:val="32"/>
          <w:szCs w:val="32"/>
        </w:rPr>
        <w:t>10.结算及付款</w:t>
      </w:r>
      <w:bookmarkEnd w:id="104"/>
      <w:bookmarkEnd w:id="105"/>
    </w:p>
    <w:p w14:paraId="4E17E56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10.1 结算方式</w:t>
      </w:r>
    </w:p>
    <w:p w14:paraId="193D8848">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本合同结算方式： </w:t>
      </w:r>
      <w:r>
        <w:rPr>
          <w:rFonts w:hint="eastAsia" w:ascii="仿宋_GB2312" w:hAnsi="仿宋_GB2312" w:eastAsia="仿宋_GB2312" w:cs="仿宋_GB2312"/>
          <w:b/>
          <w:color w:val="000000" w:themeColor="text1"/>
          <w:sz w:val="32"/>
          <w:szCs w:val="32"/>
          <w:u w:val="single"/>
        </w:rPr>
        <w:t xml:space="preserve">以10.3条办理结算 </w:t>
      </w:r>
      <w:r>
        <w:rPr>
          <w:rFonts w:hint="eastAsia" w:ascii="仿宋_GB2312" w:hAnsi="仿宋_GB2312" w:eastAsia="仿宋_GB2312" w:cs="仿宋_GB2312"/>
          <w:color w:val="000000" w:themeColor="text1"/>
          <w:sz w:val="32"/>
          <w:szCs w:val="32"/>
        </w:rPr>
        <w:t>。</w:t>
      </w:r>
    </w:p>
    <w:p w14:paraId="490BECEA">
      <w:pPr>
        <w:snapToGrid w:val="0"/>
        <w:spacing w:line="520"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甲乙双方进度对账结算仅作为过程进度支付依据，不作为双方最终结算依据。</w:t>
      </w:r>
      <w:r>
        <w:rPr>
          <w:rFonts w:hint="eastAsia" w:ascii="仿宋_GB2312" w:hAnsi="仿宋_GB2312" w:eastAsia="仿宋_GB2312" w:cs="仿宋_GB2312"/>
          <w:b/>
          <w:bCs/>
          <w:color w:val="000000" w:themeColor="text1"/>
          <w:sz w:val="32"/>
          <w:szCs w:val="32"/>
        </w:rPr>
        <w:t>甲乙双方审批通过的最终结算流程（合同履约平台），是双方唯一的结算依据。乙方不得以经甲方人员确认收货而签字的收料单等向甲方主张任何权利。</w:t>
      </w:r>
    </w:p>
    <w:p w14:paraId="550B577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10.2 付款方式</w:t>
      </w:r>
    </w:p>
    <w:p w14:paraId="0678D1C3">
      <w:pPr>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本合同付款方式：</w:t>
      </w:r>
      <w:r>
        <w:rPr>
          <w:rFonts w:hint="eastAsia" w:ascii="仿宋_GB2312" w:hAnsi="仿宋_GB2312" w:eastAsia="仿宋_GB2312" w:cs="仿宋_GB2312"/>
          <w:b/>
          <w:color w:val="000000" w:themeColor="text1"/>
          <w:sz w:val="32"/>
          <w:szCs w:val="32"/>
          <w:u w:val="single"/>
        </w:rPr>
        <w:t>电汇、汇票或承兑汇票等</w:t>
      </w:r>
      <w:r>
        <w:rPr>
          <w:rFonts w:hint="eastAsia" w:ascii="仿宋_GB2312" w:hAnsi="仿宋_GB2312" w:eastAsia="仿宋_GB2312" w:cs="仿宋_GB2312"/>
          <w:color w:val="000000" w:themeColor="text1"/>
          <w:sz w:val="32"/>
          <w:szCs w:val="32"/>
          <w:u w:val="single"/>
        </w:rPr>
        <w:t xml:space="preserve"> 。</w:t>
      </w:r>
    </w:p>
    <w:p w14:paraId="1546161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根据本合同约定乙方应承担的违约金，甲方可在进度款支付中一并扣除。</w:t>
      </w:r>
    </w:p>
    <w:p w14:paraId="4EA89D8A">
      <w:pPr>
        <w:snapToGrid w:val="0"/>
        <w:spacing w:line="520" w:lineRule="exact"/>
        <w:ind w:firstLine="640" w:firstLineChars="200"/>
        <w:rPr>
          <w:color w:val="000000" w:themeColor="text1"/>
        </w:rPr>
      </w:pPr>
      <w:bookmarkStart w:id="106" w:name="_Hlk187068107"/>
      <w:r>
        <w:rPr>
          <w:rFonts w:hint="eastAsia" w:ascii="仿宋_GB2312" w:hAnsi="仿宋_GB2312" w:eastAsia="仿宋_GB2312" w:cs="仿宋_GB2312"/>
          <w:color w:val="000000" w:themeColor="text1"/>
          <w:sz w:val="32"/>
          <w:szCs w:val="32"/>
        </w:rPr>
        <w:t>若因乙方收款账户未及时提供发票或办理银行承兑所需资料，导致甲方付款延期，所产生的逾期费用应由乙方承担，且甲方不承担任何违约责任。如因支付问题导致诉讼，诉讼判决或执行的支付方式与本合同约定的支付方式不符导致甲方成本增加的，乙方应承担甲方相应增加的成本。</w:t>
      </w:r>
      <w:bookmarkEnd w:id="106"/>
    </w:p>
    <w:p w14:paraId="347F762D">
      <w:pPr>
        <w:snapToGrid w:val="0"/>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若甲方在支付货款过程中存在不足额支付的行为（未达到应支付比例或金额），乙方确认后续收到的每笔款项，均为甲方支付货款的本金部分。若最终结算金额小于已付款金额，则乙方需在结算后3日内退还甲方结算差额款部分；若结算金额大于已付款金额，则甲方据实给乙方结算剩余结算款。</w:t>
      </w:r>
    </w:p>
    <w:p w14:paraId="02C39531">
      <w:pPr>
        <w:snapToGrid w:val="0"/>
        <w:spacing w:line="520" w:lineRule="exact"/>
        <w:ind w:firstLine="640" w:firstLineChars="200"/>
        <w:rPr>
          <w:rFonts w:ascii="仿宋_GB2312" w:hAnsi="仿宋_GB2312" w:eastAsia="仿宋_GB2312" w:cs="仿宋_GB2312"/>
          <w:color w:val="000000" w:themeColor="text1"/>
          <w:sz w:val="32"/>
          <w:szCs w:val="32"/>
        </w:rPr>
      </w:pPr>
      <w:bookmarkStart w:id="107" w:name="_Hlk197951010"/>
      <w:r>
        <w:rPr>
          <w:rFonts w:hint="eastAsia" w:ascii="仿宋_GB2312" w:hAnsi="仿宋_GB2312" w:eastAsia="仿宋_GB2312" w:cs="仿宋_GB2312"/>
          <w:color w:val="000000" w:themeColor="text1"/>
          <w:sz w:val="32"/>
          <w:szCs w:val="32"/>
        </w:rPr>
        <w:t>10.3付款时间：按下表</w:t>
      </w:r>
    </w:p>
    <w:tbl>
      <w:tblPr>
        <w:tblStyle w:val="14"/>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34"/>
        <w:gridCol w:w="6659"/>
      </w:tblGrid>
      <w:tr w14:paraId="4008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vAlign w:val="center"/>
          </w:tcPr>
          <w:p w14:paraId="09937785">
            <w:pPr>
              <w:snapToGrid w:val="0"/>
              <w:spacing w:line="520" w:lineRule="exact"/>
              <w:jc w:val="center"/>
              <w:rPr>
                <w:rFonts w:cs="仿宋_GB2312" w:asciiTheme="minorEastAsia" w:hAnsiTheme="minorEastAsia" w:eastAsiaTheme="minorEastAsia"/>
                <w:color w:val="000000" w:themeColor="text1"/>
                <w:sz w:val="28"/>
                <w:szCs w:val="28"/>
              </w:rPr>
            </w:pPr>
            <w:r>
              <w:rPr>
                <w:rFonts w:cs="仿宋_GB2312" w:asciiTheme="minorEastAsia" w:hAnsiTheme="minorEastAsia" w:eastAsiaTheme="minorEastAsia"/>
                <w:color w:val="000000" w:themeColor="text1"/>
                <w:sz w:val="28"/>
                <w:szCs w:val="28"/>
              </w:rPr>
              <w:t>付款</w:t>
            </w:r>
            <w:r>
              <w:rPr>
                <w:rFonts w:hint="eastAsia" w:cs="仿宋_GB2312" w:asciiTheme="minorEastAsia" w:hAnsiTheme="minorEastAsia" w:eastAsiaTheme="minorEastAsia"/>
                <w:color w:val="000000" w:themeColor="text1"/>
                <w:sz w:val="28"/>
                <w:szCs w:val="28"/>
              </w:rPr>
              <w:t>类别</w:t>
            </w:r>
          </w:p>
        </w:tc>
        <w:tc>
          <w:tcPr>
            <w:tcW w:w="801" w:type="pct"/>
            <w:vAlign w:val="center"/>
          </w:tcPr>
          <w:p w14:paraId="79DA4582">
            <w:pPr>
              <w:snapToGrid w:val="0"/>
              <w:spacing w:line="520" w:lineRule="exact"/>
              <w:jc w:val="center"/>
              <w:rPr>
                <w:rFonts w:cs="仿宋_GB2312" w:asciiTheme="minorEastAsia" w:hAnsiTheme="minorEastAsia" w:eastAsiaTheme="minorEastAsia"/>
                <w:color w:val="000000" w:themeColor="text1"/>
                <w:sz w:val="28"/>
                <w:szCs w:val="28"/>
              </w:rPr>
            </w:pPr>
            <w:r>
              <w:rPr>
                <w:rFonts w:cs="仿宋_GB2312" w:asciiTheme="minorEastAsia" w:hAnsiTheme="minorEastAsia" w:eastAsiaTheme="minorEastAsia"/>
                <w:color w:val="000000" w:themeColor="text1"/>
                <w:sz w:val="28"/>
                <w:szCs w:val="28"/>
              </w:rPr>
              <w:t>付款</w:t>
            </w:r>
          </w:p>
          <w:p w14:paraId="176713C9">
            <w:pPr>
              <w:snapToGrid w:val="0"/>
              <w:spacing w:line="520" w:lineRule="exact"/>
              <w:jc w:val="center"/>
              <w:rPr>
                <w:rFonts w:cs="仿宋_GB2312" w:asciiTheme="minorEastAsia" w:hAnsiTheme="minorEastAsia" w:eastAsiaTheme="minorEastAsia"/>
                <w:color w:val="000000" w:themeColor="text1"/>
                <w:sz w:val="28"/>
                <w:szCs w:val="28"/>
              </w:rPr>
            </w:pPr>
            <w:r>
              <w:rPr>
                <w:rFonts w:cs="仿宋_GB2312" w:asciiTheme="minorEastAsia" w:hAnsiTheme="minorEastAsia" w:eastAsiaTheme="minorEastAsia"/>
                <w:color w:val="000000" w:themeColor="text1"/>
                <w:sz w:val="28"/>
                <w:szCs w:val="28"/>
              </w:rPr>
              <w:t>比例</w:t>
            </w:r>
          </w:p>
        </w:tc>
        <w:tc>
          <w:tcPr>
            <w:tcW w:w="3719" w:type="pct"/>
            <w:vAlign w:val="center"/>
          </w:tcPr>
          <w:p w14:paraId="74D9D4D4">
            <w:pPr>
              <w:autoSpaceDE w:val="0"/>
              <w:autoSpaceDN w:val="0"/>
              <w:adjustRightInd w:val="0"/>
              <w:spacing w:line="560" w:lineRule="exact"/>
              <w:jc w:val="center"/>
              <w:rPr>
                <w:rFonts w:cs="宋体" w:asciiTheme="minorEastAsia" w:hAnsiTheme="minorEastAsia" w:eastAsiaTheme="minorEastAsia"/>
                <w:color w:val="000000" w:themeColor="text1"/>
                <w:sz w:val="28"/>
                <w:szCs w:val="28"/>
              </w:rPr>
            </w:pPr>
            <w:r>
              <w:rPr>
                <w:rFonts w:cs="仿宋_GB2312" w:asciiTheme="minorEastAsia" w:hAnsiTheme="minorEastAsia" w:eastAsiaTheme="minorEastAsia"/>
                <w:color w:val="000000" w:themeColor="text1"/>
                <w:sz w:val="28"/>
                <w:szCs w:val="28"/>
              </w:rPr>
              <w:t>付款比例描述</w:t>
            </w:r>
          </w:p>
        </w:tc>
      </w:tr>
      <w:tr w14:paraId="09F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textDirection w:val="tbLrV"/>
            <w:vAlign w:val="center"/>
          </w:tcPr>
          <w:p w14:paraId="5C08027C">
            <w:pPr>
              <w:snapToGrid w:val="0"/>
              <w:spacing w:line="520" w:lineRule="exact"/>
              <w:ind w:firstLine="560" w:firstLineChars="200"/>
              <w:jc w:val="center"/>
              <w:rPr>
                <w:rFonts w:cs="仿宋_GB2312" w:asciiTheme="minorEastAsia" w:hAnsiTheme="minorEastAsia" w:eastAsiaTheme="minorEastAsia"/>
                <w:color w:val="000000" w:themeColor="text1"/>
                <w:sz w:val="28"/>
                <w:szCs w:val="28"/>
              </w:rPr>
            </w:pPr>
            <w:r>
              <w:rPr>
                <w:rFonts w:cs="仿宋_GB2312" w:asciiTheme="minorEastAsia" w:hAnsiTheme="minorEastAsia" w:eastAsiaTheme="minorEastAsia"/>
                <w:color w:val="000000" w:themeColor="text1"/>
                <w:sz w:val="28"/>
                <w:szCs w:val="28"/>
              </w:rPr>
              <w:t>预付款</w:t>
            </w:r>
          </w:p>
        </w:tc>
        <w:tc>
          <w:tcPr>
            <w:tcW w:w="801" w:type="pct"/>
            <w:vAlign w:val="center"/>
          </w:tcPr>
          <w:p w14:paraId="74AD0A29">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货物总价的30%</w:t>
            </w:r>
          </w:p>
        </w:tc>
        <w:tc>
          <w:tcPr>
            <w:tcW w:w="3719" w:type="pct"/>
          </w:tcPr>
          <w:p w14:paraId="39823B72">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本合同签订后，甲方在15天内向乙方预付货物总价30%的预付款，乙方在甲方支付预付款之前提供由四大银行出具的与预付款等额的预付款保函（见索即付）。</w:t>
            </w:r>
          </w:p>
        </w:tc>
      </w:tr>
      <w:tr w14:paraId="01D3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0" w:type="pct"/>
            <w:textDirection w:val="tbLrV"/>
            <w:vAlign w:val="center"/>
          </w:tcPr>
          <w:p w14:paraId="041E78AB">
            <w:pPr>
              <w:snapToGrid w:val="0"/>
              <w:spacing w:line="520" w:lineRule="exact"/>
              <w:ind w:firstLine="560" w:firstLineChars="200"/>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进度款</w:t>
            </w:r>
          </w:p>
        </w:tc>
        <w:tc>
          <w:tcPr>
            <w:tcW w:w="801" w:type="pct"/>
            <w:vAlign w:val="center"/>
          </w:tcPr>
          <w:p w14:paraId="07A2F684">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货物总价的3</w:t>
            </w:r>
            <w:r>
              <w:rPr>
                <w:rFonts w:cs="仿宋_GB2312" w:asciiTheme="minorEastAsia" w:hAnsiTheme="minorEastAsia" w:eastAsiaTheme="minorEastAsia"/>
                <w:color w:val="000000" w:themeColor="text1"/>
                <w:sz w:val="28"/>
                <w:szCs w:val="28"/>
              </w:rPr>
              <w:t>0%</w:t>
            </w:r>
          </w:p>
        </w:tc>
        <w:tc>
          <w:tcPr>
            <w:tcW w:w="3719" w:type="pct"/>
          </w:tcPr>
          <w:p w14:paraId="2DC47D8C">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宋体" w:asciiTheme="minorEastAsia" w:hAnsiTheme="minorEastAsia" w:eastAsiaTheme="minorEastAsia"/>
                <w:color w:val="000000" w:themeColor="text1"/>
                <w:sz w:val="28"/>
                <w:szCs w:val="28"/>
              </w:rPr>
              <w:t>首</w:t>
            </w:r>
            <w:r>
              <w:rPr>
                <w:rFonts w:hint="eastAsia" w:cs="___WRD_EMBED_SUB_40" w:asciiTheme="minorEastAsia" w:hAnsiTheme="minorEastAsia" w:eastAsiaTheme="minorEastAsia"/>
                <w:color w:val="000000" w:themeColor="text1"/>
                <w:sz w:val="28"/>
                <w:szCs w:val="28"/>
              </w:rPr>
              <w:t>批</w:t>
            </w:r>
            <w:r>
              <w:rPr>
                <w:rFonts w:cs="仿宋_GB2312" w:asciiTheme="minorEastAsia" w:hAnsiTheme="minorEastAsia" w:eastAsiaTheme="minorEastAsia"/>
                <w:color w:val="000000" w:themeColor="text1"/>
                <w:sz w:val="28"/>
                <w:szCs w:val="28"/>
              </w:rPr>
              <w:t>设备到达现场</w:t>
            </w:r>
            <w:r>
              <w:rPr>
                <w:rFonts w:hint="eastAsia" w:cs="仿宋_GB2312" w:asciiTheme="minorEastAsia" w:hAnsiTheme="minorEastAsia" w:eastAsiaTheme="minorEastAsia"/>
                <w:color w:val="000000" w:themeColor="text1"/>
                <w:sz w:val="28"/>
                <w:szCs w:val="28"/>
              </w:rPr>
              <w:t>，并将运输送货单、设备装箱单、进口元器件报关单和原产地证明（如果供货范围中有进口件）、经甲方对设备进行开箱清点无误和外观检验合格后20日内，甲方支付货物总价的30%（乙方开具货物总价金额100%的增值税专用发票），累计</w:t>
            </w:r>
            <w:r>
              <w:rPr>
                <w:rFonts w:cs="仿宋_GB2312" w:asciiTheme="minorEastAsia" w:hAnsiTheme="minorEastAsia" w:eastAsiaTheme="minorEastAsia"/>
                <w:color w:val="000000" w:themeColor="text1"/>
                <w:sz w:val="28"/>
                <w:szCs w:val="28"/>
              </w:rPr>
              <w:t>支付至</w:t>
            </w:r>
            <w:r>
              <w:rPr>
                <w:rFonts w:hint="eastAsia" w:cs="仿宋_GB2312" w:asciiTheme="minorEastAsia" w:hAnsiTheme="minorEastAsia" w:eastAsiaTheme="minorEastAsia"/>
                <w:color w:val="000000" w:themeColor="text1"/>
                <w:sz w:val="28"/>
                <w:szCs w:val="28"/>
              </w:rPr>
              <w:t>货物总价</w:t>
            </w:r>
            <w:r>
              <w:rPr>
                <w:rFonts w:cs="仿宋_GB2312" w:asciiTheme="minorEastAsia" w:hAnsiTheme="minorEastAsia" w:eastAsiaTheme="minorEastAsia"/>
                <w:color w:val="000000" w:themeColor="text1"/>
                <w:sz w:val="28"/>
                <w:szCs w:val="28"/>
              </w:rPr>
              <w:t>的</w:t>
            </w:r>
            <w:r>
              <w:rPr>
                <w:rFonts w:hint="eastAsia" w:cs="仿宋_GB2312" w:asciiTheme="minorEastAsia" w:hAnsiTheme="minorEastAsia" w:eastAsiaTheme="minorEastAsia"/>
                <w:color w:val="000000" w:themeColor="text1"/>
                <w:sz w:val="28"/>
                <w:szCs w:val="28"/>
              </w:rPr>
              <w:t>60</w:t>
            </w:r>
            <w:r>
              <w:rPr>
                <w:rFonts w:cs="仿宋_GB2312" w:asciiTheme="minorEastAsia" w:hAnsiTheme="minorEastAsia" w:eastAsiaTheme="minorEastAsia"/>
                <w:color w:val="000000" w:themeColor="text1"/>
                <w:sz w:val="28"/>
                <w:szCs w:val="28"/>
              </w:rPr>
              <w:t>%</w:t>
            </w:r>
            <w:r>
              <w:rPr>
                <w:rFonts w:hint="eastAsia" w:cs="仿宋_GB2312" w:asciiTheme="minorEastAsia" w:hAnsiTheme="minorEastAsia" w:eastAsiaTheme="minorEastAsia"/>
                <w:color w:val="000000" w:themeColor="text1"/>
                <w:sz w:val="28"/>
                <w:szCs w:val="28"/>
              </w:rPr>
              <w:t>。</w:t>
            </w:r>
          </w:p>
        </w:tc>
      </w:tr>
      <w:tr w14:paraId="65B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0" w:type="pct"/>
            <w:textDirection w:val="tbLrV"/>
            <w:vAlign w:val="center"/>
          </w:tcPr>
          <w:p w14:paraId="146F3DD0">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到货款</w:t>
            </w:r>
          </w:p>
        </w:tc>
        <w:tc>
          <w:tcPr>
            <w:tcW w:w="801" w:type="pct"/>
            <w:vAlign w:val="center"/>
          </w:tcPr>
          <w:p w14:paraId="26F7E8F1">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货物总价的3</w:t>
            </w:r>
            <w:r>
              <w:rPr>
                <w:rFonts w:cs="仿宋_GB2312" w:asciiTheme="minorEastAsia" w:hAnsiTheme="minorEastAsia" w:eastAsiaTheme="minorEastAsia"/>
                <w:color w:val="000000" w:themeColor="text1"/>
                <w:sz w:val="28"/>
                <w:szCs w:val="28"/>
              </w:rPr>
              <w:t>0%</w:t>
            </w:r>
          </w:p>
        </w:tc>
        <w:tc>
          <w:tcPr>
            <w:tcW w:w="3719" w:type="pct"/>
          </w:tcPr>
          <w:p w14:paraId="250B287A">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全部设备到货完毕，经甲方代表清点验收无误和外观检验合格20日内，甲方支付货物总价的30%，累计</w:t>
            </w:r>
            <w:r>
              <w:rPr>
                <w:rFonts w:cs="仿宋_GB2312" w:asciiTheme="minorEastAsia" w:hAnsiTheme="minorEastAsia" w:eastAsiaTheme="minorEastAsia"/>
                <w:color w:val="000000" w:themeColor="text1"/>
                <w:sz w:val="28"/>
                <w:szCs w:val="28"/>
              </w:rPr>
              <w:t>支付至</w:t>
            </w:r>
            <w:r>
              <w:rPr>
                <w:rFonts w:hint="eastAsia" w:cs="仿宋_GB2312" w:asciiTheme="minorEastAsia" w:hAnsiTheme="minorEastAsia" w:eastAsiaTheme="minorEastAsia"/>
                <w:color w:val="000000" w:themeColor="text1"/>
                <w:sz w:val="28"/>
                <w:szCs w:val="28"/>
              </w:rPr>
              <w:t>货物总价</w:t>
            </w:r>
            <w:r>
              <w:rPr>
                <w:rFonts w:cs="仿宋_GB2312" w:asciiTheme="minorEastAsia" w:hAnsiTheme="minorEastAsia" w:eastAsiaTheme="minorEastAsia"/>
                <w:color w:val="000000" w:themeColor="text1"/>
                <w:sz w:val="28"/>
                <w:szCs w:val="28"/>
              </w:rPr>
              <w:t>的</w:t>
            </w:r>
            <w:r>
              <w:rPr>
                <w:rFonts w:hint="eastAsia" w:cs="仿宋_GB2312" w:asciiTheme="minorEastAsia" w:hAnsiTheme="minorEastAsia" w:eastAsiaTheme="minorEastAsia"/>
                <w:color w:val="000000" w:themeColor="text1"/>
                <w:sz w:val="28"/>
                <w:szCs w:val="28"/>
              </w:rPr>
              <w:t>90</w:t>
            </w:r>
            <w:r>
              <w:rPr>
                <w:rFonts w:cs="仿宋_GB2312" w:asciiTheme="minorEastAsia" w:hAnsiTheme="minorEastAsia" w:eastAsiaTheme="minorEastAsia"/>
                <w:color w:val="000000" w:themeColor="text1"/>
                <w:sz w:val="28"/>
                <w:szCs w:val="28"/>
              </w:rPr>
              <w:t>%</w:t>
            </w:r>
            <w:r>
              <w:rPr>
                <w:rFonts w:hint="eastAsia" w:cs="仿宋_GB2312" w:asciiTheme="minorEastAsia" w:hAnsiTheme="minorEastAsia" w:eastAsiaTheme="minorEastAsia"/>
                <w:color w:val="000000" w:themeColor="text1"/>
                <w:sz w:val="28"/>
                <w:szCs w:val="28"/>
              </w:rPr>
              <w:t>。</w:t>
            </w:r>
          </w:p>
        </w:tc>
      </w:tr>
      <w:tr w14:paraId="1079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0" w:type="pct"/>
            <w:textDirection w:val="tbLrV"/>
            <w:vAlign w:val="center"/>
          </w:tcPr>
          <w:p w14:paraId="6377DF1F">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水压合格</w:t>
            </w:r>
            <w:r>
              <w:rPr>
                <w:rFonts w:cs="仿宋_GB2312" w:asciiTheme="minorEastAsia" w:hAnsiTheme="minorEastAsia" w:eastAsiaTheme="minorEastAsia"/>
                <w:color w:val="000000" w:themeColor="text1"/>
                <w:sz w:val="28"/>
                <w:szCs w:val="28"/>
              </w:rPr>
              <w:t>款</w:t>
            </w:r>
          </w:p>
        </w:tc>
        <w:tc>
          <w:tcPr>
            <w:tcW w:w="801" w:type="pct"/>
            <w:vAlign w:val="center"/>
          </w:tcPr>
          <w:p w14:paraId="26290515">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安装费的80</w:t>
            </w:r>
            <w:r>
              <w:rPr>
                <w:rFonts w:cs="仿宋_GB2312" w:asciiTheme="minorEastAsia" w:hAnsiTheme="minorEastAsia" w:eastAsiaTheme="minorEastAsia"/>
                <w:color w:val="000000" w:themeColor="text1"/>
                <w:sz w:val="28"/>
                <w:szCs w:val="28"/>
              </w:rPr>
              <w:t>%</w:t>
            </w:r>
          </w:p>
        </w:tc>
        <w:tc>
          <w:tcPr>
            <w:tcW w:w="3719" w:type="pct"/>
          </w:tcPr>
          <w:p w14:paraId="6AFB9B2D">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乙方将技术资料、指导书、图纸、质量检验合格书、出厂检验记录等全部资料提供给甲方，设备及系统安装调试完毕，水压试验合格后15日内，甲方向乙方</w:t>
            </w:r>
            <w:r>
              <w:rPr>
                <w:rFonts w:cs="仿宋_GB2312" w:asciiTheme="minorEastAsia" w:hAnsiTheme="minorEastAsia" w:eastAsiaTheme="minorEastAsia"/>
                <w:color w:val="000000" w:themeColor="text1"/>
                <w:sz w:val="28"/>
                <w:szCs w:val="28"/>
              </w:rPr>
              <w:t>支付</w:t>
            </w:r>
            <w:r>
              <w:rPr>
                <w:rFonts w:hint="eastAsia" w:cs="仿宋_GB2312" w:asciiTheme="minorEastAsia" w:hAnsiTheme="minorEastAsia" w:eastAsiaTheme="minorEastAsia"/>
                <w:color w:val="000000" w:themeColor="text1"/>
                <w:sz w:val="28"/>
                <w:szCs w:val="28"/>
              </w:rPr>
              <w:t>安装费的80%（乙方开具安装费金额100%的增值税专用发票）。</w:t>
            </w:r>
          </w:p>
        </w:tc>
      </w:tr>
      <w:tr w14:paraId="48D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0" w:type="pct"/>
            <w:textDirection w:val="tbLrV"/>
            <w:vAlign w:val="center"/>
          </w:tcPr>
          <w:p w14:paraId="340455CA">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总体验收合格款</w:t>
            </w:r>
          </w:p>
        </w:tc>
        <w:tc>
          <w:tcPr>
            <w:tcW w:w="801" w:type="pct"/>
            <w:vAlign w:val="center"/>
          </w:tcPr>
          <w:p w14:paraId="293C1286">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安装费的15</w:t>
            </w:r>
            <w:r>
              <w:rPr>
                <w:rFonts w:cs="仿宋_GB2312" w:asciiTheme="minorEastAsia" w:hAnsiTheme="minorEastAsia" w:eastAsiaTheme="minorEastAsia"/>
                <w:color w:val="000000" w:themeColor="text1"/>
                <w:sz w:val="28"/>
                <w:szCs w:val="28"/>
              </w:rPr>
              <w:t>%</w:t>
            </w:r>
          </w:p>
        </w:tc>
        <w:tc>
          <w:tcPr>
            <w:tcW w:w="3719" w:type="pct"/>
          </w:tcPr>
          <w:p w14:paraId="3B2F57A5">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系统调试运行正常，通过72+24小时满负荷连续可靠性运行试验及性能考核验收合格，乙方向甲方提供总体验收时应提交的技术文件，在业主签发机组竣工验收证书后20日内，甲方向乙方</w:t>
            </w:r>
            <w:r>
              <w:rPr>
                <w:rFonts w:cs="仿宋_GB2312" w:asciiTheme="minorEastAsia" w:hAnsiTheme="minorEastAsia" w:eastAsiaTheme="minorEastAsia"/>
                <w:color w:val="000000" w:themeColor="text1"/>
                <w:sz w:val="28"/>
                <w:szCs w:val="28"/>
              </w:rPr>
              <w:t>支付</w:t>
            </w:r>
            <w:r>
              <w:rPr>
                <w:rFonts w:hint="eastAsia" w:cs="仿宋_GB2312" w:asciiTheme="minorEastAsia" w:hAnsiTheme="minorEastAsia" w:eastAsiaTheme="minorEastAsia"/>
                <w:color w:val="000000" w:themeColor="text1"/>
                <w:sz w:val="28"/>
                <w:szCs w:val="28"/>
              </w:rPr>
              <w:t>安装费的15%，累计支付</w:t>
            </w:r>
            <w:r>
              <w:rPr>
                <w:rFonts w:cs="仿宋_GB2312" w:asciiTheme="minorEastAsia" w:hAnsiTheme="minorEastAsia" w:eastAsiaTheme="minorEastAsia"/>
                <w:color w:val="000000" w:themeColor="text1"/>
                <w:sz w:val="28"/>
                <w:szCs w:val="28"/>
              </w:rPr>
              <w:t>至</w:t>
            </w:r>
            <w:r>
              <w:rPr>
                <w:rFonts w:hint="eastAsia" w:cs="仿宋_GB2312" w:asciiTheme="minorEastAsia" w:hAnsiTheme="minorEastAsia" w:eastAsiaTheme="minorEastAsia"/>
                <w:color w:val="000000" w:themeColor="text1"/>
                <w:sz w:val="28"/>
                <w:szCs w:val="28"/>
              </w:rPr>
              <w:t>安装费</w:t>
            </w:r>
            <w:r>
              <w:rPr>
                <w:rFonts w:cs="仿宋_GB2312" w:asciiTheme="minorEastAsia" w:hAnsiTheme="minorEastAsia" w:eastAsiaTheme="minorEastAsia"/>
                <w:color w:val="000000" w:themeColor="text1"/>
                <w:sz w:val="28"/>
                <w:szCs w:val="28"/>
              </w:rPr>
              <w:t>的</w:t>
            </w:r>
            <w:r>
              <w:rPr>
                <w:rFonts w:hint="eastAsia" w:cs="仿宋_GB2312" w:asciiTheme="minorEastAsia" w:hAnsiTheme="minorEastAsia" w:eastAsiaTheme="minorEastAsia"/>
                <w:color w:val="000000" w:themeColor="text1"/>
                <w:sz w:val="28"/>
                <w:szCs w:val="28"/>
              </w:rPr>
              <w:t>95</w:t>
            </w:r>
            <w:r>
              <w:rPr>
                <w:rFonts w:cs="仿宋_GB2312" w:asciiTheme="minorEastAsia" w:hAnsiTheme="minorEastAsia" w:eastAsiaTheme="minorEastAsia"/>
                <w:color w:val="000000" w:themeColor="text1"/>
                <w:sz w:val="28"/>
                <w:szCs w:val="28"/>
              </w:rPr>
              <w:t>%</w:t>
            </w:r>
            <w:r>
              <w:rPr>
                <w:rFonts w:hint="eastAsia" w:cs="仿宋_GB2312" w:asciiTheme="minorEastAsia" w:hAnsiTheme="minorEastAsia" w:eastAsiaTheme="minorEastAsia"/>
                <w:color w:val="000000" w:themeColor="text1"/>
                <w:sz w:val="28"/>
                <w:szCs w:val="28"/>
              </w:rPr>
              <w:t>。</w:t>
            </w:r>
          </w:p>
          <w:p w14:paraId="7FF53069">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提供附件：业主方签发的机组竣工验收证书复印件、甲方代表签发的试车考核及工程验收合格证明。</w:t>
            </w:r>
          </w:p>
        </w:tc>
      </w:tr>
      <w:tr w14:paraId="779B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80" w:type="pct"/>
            <w:textDirection w:val="tbLrV"/>
            <w:vAlign w:val="center"/>
          </w:tcPr>
          <w:p w14:paraId="21CD62B5">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质保金</w:t>
            </w:r>
          </w:p>
        </w:tc>
        <w:tc>
          <w:tcPr>
            <w:tcW w:w="801" w:type="pct"/>
            <w:vAlign w:val="center"/>
          </w:tcPr>
          <w:p w14:paraId="71B4637D">
            <w:pPr>
              <w:snapToGrid w:val="0"/>
              <w:spacing w:line="520" w:lineRule="exact"/>
              <w:jc w:val="center"/>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货物总价的10%，安装费的5%</w:t>
            </w:r>
          </w:p>
        </w:tc>
        <w:tc>
          <w:tcPr>
            <w:tcW w:w="3719" w:type="pct"/>
          </w:tcPr>
          <w:p w14:paraId="11370D32">
            <w:pPr>
              <w:snapToGrid w:val="0"/>
              <w:spacing w:line="520" w:lineRule="exact"/>
              <w:ind w:firstLine="560" w:firstLineChars="200"/>
              <w:jc w:val="left"/>
              <w:rPr>
                <w:rFonts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质保期以设备安装完成验收合格正式交付运行之日起</w:t>
            </w:r>
            <w:r>
              <w:rPr>
                <w:rFonts w:hint="eastAsia" w:cs="仿宋_GB2312" w:asciiTheme="minorEastAsia" w:hAnsiTheme="minorEastAsia" w:eastAsiaTheme="minorEastAsia"/>
                <w:color w:val="000000" w:themeColor="text1"/>
                <w:sz w:val="28"/>
                <w:szCs w:val="28"/>
                <w:u w:val="single"/>
              </w:rPr>
              <w:t xml:space="preserve">     </w:t>
            </w:r>
            <w:r>
              <w:rPr>
                <w:rFonts w:hint="eastAsia" w:cs="仿宋_GB2312" w:asciiTheme="minorEastAsia" w:hAnsiTheme="minorEastAsia" w:eastAsiaTheme="minorEastAsia"/>
                <w:color w:val="000000" w:themeColor="text1"/>
                <w:sz w:val="28"/>
                <w:szCs w:val="28"/>
              </w:rPr>
              <w:t>年，在质保期限满后30日内，甲方一次性无息返还乙方质保金（货物总价的10%，安装费的5%），累计支付至合同总价的100%。</w:t>
            </w:r>
          </w:p>
        </w:tc>
      </w:tr>
      <w:bookmarkEnd w:id="107"/>
    </w:tbl>
    <w:p w14:paraId="66157C18">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10.4 发票</w:t>
      </w:r>
    </w:p>
    <w:p w14:paraId="54667964">
      <w:pPr>
        <w:snapToGrid w:val="0"/>
        <w:spacing w:line="520" w:lineRule="exact"/>
        <w:ind w:firstLine="640" w:firstLineChars="200"/>
        <w:rPr>
          <w:rFonts w:ascii="仿宋_GB2312" w:hAnsi="仿宋_GB2312" w:eastAsia="仿宋_GB2312" w:cs="仿宋_GB2312"/>
          <w:color w:val="000000" w:themeColor="text1"/>
          <w:sz w:val="32"/>
          <w:szCs w:val="32"/>
        </w:rPr>
      </w:pPr>
      <w:bookmarkStart w:id="108" w:name="_Hlk187068045"/>
      <w:r>
        <w:rPr>
          <w:rFonts w:hint="eastAsia" w:ascii="仿宋_GB2312" w:hAnsi="仿宋_GB2312" w:eastAsia="仿宋_GB2312" w:cs="仿宋_GB2312"/>
          <w:color w:val="000000" w:themeColor="text1"/>
          <w:sz w:val="32"/>
          <w:szCs w:val="32"/>
        </w:rPr>
        <w:t>乙方应提供与采购物资等额、合法合规的增值税（专用/普通）发票或出口报关单（出口退税用），若乙方提供虚假发票、过期作废的发票、真票假开、发票项目不齐全、字迹不清楚、没有加盖发票专用章等不合规的发票、或者擅自作废、红冲发票、未按规定履行纳税申报义务，一经发现，甲方有权单方解除合同，并终止与乙方全部业务合作。由此而产生的行政责任、刑事责任、经济责任或者其他可能产生的违法后果均由发票提供方承担。同时，甲方保有向相关机关检举、揭发的权利等。</w:t>
      </w:r>
      <w:bookmarkEnd w:id="108"/>
      <w:r>
        <w:rPr>
          <w:rFonts w:hint="eastAsia" w:ascii="仿宋_GB2312" w:hAnsi="仿宋_GB2312" w:eastAsia="仿宋_GB2312" w:cs="仿宋_GB2312"/>
          <w:b/>
          <w:bCs/>
          <w:color w:val="000000" w:themeColor="text1"/>
          <w:sz w:val="32"/>
          <w:szCs w:val="32"/>
        </w:rPr>
        <w:t>甲方对于发票的签收和抵扣并不视为对于金额的确认，应付款金额应以结算单为准。</w:t>
      </w:r>
    </w:p>
    <w:p w14:paraId="5A21A30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w:t>
      </w:r>
      <w:bookmarkStart w:id="109" w:name="_Hlk187068064"/>
      <w:r>
        <w:rPr>
          <w:rFonts w:hint="eastAsia" w:ascii="仿宋_GB2312" w:hAnsi="仿宋_GB2312" w:eastAsia="仿宋_GB2312" w:cs="仿宋_GB2312"/>
          <w:color w:val="000000" w:themeColor="text1"/>
          <w:sz w:val="32"/>
          <w:szCs w:val="32"/>
        </w:rPr>
        <w:t>5 尽管10.3条有支付时间约定，</w:t>
      </w:r>
      <w:r>
        <w:rPr>
          <w:rFonts w:hint="eastAsia" w:ascii="仿宋_GB2312" w:hAnsi="仿宋_GB2312" w:eastAsia="仿宋_GB2312" w:cs="仿宋_GB2312"/>
          <w:b/>
          <w:bCs/>
          <w:color w:val="000000" w:themeColor="text1"/>
          <w:sz w:val="32"/>
          <w:szCs w:val="32"/>
        </w:rPr>
        <w:t>乙方知晓并同意乙方在向甲方申请付款前向甲方提交货物合格证证明文件、签收结算资料、合法合规足额的增值税发票等完整资料为本合同的主合同义务，甲方只有在收到所有合格的支付凭证后，才具备向乙方支付货款的基础。</w:t>
      </w:r>
      <w:r>
        <w:rPr>
          <w:rFonts w:hint="eastAsia" w:ascii="仿宋_GB2312" w:hAnsi="仿宋_GB2312" w:eastAsia="仿宋_GB2312" w:cs="仿宋_GB2312"/>
          <w:color w:val="000000" w:themeColor="text1"/>
          <w:sz w:val="32"/>
          <w:szCs w:val="32"/>
        </w:rPr>
        <w:t>如因乙方未能及时提交所需的相关资料和票据，或提交的资料和票据不全，则不能满足甲方的付款要求，因此造成付款延误，甲方不承担逾期付款的责任。</w:t>
      </w:r>
    </w:p>
    <w:bookmarkEnd w:id="109"/>
    <w:p w14:paraId="4CFB8401">
      <w:pPr>
        <w:adjustRightInd w:val="0"/>
        <w:snapToGrid w:val="0"/>
        <w:spacing w:line="520" w:lineRule="exact"/>
        <w:outlineLvl w:val="0"/>
        <w:rPr>
          <w:rFonts w:ascii="仿宋_GB2312" w:hAnsi="仿宋_GB2312" w:eastAsia="仿宋_GB2312" w:cs="仿宋_GB2312"/>
          <w:b/>
          <w:bCs/>
          <w:color w:val="000000" w:themeColor="text1"/>
          <w:sz w:val="32"/>
          <w:szCs w:val="32"/>
        </w:rPr>
      </w:pPr>
      <w:bookmarkStart w:id="110" w:name="_Toc216855838"/>
      <w:bookmarkStart w:id="111" w:name="_Toc7666"/>
      <w:r>
        <w:rPr>
          <w:rFonts w:hint="eastAsia" w:ascii="仿宋_GB2312" w:hAnsi="仿宋_GB2312" w:eastAsia="仿宋_GB2312" w:cs="仿宋_GB2312"/>
          <w:b/>
          <w:bCs/>
          <w:color w:val="000000" w:themeColor="text1"/>
          <w:sz w:val="32"/>
          <w:szCs w:val="32"/>
        </w:rPr>
        <w:t>11.质量保证期</w:t>
      </w:r>
      <w:bookmarkEnd w:id="110"/>
      <w:bookmarkEnd w:id="111"/>
    </w:p>
    <w:p w14:paraId="10463A96">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11.1质量保证期限为</w:t>
      </w:r>
      <w:r>
        <w:rPr>
          <w:rFonts w:hint="eastAsia" w:ascii="仿宋_GB2312" w:hAnsi="仿宋_GB2312" w:eastAsia="仿宋_GB2312" w:cs="仿宋_GB2312"/>
          <w:color w:val="000000" w:themeColor="text1"/>
          <w:sz w:val="32"/>
          <w:szCs w:val="32"/>
          <w:u w:val="single"/>
        </w:rPr>
        <w:t xml:space="preserve">     年</w:t>
      </w:r>
      <w:r>
        <w:rPr>
          <w:rFonts w:hint="eastAsia" w:ascii="仿宋_GB2312" w:hAnsi="仿宋_GB2312" w:eastAsia="仿宋_GB2312" w:cs="仿宋_GB2312"/>
          <w:color w:val="000000" w:themeColor="text1"/>
          <w:sz w:val="32"/>
          <w:szCs w:val="32"/>
        </w:rPr>
        <w:t>，并提供免费现场服务，终身维护。质保期自设备安装完成验收合格正式交付运行之日起计算。</w:t>
      </w:r>
    </w:p>
    <w:p w14:paraId="0C31D5F3">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货物的质量须严格遵照《中华人民共和国产品质量法》等法律法规的规定，在合理设计使用年限内满足工程需要，也不得低于货物的市场主流质量保证期，并同时保留甲方对乙方行使的其他权利。若国家、地方或行业对本合同产品的质保期规定长于本合同约定的，以国家、地方或行业规定的期限为准。</w:t>
      </w:r>
    </w:p>
    <w:p w14:paraId="2CCD97C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11.2</w:t>
      </w:r>
      <w:r>
        <w:rPr>
          <w:rFonts w:hint="eastAsia" w:ascii="仿宋_GB2312" w:hAnsi="仿宋_GB2312" w:eastAsia="仿宋_GB2312" w:cs="仿宋_GB2312"/>
          <w:sz w:val="32"/>
          <w:szCs w:val="32"/>
        </w:rPr>
        <w:t xml:space="preserve"> 对质保期前</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个月内，如产品有严重制造质量问题或缺陷，乙方应免费更换，在质保期内，如同一产品出现三次质量问题，乙方应免费更换，以保证甲方正常使用。乙方收到甲方</w:t>
      </w:r>
      <w:r>
        <w:rPr>
          <w:rFonts w:hint="eastAsia" w:ascii="仿宋_GB2312" w:hAnsi="仿宋_GB2312" w:eastAsia="仿宋_GB2312" w:cs="仿宋_GB2312"/>
          <w:color w:val="000000" w:themeColor="text1"/>
          <w:sz w:val="32"/>
          <w:szCs w:val="32"/>
        </w:rPr>
        <w:t>通知后</w:t>
      </w:r>
      <w:r>
        <w:rPr>
          <w:rFonts w:hint="eastAsia" w:ascii="仿宋_GB2312" w:hAnsi="仿宋_GB2312" w:eastAsia="仿宋_GB2312" w:cs="仿宋_GB2312"/>
          <w:color w:val="000000" w:themeColor="text1"/>
          <w:sz w:val="32"/>
          <w:szCs w:val="32"/>
          <w:u w:val="single"/>
        </w:rPr>
        <w:t xml:space="preserve"> 2 </w:t>
      </w:r>
      <w:r>
        <w:rPr>
          <w:rFonts w:hint="eastAsia" w:ascii="仿宋_GB2312" w:hAnsi="仿宋_GB2312" w:eastAsia="仿宋_GB2312" w:cs="仿宋_GB2312"/>
          <w:color w:val="000000" w:themeColor="text1"/>
          <w:sz w:val="32"/>
          <w:szCs w:val="32"/>
        </w:rPr>
        <w:t>天内，应给予书面答复；如果乙方在收到通知后</w:t>
      </w:r>
      <w:r>
        <w:rPr>
          <w:rFonts w:hint="eastAsia" w:ascii="仿宋_GB2312" w:hAnsi="仿宋_GB2312" w:eastAsia="仿宋_GB2312" w:cs="仿宋_GB2312"/>
          <w:color w:val="000000" w:themeColor="text1"/>
          <w:sz w:val="32"/>
          <w:szCs w:val="32"/>
          <w:u w:val="single"/>
        </w:rPr>
        <w:t xml:space="preserve"> 5 </w:t>
      </w:r>
      <w:r>
        <w:rPr>
          <w:rFonts w:hint="eastAsia" w:ascii="仿宋_GB2312" w:hAnsi="仿宋_GB2312" w:eastAsia="仿宋_GB2312" w:cs="仿宋_GB2312"/>
          <w:color w:val="000000" w:themeColor="text1"/>
          <w:sz w:val="32"/>
          <w:szCs w:val="32"/>
        </w:rPr>
        <w:t>天内没有弥补缺陷，甲方可采取必要的补救措施，但由此产生的风险和费用将由乙方承担，甲方有权从货款中予以扣除，不足部分甲方有权按实际损失进行追偿。</w:t>
      </w:r>
    </w:p>
    <w:p w14:paraId="495CBEC3">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11.3 </w:t>
      </w:r>
      <w:r>
        <w:rPr>
          <w:rFonts w:hint="eastAsia" w:ascii="仿宋_GB2312" w:hAnsi="仿宋_GB2312" w:eastAsia="仿宋_GB2312" w:cs="仿宋_GB2312"/>
          <w:b/>
          <w:sz w:val="32"/>
          <w:szCs w:val="32"/>
        </w:rPr>
        <w:t>乙方在产品系统集成过程中，如产品间技术性能相互不兼容而影响系统性能，由乙方承担一切责任，给甲方造成损失或不良影响的，乙方予以赔偿。</w:t>
      </w:r>
    </w:p>
    <w:p w14:paraId="3F024DBF">
      <w:pPr>
        <w:snapToGrid w:val="0"/>
        <w:spacing w:line="520" w:lineRule="exact"/>
        <w:outlineLvl w:val="0"/>
        <w:rPr>
          <w:rFonts w:ascii="仿宋_GB2312" w:hAnsi="仿宋_GB2312" w:eastAsia="仿宋_GB2312" w:cs="仿宋_GB2312"/>
          <w:b/>
          <w:bCs/>
          <w:color w:val="000000" w:themeColor="text1"/>
          <w:sz w:val="32"/>
          <w:szCs w:val="32"/>
        </w:rPr>
      </w:pPr>
      <w:bookmarkStart w:id="112" w:name="_Toc24607"/>
      <w:bookmarkStart w:id="113" w:name="_Toc216855839"/>
      <w:bookmarkStart w:id="114" w:name="_Hlk187068231"/>
      <w:r>
        <w:rPr>
          <w:rFonts w:hint="eastAsia" w:ascii="仿宋_GB2312" w:hAnsi="仿宋_GB2312" w:eastAsia="仿宋_GB2312" w:cs="仿宋_GB2312"/>
          <w:b/>
          <w:bCs/>
          <w:color w:val="000000" w:themeColor="text1"/>
          <w:sz w:val="32"/>
          <w:szCs w:val="32"/>
        </w:rPr>
        <w:t>12.合同的变更与解除</w:t>
      </w:r>
      <w:bookmarkEnd w:id="112"/>
      <w:bookmarkEnd w:id="113"/>
    </w:p>
    <w:p w14:paraId="6EA1121A">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12.1 本合同生效后，经双方书面协商一致，可变更或解除本合同。</w:t>
      </w:r>
    </w:p>
    <w:p w14:paraId="09A1453E">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12.2 如因不可抗力致使本合同无法履约的，甲乙双方均可解除合同，不承担违约责任。</w:t>
      </w:r>
    </w:p>
    <w:p w14:paraId="440CC84D">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12.3 如果业主与甲方之间关于本工程项目的合同变更或解除时，甲方有权根据实际情况变更或解除本合同，不承担违约责任。</w:t>
      </w:r>
    </w:p>
    <w:bookmarkEnd w:id="114"/>
    <w:p w14:paraId="08391C87">
      <w:pPr>
        <w:snapToGrid w:val="0"/>
        <w:spacing w:line="520" w:lineRule="exact"/>
        <w:outlineLvl w:val="0"/>
        <w:rPr>
          <w:rFonts w:ascii="仿宋_GB2312" w:hAnsi="仿宋_GB2312" w:eastAsia="仿宋_GB2312" w:cs="仿宋_GB2312"/>
          <w:b/>
          <w:bCs/>
          <w:color w:val="000000" w:themeColor="text1"/>
          <w:sz w:val="32"/>
          <w:szCs w:val="32"/>
        </w:rPr>
      </w:pPr>
      <w:bookmarkStart w:id="115" w:name="_Toc25048"/>
      <w:bookmarkStart w:id="116" w:name="_Toc216855840"/>
      <w:r>
        <w:rPr>
          <w:rFonts w:hint="eastAsia" w:ascii="仿宋_GB2312" w:hAnsi="仿宋_GB2312" w:eastAsia="仿宋_GB2312" w:cs="仿宋_GB2312"/>
          <w:b/>
          <w:bCs/>
          <w:color w:val="000000" w:themeColor="text1"/>
          <w:sz w:val="32"/>
          <w:szCs w:val="32"/>
        </w:rPr>
        <w:t>13.违约责任</w:t>
      </w:r>
      <w:bookmarkEnd w:id="115"/>
      <w:bookmarkEnd w:id="116"/>
    </w:p>
    <w:p w14:paraId="29093DC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13.1 发出书面违约通知书</w:t>
      </w:r>
    </w:p>
    <w:p w14:paraId="18F0D68A">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在甲方对乙方违约而采取的任何补救措施不受影响的情况下，甲方可向乙方发出书面违约通知书，提出终止部分或全部合同：</w:t>
      </w:r>
    </w:p>
    <w:p w14:paraId="1A25E575">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（1）除甲方书面同意延长期限外，如乙方未能在合同约定及供货单规定的期限内提供部分或全部货物；</w:t>
      </w:r>
    </w:p>
    <w:p w14:paraId="0C331391">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（2）如乙方未能履行合同约定的其他任何义务；</w:t>
      </w:r>
    </w:p>
    <w:p w14:paraId="1BFBA719">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如甲方认为乙方在本合同的竞争和实施过程中有腐败或欺诈行为。（“腐败行为”是指提供、给予、接受或索取任何有价值的物品来影响甲方在采购过程或合同实施过程中的行为。“欺诈行为”是指为了影响采购过程或合同实施过程而谎报或隐瞒事实，损害甲方利益的行为）</w:t>
      </w:r>
    </w:p>
    <w:p w14:paraId="54606A3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13.2 合同终止及索赔</w:t>
      </w:r>
    </w:p>
    <w:p w14:paraId="092D6BC0">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如乙方未能履行合同约定的其他义务，乙方在收到甲方发出的违约通知后</w:t>
      </w:r>
      <w:r>
        <w:rPr>
          <w:rFonts w:hint="eastAsia" w:ascii="仿宋_GB2312" w:hAnsi="仿宋_GB2312" w:eastAsia="仿宋_GB2312" w:cs="仿宋_GB2312"/>
          <w:color w:val="000000" w:themeColor="text1"/>
          <w:sz w:val="32"/>
          <w:szCs w:val="32"/>
          <w:u w:val="single"/>
        </w:rPr>
        <w:t xml:space="preserve"> 2 </w:t>
      </w:r>
      <w:r>
        <w:rPr>
          <w:rFonts w:hint="eastAsia" w:ascii="仿宋_GB2312" w:hAnsi="仿宋_GB2312" w:eastAsia="仿宋_GB2312" w:cs="仿宋_GB2312"/>
          <w:color w:val="000000" w:themeColor="text1"/>
          <w:sz w:val="32"/>
          <w:szCs w:val="32"/>
        </w:rPr>
        <w:t>天内，或经甲方书面认可延长的时间内未能纠正。甲方可向乙方发出书面通知，终止部分或全部合同。合同终止不影响甲方向乙方提出的索赔。</w:t>
      </w:r>
    </w:p>
    <w:p w14:paraId="6681D7D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乙方破产或无清偿能力（包括被法院列为失信被执行人或法定代表人被限制高消费等），甲方可在任何时候单方书面通知乙方解除合同且不承担任何支付或赔偿责任，乙方应立即退还甲方已支付的预付款。该合同的终止将不损害或影响甲方已经采取或将要采取的任何行动或补救措施的权利。</w:t>
      </w:r>
    </w:p>
    <w:p w14:paraId="3742D32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13.3未终止合同执行</w:t>
      </w:r>
    </w:p>
    <w:p w14:paraId="14435EB3">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果甲方根据13.2条约定，终止了部分或全部合同，甲方可以依其以适当的条件和方法购买与未交部分类似的货物或服务，乙方应承担甲方因购买类似货物或服务而产生的额外支出，合同中未终止的部分乙方应继续执行。</w:t>
      </w:r>
    </w:p>
    <w:p w14:paraId="2741A910">
      <w:pPr>
        <w:snapToGrid w:val="0"/>
        <w:spacing w:line="520" w:lineRule="exact"/>
        <w:ind w:firstLine="640" w:firstLineChars="200"/>
        <w:rPr>
          <w:rFonts w:ascii="仿宋_GB2312" w:hAnsi="仿宋_GB2312" w:eastAsia="仿宋_GB2312" w:cs="仿宋_GB2312"/>
          <w:color w:val="000000" w:themeColor="text1"/>
          <w:sz w:val="32"/>
          <w:szCs w:val="32"/>
        </w:rPr>
      </w:pPr>
      <w:bookmarkStart w:id="117" w:name="_Hlk197952532"/>
      <w:r>
        <w:rPr>
          <w:rFonts w:hint="eastAsia" w:ascii="仿宋_GB2312" w:hAnsi="仿宋_GB2312" w:eastAsia="仿宋_GB2312" w:cs="仿宋_GB2312"/>
          <w:color w:val="000000" w:themeColor="text1"/>
          <w:sz w:val="32"/>
          <w:szCs w:val="32"/>
        </w:rPr>
        <w:t>13.4 甲方的违约责任</w:t>
      </w:r>
    </w:p>
    <w:p w14:paraId="22EC6550">
      <w:pPr>
        <w:snapToGrid w:val="0"/>
        <w:spacing w:line="520" w:lineRule="exact"/>
        <w:ind w:firstLine="640" w:firstLineChars="200"/>
        <w:rPr>
          <w:rFonts w:ascii="仿宋_GB2312" w:hAnsi="仿宋_GB2312" w:eastAsia="仿宋_GB2312" w:cs="仿宋_GB2312"/>
          <w:color w:val="000000" w:themeColor="text1"/>
          <w:sz w:val="32"/>
          <w:szCs w:val="32"/>
        </w:rPr>
      </w:pPr>
      <w:bookmarkStart w:id="118" w:name="_Hlk187669639"/>
      <w:r>
        <w:rPr>
          <w:rFonts w:hint="eastAsia" w:ascii="仿宋_GB2312" w:hAnsi="仿宋_GB2312" w:eastAsia="仿宋_GB2312" w:cs="仿宋_GB2312"/>
          <w:color w:val="000000" w:themeColor="text1"/>
          <w:sz w:val="32"/>
          <w:szCs w:val="32"/>
        </w:rPr>
        <w:t>（1）如甲方存在违约情况，乙方可发函向甲方催告。</w:t>
      </w:r>
    </w:p>
    <w:bookmarkEnd w:id="118"/>
    <w:p w14:paraId="150EC884">
      <w:pPr>
        <w:snapToGrid w:val="0"/>
        <w:spacing w:line="520" w:lineRule="exact"/>
        <w:ind w:firstLine="640" w:firstLineChars="200"/>
        <w:rPr>
          <w:rFonts w:ascii="仿宋_GB2312" w:hAnsi="仿宋_GB2312" w:eastAsia="仿宋_GB2312" w:cs="仿宋_GB2312"/>
          <w:color w:val="000000" w:themeColor="text1"/>
          <w:sz w:val="32"/>
          <w:szCs w:val="32"/>
        </w:rPr>
      </w:pPr>
      <w:bookmarkStart w:id="119" w:name="_Hlk187669652"/>
      <w:r>
        <w:rPr>
          <w:rFonts w:hint="eastAsia" w:ascii="仿宋_GB2312" w:hAnsi="仿宋_GB2312" w:eastAsia="仿宋_GB2312" w:cs="仿宋_GB2312"/>
          <w:color w:val="000000" w:themeColor="text1"/>
          <w:sz w:val="32"/>
          <w:szCs w:val="32"/>
        </w:rPr>
        <w:t>（2）如果甲方未按本合同约定的日期向乙方付款，乙方同意给予甲方</w:t>
      </w:r>
      <w:r>
        <w:rPr>
          <w:rFonts w:hint="eastAsia" w:ascii="仿宋_GB2312" w:hAnsi="仿宋_GB2312" w:eastAsia="仿宋_GB2312" w:cs="仿宋_GB2312"/>
          <w:color w:val="000000" w:themeColor="text1"/>
          <w:sz w:val="32"/>
          <w:szCs w:val="32"/>
          <w:u w:val="single"/>
        </w:rPr>
        <w:t xml:space="preserve"> 60 </w:t>
      </w:r>
      <w:r>
        <w:rPr>
          <w:rFonts w:hint="eastAsia" w:ascii="仿宋_GB2312" w:hAnsi="仿宋_GB2312" w:eastAsia="仿宋_GB2312" w:cs="仿宋_GB2312"/>
          <w:color w:val="000000" w:themeColor="text1"/>
          <w:sz w:val="32"/>
          <w:szCs w:val="32"/>
        </w:rPr>
        <w:t>天的付款宽限期，宽限期内甲方不承担任何逾期付款责任。宽限期满仍未支付的，从宽限期次日起，按照</w:t>
      </w:r>
      <w:r>
        <w:rPr>
          <w:rFonts w:hint="eastAsia" w:ascii="仿宋_GB2312" w:hAnsi="仿宋_GB2312" w:eastAsia="仿宋_GB2312" w:cs="仿宋_GB2312"/>
          <w:sz w:val="32"/>
          <w:szCs w:val="32"/>
          <w:u w:val="single"/>
        </w:rPr>
        <w:t>同期贷款市场报价利率（LPR)</w:t>
      </w:r>
      <w:r>
        <w:rPr>
          <w:rFonts w:hint="eastAsia" w:ascii="仿宋_GB2312" w:hAnsi="仿宋_GB2312" w:eastAsia="仿宋_GB2312" w:cs="仿宋_GB2312"/>
          <w:color w:val="000000" w:themeColor="text1"/>
          <w:sz w:val="32"/>
          <w:szCs w:val="32"/>
        </w:rPr>
        <w:t>支付逾期利息，违约金上限不超过合同价的</w:t>
      </w:r>
      <w:r>
        <w:rPr>
          <w:rFonts w:hint="eastAsia" w:ascii="仿宋_GB2312" w:hAnsi="仿宋_GB2312" w:eastAsia="仿宋_GB2312" w:cs="仿宋_GB2312"/>
          <w:color w:val="000000" w:themeColor="text1"/>
          <w:sz w:val="32"/>
          <w:szCs w:val="32"/>
          <w:u w:val="single"/>
        </w:rPr>
        <w:t xml:space="preserve"> 1 </w:t>
      </w:r>
      <w:r>
        <w:rPr>
          <w:rFonts w:hint="eastAsia" w:ascii="仿宋_GB2312" w:hAnsi="仿宋_GB2312" w:eastAsia="仿宋_GB2312" w:cs="仿宋_GB2312"/>
          <w:color w:val="000000" w:themeColor="text1"/>
          <w:sz w:val="32"/>
          <w:szCs w:val="32"/>
        </w:rPr>
        <w:t>%，除此之外乙方不得向甲方主张任何其他费用或违约金。</w:t>
      </w:r>
    </w:p>
    <w:p w14:paraId="7EDD794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乙方承诺不因甲方未按期足额支付为由停止供货（预付款除外），若逾期支付超过</w:t>
      </w:r>
      <w:r>
        <w:rPr>
          <w:rFonts w:hint="eastAsia" w:ascii="仿宋_GB2312" w:hAnsi="仿宋_GB2312" w:eastAsia="仿宋_GB2312" w:cs="仿宋_GB2312"/>
          <w:color w:val="000000" w:themeColor="text1"/>
          <w:sz w:val="32"/>
          <w:szCs w:val="32"/>
          <w:u w:val="single"/>
        </w:rPr>
        <w:t xml:space="preserve"> 60 </w:t>
      </w:r>
      <w:r>
        <w:rPr>
          <w:rFonts w:hint="eastAsia" w:ascii="仿宋_GB2312" w:hAnsi="仿宋_GB2312" w:eastAsia="仿宋_GB2312" w:cs="仿宋_GB2312"/>
          <w:color w:val="000000" w:themeColor="text1"/>
          <w:sz w:val="32"/>
          <w:szCs w:val="32"/>
        </w:rPr>
        <w:t>日，则乙方有权暂停供货。</w:t>
      </w:r>
    </w:p>
    <w:bookmarkEnd w:id="117"/>
    <w:bookmarkEnd w:id="119"/>
    <w:p w14:paraId="46B83F0D">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13.5 乙方的违约责任</w:t>
      </w:r>
    </w:p>
    <w:p w14:paraId="40C4199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（1）如乙方未经甲方书面同意而中途变更货物颜色、品种、规格、型号、质量或包装标准等，则甲方有权单方解除本合同，乙方应承担违约责任，并须按</w:t>
      </w:r>
      <w:bookmarkStart w:id="120" w:name="_Hlk187660319"/>
      <w:r>
        <w:rPr>
          <w:rFonts w:hint="eastAsia" w:ascii="仿宋_GB2312" w:hAnsi="仿宋_GB2312" w:eastAsia="仿宋_GB2312" w:cs="仿宋_GB2312"/>
          <w:b/>
          <w:color w:val="000000" w:themeColor="text1"/>
          <w:sz w:val="32"/>
          <w:szCs w:val="32"/>
          <w:u w:val="single"/>
        </w:rPr>
        <w:t>合同金额的 5 %</w:t>
      </w:r>
      <w:r>
        <w:rPr>
          <w:rFonts w:hint="eastAsia" w:ascii="仿宋_GB2312" w:hAnsi="仿宋_GB2312" w:eastAsia="仿宋_GB2312" w:cs="仿宋_GB2312"/>
          <w:color w:val="000000" w:themeColor="text1"/>
          <w:sz w:val="32"/>
          <w:szCs w:val="32"/>
        </w:rPr>
        <w:t>向甲方支付违约金</w:t>
      </w:r>
      <w:bookmarkEnd w:id="120"/>
      <w:r>
        <w:rPr>
          <w:rFonts w:hint="eastAsia" w:ascii="仿宋_GB2312" w:hAnsi="仿宋_GB2312" w:eastAsia="仿宋_GB2312" w:cs="仿宋_GB2312"/>
          <w:color w:val="000000" w:themeColor="text1"/>
          <w:sz w:val="32"/>
          <w:szCs w:val="32"/>
        </w:rPr>
        <w:t>。</w:t>
      </w:r>
    </w:p>
    <w:p w14:paraId="2E4E9C6E">
      <w:pPr>
        <w:snapToGrid w:val="0"/>
        <w:spacing w:line="520" w:lineRule="exact"/>
        <w:ind w:firstLine="640" w:firstLineChars="200"/>
        <w:rPr>
          <w:rFonts w:ascii="仿宋" w:hAnsi="仿宋" w:eastAsia="仿宋" w:cs="仿宋"/>
          <w:spacing w:val="6"/>
          <w:sz w:val="32"/>
          <w:szCs w:val="32"/>
        </w:rPr>
      </w:pPr>
      <w:r>
        <w:rPr>
          <w:rFonts w:hint="eastAsia" w:ascii="仿宋_GB2312" w:hAnsi="仿宋_GB2312" w:eastAsia="仿宋_GB2312" w:cs="仿宋_GB2312"/>
          <w:color w:val="000000" w:themeColor="text1"/>
          <w:sz w:val="32"/>
          <w:szCs w:val="32"/>
        </w:rPr>
        <w:t>（2）如乙方未按合同约定的时间或数量交货和完成安装调试满足煮炉条件，甲方可选择部分接收，同时在不影响合同项下的其他补救措施的情况下，要求乙方继续提供符合合同要求的货物或</w:t>
      </w:r>
      <w:r>
        <w:rPr>
          <w:rFonts w:hint="eastAsia" w:ascii="仿宋" w:hAnsi="仿宋" w:eastAsia="仿宋" w:cs="仿宋"/>
          <w:color w:val="000000" w:themeColor="text1"/>
          <w:sz w:val="32"/>
          <w:szCs w:val="32"/>
        </w:rPr>
        <w:t>安装</w:t>
      </w:r>
      <w:r>
        <w:rPr>
          <w:rFonts w:hint="eastAsia" w:ascii="仿宋_GB2312" w:hAnsi="仿宋_GB2312" w:eastAsia="仿宋_GB2312" w:cs="仿宋_GB2312"/>
          <w:color w:val="000000" w:themeColor="text1"/>
          <w:sz w:val="32"/>
          <w:szCs w:val="32"/>
        </w:rPr>
        <w:t>，造成设备交货期逾期的，每延误一天按按</w:t>
      </w:r>
      <w:r>
        <w:rPr>
          <w:rFonts w:hint="eastAsia" w:ascii="仿宋_GB2312" w:hAnsi="仿宋_GB2312" w:eastAsia="仿宋_GB2312" w:cs="仿宋_GB2312"/>
          <w:b/>
          <w:color w:val="000000" w:themeColor="text1"/>
          <w:sz w:val="32"/>
          <w:szCs w:val="32"/>
          <w:u w:val="single"/>
        </w:rPr>
        <w:t xml:space="preserve">货物总价的 </w:t>
      </w:r>
      <w:r>
        <w:rPr>
          <w:rFonts w:ascii="仿宋_GB2312" w:hAnsi="仿宋_GB2312" w:eastAsia="仿宋_GB2312" w:cs="仿宋_GB2312"/>
          <w:b/>
          <w:color w:val="000000" w:themeColor="text1"/>
          <w:sz w:val="32"/>
          <w:szCs w:val="32"/>
          <w:u w:val="single"/>
        </w:rPr>
        <w:t>0.1%</w:t>
      </w:r>
      <w:r>
        <w:rPr>
          <w:rFonts w:hint="eastAsia" w:ascii="仿宋_GB2312" w:hAnsi="仿宋_GB2312" w:eastAsia="仿宋_GB2312" w:cs="仿宋_GB2312"/>
          <w:b/>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交付违约金，最多不超过</w:t>
      </w:r>
      <w:r>
        <w:rPr>
          <w:rFonts w:hint="eastAsia" w:ascii="仿宋_GB2312" w:hAnsi="仿宋_GB2312" w:eastAsia="仿宋_GB2312" w:cs="仿宋_GB2312"/>
          <w:b/>
          <w:color w:val="000000" w:themeColor="text1"/>
          <w:sz w:val="32"/>
          <w:szCs w:val="32"/>
          <w:u w:val="single"/>
        </w:rPr>
        <w:t xml:space="preserve">货物总价的 </w:t>
      </w:r>
      <w:r>
        <w:rPr>
          <w:rFonts w:ascii="仿宋_GB2312" w:hAnsi="仿宋_GB2312" w:eastAsia="仿宋_GB2312" w:cs="仿宋_GB2312"/>
          <w:b/>
          <w:color w:val="000000" w:themeColor="text1"/>
          <w:sz w:val="32"/>
          <w:szCs w:val="32"/>
          <w:u w:val="single"/>
        </w:rPr>
        <w:t>3%</w:t>
      </w:r>
      <w:r>
        <w:rPr>
          <w:rFonts w:hint="eastAsia" w:ascii="仿宋_GB2312" w:hAnsi="仿宋_GB2312" w:eastAsia="仿宋_GB2312" w:cs="仿宋_GB2312"/>
          <w:b/>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，否则甲方有权无条件终止合同；造成设备整体交付周期逾期的，每延误一天按按</w:t>
      </w:r>
      <w:r>
        <w:rPr>
          <w:rFonts w:hint="eastAsia" w:ascii="仿宋_GB2312" w:hAnsi="仿宋_GB2312" w:eastAsia="仿宋_GB2312" w:cs="仿宋_GB2312"/>
          <w:b/>
          <w:color w:val="000000" w:themeColor="text1"/>
          <w:sz w:val="32"/>
          <w:szCs w:val="32"/>
          <w:u w:val="single"/>
        </w:rPr>
        <w:t xml:space="preserve">合同总价的 </w:t>
      </w:r>
      <w:r>
        <w:rPr>
          <w:rFonts w:ascii="仿宋_GB2312" w:hAnsi="仿宋_GB2312" w:eastAsia="仿宋_GB2312" w:cs="仿宋_GB2312"/>
          <w:b/>
          <w:color w:val="000000" w:themeColor="text1"/>
          <w:sz w:val="32"/>
          <w:szCs w:val="32"/>
          <w:u w:val="single"/>
        </w:rPr>
        <w:t>0.1%</w:t>
      </w:r>
      <w:r>
        <w:rPr>
          <w:rFonts w:hint="eastAsia" w:ascii="仿宋_GB2312" w:hAnsi="仿宋_GB2312" w:eastAsia="仿宋_GB2312" w:cs="仿宋_GB2312"/>
          <w:b/>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交付违约金，最多不超过</w:t>
      </w:r>
      <w:r>
        <w:rPr>
          <w:rFonts w:hint="eastAsia" w:ascii="仿宋_GB2312" w:hAnsi="仿宋_GB2312" w:eastAsia="仿宋_GB2312" w:cs="仿宋_GB2312"/>
          <w:b/>
          <w:color w:val="000000" w:themeColor="text1"/>
          <w:sz w:val="32"/>
          <w:szCs w:val="32"/>
          <w:u w:val="single"/>
        </w:rPr>
        <w:t xml:space="preserve">合同总额的 </w:t>
      </w:r>
      <w:r>
        <w:rPr>
          <w:rFonts w:ascii="仿宋_GB2312" w:hAnsi="仿宋_GB2312" w:eastAsia="仿宋_GB2312" w:cs="仿宋_GB2312"/>
          <w:b/>
          <w:color w:val="000000" w:themeColor="text1"/>
          <w:sz w:val="32"/>
          <w:szCs w:val="32"/>
          <w:u w:val="single"/>
        </w:rPr>
        <w:t>3%</w:t>
      </w:r>
      <w:r>
        <w:rPr>
          <w:rFonts w:hint="eastAsia" w:ascii="仿宋_GB2312" w:hAnsi="仿宋_GB2312" w:eastAsia="仿宋_GB2312" w:cs="仿宋_GB2312"/>
          <w:b/>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，否则甲方有权无条件终止合同。</w:t>
      </w:r>
    </w:p>
    <w:p w14:paraId="3BB142B5">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如乙方未按合同约定的时间或数量交货和完成完成安装调试满足煮炉条件，严重影响甲方项目履约的，甲方有权立即单方解除本合同，乙方将按</w:t>
      </w:r>
      <w:r>
        <w:rPr>
          <w:rFonts w:hint="eastAsia" w:ascii="仿宋_GB2312" w:hAnsi="仿宋_GB2312" w:eastAsia="仿宋_GB2312" w:cs="仿宋_GB2312"/>
          <w:b/>
          <w:color w:val="000000" w:themeColor="text1"/>
          <w:sz w:val="32"/>
          <w:szCs w:val="32"/>
          <w:u w:val="single"/>
        </w:rPr>
        <w:t>违约标的金额的5%</w:t>
      </w:r>
      <w:r>
        <w:rPr>
          <w:rFonts w:hint="eastAsia" w:ascii="仿宋_GB2312" w:hAnsi="仿宋_GB2312" w:eastAsia="仿宋_GB2312" w:cs="仿宋_GB2312"/>
          <w:color w:val="000000" w:themeColor="text1"/>
          <w:sz w:val="32"/>
          <w:szCs w:val="32"/>
        </w:rPr>
        <w:t>向甲方支付违约金，并赔偿甲方因此所遭受的所有损失。</w:t>
      </w:r>
    </w:p>
    <w:p w14:paraId="6D50F2D1">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（3）如乙方的货物包装全部不符合本合同约定时，则甲方有权单方解除本合同，乙方应按</w:t>
      </w:r>
      <w:r>
        <w:rPr>
          <w:rFonts w:hint="eastAsia" w:ascii="仿宋_GB2312" w:hAnsi="仿宋_GB2312" w:eastAsia="仿宋_GB2312" w:cs="仿宋_GB2312"/>
          <w:b/>
          <w:color w:val="000000" w:themeColor="text1"/>
          <w:sz w:val="32"/>
          <w:szCs w:val="32"/>
          <w:u w:val="single"/>
        </w:rPr>
        <w:t>违约标的金额的5%</w:t>
      </w:r>
      <w:r>
        <w:rPr>
          <w:rFonts w:hint="eastAsia" w:ascii="仿宋_GB2312" w:hAnsi="仿宋_GB2312" w:eastAsia="仿宋_GB2312" w:cs="仿宋_GB2312"/>
          <w:color w:val="000000" w:themeColor="text1"/>
          <w:sz w:val="32"/>
          <w:szCs w:val="32"/>
        </w:rPr>
        <w:t>向甲方支付违约金；如乙方的部分货物包装不符合本合同约定的，甲方可选择接收包装合格部分货物，乙方按照包装不符合本合同约定的</w:t>
      </w:r>
      <w:r>
        <w:rPr>
          <w:rFonts w:hint="eastAsia" w:ascii="仿宋_GB2312" w:hAnsi="仿宋_GB2312" w:eastAsia="仿宋_GB2312" w:cs="仿宋_GB2312"/>
          <w:b/>
          <w:color w:val="000000" w:themeColor="text1"/>
          <w:sz w:val="32"/>
          <w:szCs w:val="32"/>
          <w:u w:val="single"/>
        </w:rPr>
        <w:t>货物价值的 5%</w:t>
      </w:r>
      <w:r>
        <w:rPr>
          <w:rFonts w:hint="eastAsia" w:ascii="仿宋_GB2312" w:hAnsi="仿宋_GB2312" w:eastAsia="仿宋_GB2312" w:cs="仿宋_GB2312"/>
          <w:color w:val="000000" w:themeColor="text1"/>
          <w:sz w:val="32"/>
          <w:szCs w:val="32"/>
        </w:rPr>
        <w:t xml:space="preserve"> 向甲方支付违约金；如因乙方部分货物包装不符合本合同约定导致乙方供货数量不满足本合同约定的，则甲方有权单方解除本合同，乙方应按</w:t>
      </w:r>
      <w:r>
        <w:rPr>
          <w:rFonts w:hint="eastAsia" w:ascii="仿宋_GB2312" w:hAnsi="仿宋_GB2312" w:eastAsia="仿宋_GB2312" w:cs="仿宋_GB2312"/>
          <w:b/>
          <w:color w:val="000000" w:themeColor="text1"/>
          <w:sz w:val="32"/>
          <w:szCs w:val="32"/>
          <w:u w:val="single"/>
        </w:rPr>
        <w:t xml:space="preserve">合同金额的5% </w:t>
      </w:r>
      <w:r>
        <w:rPr>
          <w:rFonts w:hint="eastAsia" w:ascii="仿宋_GB2312" w:hAnsi="仿宋_GB2312" w:eastAsia="仿宋_GB2312" w:cs="仿宋_GB2312"/>
          <w:color w:val="000000" w:themeColor="text1"/>
          <w:sz w:val="32"/>
          <w:szCs w:val="32"/>
        </w:rPr>
        <w:t>向甲方支付违约金。</w:t>
      </w:r>
    </w:p>
    <w:p w14:paraId="1F92A103">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（4）如因乙方提供货物存在质量问题（或不符合合同约定）或因乙方行为造成甲方或其他任何第三方财产损失、人员伤亡的，乙方应承担全部赔偿责任。</w:t>
      </w:r>
    </w:p>
    <w:p w14:paraId="4330CDD0">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（5）如乙方提供质量保证书造假的，应按</w:t>
      </w:r>
      <w:r>
        <w:rPr>
          <w:rFonts w:hint="eastAsia" w:ascii="仿宋_GB2312" w:hAnsi="仿宋_GB2312" w:eastAsia="仿宋_GB2312" w:cs="仿宋_GB2312"/>
          <w:color w:val="000000" w:themeColor="text1"/>
          <w:sz w:val="32"/>
          <w:szCs w:val="32"/>
          <w:u w:val="single"/>
        </w:rPr>
        <w:t xml:space="preserve">合同金额的5% </w:t>
      </w:r>
      <w:r>
        <w:rPr>
          <w:rFonts w:hint="eastAsia" w:ascii="仿宋_GB2312" w:hAnsi="仿宋_GB2312" w:eastAsia="仿宋_GB2312" w:cs="仿宋_GB2312"/>
          <w:color w:val="000000" w:themeColor="text1"/>
          <w:sz w:val="32"/>
          <w:szCs w:val="32"/>
        </w:rPr>
        <w:t>向甲方支付违约金，并按甲方实际损失进行赔偿。</w:t>
      </w:r>
    </w:p>
    <w:p w14:paraId="67D426DF">
      <w:pPr>
        <w:snapToGrid w:val="0"/>
        <w:spacing w:line="520" w:lineRule="exact"/>
        <w:ind w:firstLine="640" w:firstLineChars="200"/>
        <w:rPr>
          <w:rFonts w:ascii="仿宋_GB2312" w:hAnsi="仿宋_GB2312" w:eastAsia="仿宋_GB2312" w:cs="仿宋_GB2312"/>
          <w:color w:val="000000" w:themeColor="text1"/>
          <w:sz w:val="32"/>
          <w:szCs w:val="32"/>
        </w:rPr>
      </w:pPr>
      <w:bookmarkStart w:id="121" w:name="_Hlk187669785"/>
      <w:r>
        <w:rPr>
          <w:rFonts w:hint="eastAsia" w:ascii="仿宋_GB2312" w:hAnsi="仿宋_GB2312" w:eastAsia="仿宋_GB2312" w:cs="仿宋_GB2312"/>
          <w:color w:val="000000" w:themeColor="text1"/>
          <w:sz w:val="32"/>
          <w:szCs w:val="32"/>
        </w:rPr>
        <w:t>（6）如乙方违反本合同的其他有关约定，则甲方有权单方解除本合同，乙方应按</w:t>
      </w:r>
      <w:r>
        <w:rPr>
          <w:rFonts w:hint="eastAsia" w:ascii="仿宋_GB2312" w:hAnsi="仿宋_GB2312" w:eastAsia="仿宋_GB2312" w:cs="仿宋_GB2312"/>
          <w:b/>
          <w:color w:val="000000" w:themeColor="text1"/>
          <w:sz w:val="32"/>
          <w:szCs w:val="32"/>
          <w:u w:val="single"/>
        </w:rPr>
        <w:t xml:space="preserve">合同金额的5% </w:t>
      </w:r>
      <w:r>
        <w:rPr>
          <w:rFonts w:hint="eastAsia" w:ascii="仿宋_GB2312" w:hAnsi="仿宋_GB2312" w:eastAsia="仿宋_GB2312" w:cs="仿宋_GB2312"/>
          <w:color w:val="000000" w:themeColor="text1"/>
          <w:sz w:val="32"/>
          <w:szCs w:val="32"/>
        </w:rPr>
        <w:t>向甲方支付违约金。</w:t>
      </w:r>
    </w:p>
    <w:p w14:paraId="1AB68A8D">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（7）违约金不足以弥补甲方损失的，甲方有权向乙方另行主张包括但不限于甲方因此而支出的律师费、诉讼费、保全费、调查取证费用、差旅费、鉴定费以及甲方遭受的第三方索赔、行政处罚等损失。</w:t>
      </w:r>
    </w:p>
    <w:p w14:paraId="4278A855">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（8）如甲方因乙方原因被诉讼、被法院下达协助执行通知书或债务履行通知书的视为乙方违约，违约金按照</w:t>
      </w:r>
      <w:r>
        <w:rPr>
          <w:rFonts w:hint="eastAsia" w:ascii="仿宋_GB2312" w:hAnsi="仿宋_GB2312" w:eastAsia="仿宋_GB2312" w:cs="仿宋_GB2312"/>
          <w:b/>
          <w:color w:val="000000" w:themeColor="text1"/>
          <w:sz w:val="32"/>
          <w:szCs w:val="32"/>
          <w:u w:val="single"/>
        </w:rPr>
        <w:t>5000元</w:t>
      </w:r>
      <w:r>
        <w:rPr>
          <w:rFonts w:hint="eastAsia" w:ascii="仿宋_GB2312" w:hAnsi="仿宋_GB2312" w:eastAsia="仿宋_GB2312" w:cs="仿宋_GB2312"/>
          <w:b/>
          <w:color w:val="000000" w:themeColor="text1"/>
          <w:sz w:val="32"/>
          <w:szCs w:val="32"/>
        </w:rPr>
        <w:t>/次</w:t>
      </w:r>
      <w:r>
        <w:rPr>
          <w:rFonts w:hint="eastAsia" w:ascii="仿宋_GB2312" w:hAnsi="仿宋_GB2312" w:eastAsia="仿宋_GB2312" w:cs="仿宋_GB2312"/>
          <w:color w:val="000000" w:themeColor="text1"/>
          <w:sz w:val="32"/>
          <w:szCs w:val="32"/>
        </w:rPr>
        <w:t>执行，甲方有权从任何应付乙方款项里扣除，如不够扣除的，甲方有权向乙方追偿；如因此导致甲方资金账户被冻结、划扣的，乙方还需承担甲方</w:t>
      </w:r>
      <w:r>
        <w:rPr>
          <w:rFonts w:hint="eastAsia" w:ascii="仿宋_GB2312" w:hAnsi="仿宋_GB2312" w:eastAsia="仿宋_GB2312" w:cs="仿宋_GB2312"/>
          <w:b/>
          <w:color w:val="000000" w:themeColor="text1"/>
          <w:sz w:val="32"/>
          <w:szCs w:val="32"/>
          <w:u w:val="single"/>
        </w:rPr>
        <w:t>被冻结、划扣金额5%/次</w:t>
      </w:r>
      <w:r>
        <w:rPr>
          <w:rFonts w:hint="eastAsia" w:ascii="仿宋_GB2312" w:hAnsi="仿宋_GB2312" w:eastAsia="仿宋_GB2312" w:cs="仿宋_GB2312"/>
          <w:color w:val="000000" w:themeColor="text1"/>
          <w:sz w:val="32"/>
          <w:szCs w:val="32"/>
        </w:rPr>
        <w:t>的违约责任。</w:t>
      </w:r>
    </w:p>
    <w:p w14:paraId="3592AC5B">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（9）本合同约定或依法应由乙方承担赔偿责任，乙方拒绝或怠于赔偿的，甲方可直接先予赔偿，所需的费用直接从乙方合同价款扣除而无需取得乙方同意。不足的部分，甲方有权向乙方追偿。</w:t>
      </w:r>
    </w:p>
    <w:p w14:paraId="447CA61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（10）其他违约责任：</w:t>
      </w:r>
      <w:r>
        <w:rPr>
          <w:rFonts w:hint="eastAsia" w:ascii="仿宋_GB2312" w:hAnsi="仿宋_GB2312" w:eastAsia="仿宋_GB2312" w:cs="仿宋_GB2312"/>
          <w:color w:val="000000" w:themeColor="text1"/>
          <w:sz w:val="32"/>
          <w:szCs w:val="32"/>
          <w:u w:val="single"/>
        </w:rPr>
        <w:t>/   ‌</w:t>
      </w:r>
      <w:r>
        <w:rPr>
          <w:rFonts w:hint="eastAsia" w:ascii="仿宋_GB2312" w:hAnsi="仿宋_GB2312" w:eastAsia="仿宋_GB2312" w:cs="仿宋_GB2312"/>
          <w:color w:val="000000" w:themeColor="text1"/>
          <w:sz w:val="32"/>
          <w:szCs w:val="32"/>
        </w:rPr>
        <w:t>。</w:t>
      </w:r>
    </w:p>
    <w:p w14:paraId="6B190C6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由于乙方责任应承担的违约金、赔偿款、各种罚款等费用，乙方有如下两种方式缴纳：①乙方可向甲方单独缴纳前述款项，缴纳完成后，甲方向乙方开具收款收据。②甲方有权在应付乙方的货款中直接扣除。甲方扣除各种罚款、赔偿款、违约金及其他统缴统支费用等视同拨付乙方货款，乙方无需再另行向甲方缴纳前述款项，但乙方仍须按照实际供货金额向甲方开具收款收据和增值税发票。</w:t>
      </w:r>
    </w:p>
    <w:p w14:paraId="074C284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若甲方应付乙方的货款已全部支付完毕的，乙方应当按照第①种方式向甲方缴纳前述款项；若甲方欠付乙方的货款不足以全额抵扣前述费用的，乙方应向甲方另行支付不足以抵扣部分的款项，支付完毕后甲方仅向乙方就不足以抵扣部分款项开具收款收据。</w:t>
      </w:r>
    </w:p>
    <w:p w14:paraId="0F5A3550">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发生上述情形，甲方应向乙方发送通知，乙方选择第①种缴纳方式的，应当在收到甲方通知后的5日内按时缴纳至甲方指定账户。如乙方在接到通知后5日内未向甲方全额支付前述款项的，视为乙方同意甲方在欠付乙方的货款范围内进行相应抵扣。如不能全部抵扣的，甲方有权依法向乙方主张上述费用及甲方为实现合法权利实际支出的所有费用（包括但不限于律师费、诉讼费、保全费、保函费、公证费、鉴定费等）。</w:t>
      </w:r>
      <w:bookmarkEnd w:id="121"/>
    </w:p>
    <w:p w14:paraId="3F9E4AEE">
      <w:pPr>
        <w:snapToGrid w:val="0"/>
        <w:spacing w:line="520" w:lineRule="exact"/>
        <w:outlineLvl w:val="0"/>
        <w:rPr>
          <w:rFonts w:ascii="仿宋_GB2312" w:hAnsi="仿宋_GB2312" w:eastAsia="仿宋_GB2312" w:cs="仿宋_GB2312"/>
          <w:b/>
          <w:bCs/>
          <w:color w:val="000000" w:themeColor="text1"/>
          <w:sz w:val="32"/>
          <w:szCs w:val="32"/>
        </w:rPr>
      </w:pPr>
      <w:bookmarkStart w:id="122" w:name="_Toc27099"/>
      <w:bookmarkStart w:id="123" w:name="_Toc216855841"/>
      <w:r>
        <w:rPr>
          <w:rFonts w:hint="eastAsia" w:ascii="仿宋_GB2312" w:hAnsi="仿宋_GB2312" w:eastAsia="仿宋_GB2312" w:cs="仿宋_GB2312"/>
          <w:b/>
          <w:bCs/>
          <w:color w:val="000000" w:themeColor="text1"/>
          <w:sz w:val="32"/>
          <w:szCs w:val="32"/>
        </w:rPr>
        <w:t>14.不可抗力</w:t>
      </w:r>
      <w:bookmarkEnd w:id="122"/>
      <w:bookmarkEnd w:id="123"/>
    </w:p>
    <w:p w14:paraId="63A74181">
      <w:pPr>
        <w:snapToGrid w:val="0"/>
        <w:spacing w:line="520" w:lineRule="exact"/>
        <w:ind w:firstLine="640" w:firstLineChars="200"/>
        <w:rPr>
          <w:rFonts w:ascii="仿宋_GB2312" w:hAnsi="仿宋_GB2312" w:eastAsia="仿宋_GB2312" w:cs="仿宋_GB2312"/>
          <w:color w:val="000000" w:themeColor="text1"/>
          <w:sz w:val="32"/>
          <w:szCs w:val="32"/>
        </w:rPr>
      </w:pPr>
      <w:bookmarkStart w:id="124" w:name="_Hlk187069853"/>
      <w:r>
        <w:rPr>
          <w:rFonts w:hint="eastAsia" w:ascii="仿宋_GB2312" w:hAnsi="仿宋_GB2312" w:eastAsia="仿宋_GB2312" w:cs="仿宋_GB2312"/>
          <w:color w:val="000000" w:themeColor="text1"/>
          <w:sz w:val="32"/>
          <w:szCs w:val="32"/>
        </w:rPr>
        <w:t>14.1 签约双方任何一方由于不可抗力事件的影响而不能执行合同时，履行合同的期限应予延长，其延长的期限应相当于事件所影响的时间。不可抗力事件系指甲乙双方在缔结合同时所不能预见的，并且它的发生及其后果是无法避免和无法克服的事件，诸如战争、严重火灾、洪水、台风、地震等。</w:t>
      </w:r>
    </w:p>
    <w:p w14:paraId="564EC3D7">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14.2受影响一方应在不可抗力事件发生后尽快用书面形式通知对方，并于不可抗力事件发生后</w:t>
      </w:r>
      <w:r>
        <w:rPr>
          <w:rFonts w:hint="eastAsia" w:ascii="仿宋_GB2312" w:hAnsi="仿宋_GB2312" w:eastAsia="仿宋_GB2312" w:cs="仿宋_GB2312"/>
          <w:color w:val="000000" w:themeColor="text1"/>
          <w:sz w:val="32"/>
          <w:szCs w:val="32"/>
          <w:u w:val="single"/>
        </w:rPr>
        <w:t xml:space="preserve"> 14 </w:t>
      </w:r>
      <w:r>
        <w:rPr>
          <w:rFonts w:hint="eastAsia" w:ascii="仿宋_GB2312" w:hAnsi="仿宋_GB2312" w:eastAsia="仿宋_GB2312" w:cs="仿宋_GB2312"/>
          <w:color w:val="000000" w:themeColor="text1"/>
          <w:sz w:val="32"/>
          <w:szCs w:val="32"/>
        </w:rPr>
        <w:t>天内将有关当局出具的证明文件用特快专递或挂号信寄给对方审阅确认。一旦不可抗力事件的影响持续120天以上，双方应通过友好协商在合理的时间内达成进一步履行合同的协议。</w:t>
      </w:r>
    </w:p>
    <w:p w14:paraId="0566188D">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14.3因合同一方迟延履行合同后发生不可抗力的，不能免除迟延履行方的相应责任。</w:t>
      </w:r>
    </w:p>
    <w:bookmarkEnd w:id="124"/>
    <w:p w14:paraId="7D98D3A9">
      <w:pPr>
        <w:snapToGrid w:val="0"/>
        <w:spacing w:line="520" w:lineRule="exact"/>
        <w:outlineLvl w:val="0"/>
        <w:rPr>
          <w:rFonts w:ascii="仿宋_GB2312" w:hAnsi="仿宋_GB2312" w:eastAsia="仿宋_GB2312" w:cs="仿宋_GB2312"/>
          <w:b/>
          <w:bCs/>
          <w:color w:val="000000" w:themeColor="text1"/>
          <w:sz w:val="32"/>
          <w:szCs w:val="32"/>
        </w:rPr>
      </w:pPr>
      <w:bookmarkStart w:id="125" w:name="_Toc14457"/>
      <w:bookmarkStart w:id="126" w:name="_Toc216855842"/>
      <w:r>
        <w:rPr>
          <w:rFonts w:hint="eastAsia" w:ascii="仿宋_GB2312" w:hAnsi="仿宋_GB2312" w:eastAsia="仿宋_GB2312" w:cs="仿宋_GB2312"/>
          <w:b/>
          <w:bCs/>
          <w:color w:val="000000" w:themeColor="text1"/>
          <w:sz w:val="32"/>
          <w:szCs w:val="32"/>
        </w:rPr>
        <w:t>15.知识产权及保密</w:t>
      </w:r>
      <w:bookmarkEnd w:id="125"/>
      <w:bookmarkEnd w:id="126"/>
    </w:p>
    <w:p w14:paraId="7082882A">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15.1 乙方应保证该货物的商标、专利等知识产权归乙方所有，对于知识产权非乙方所有的货物，乙方应提供该货物的知识产权许可证明等合法来源证明。</w:t>
      </w:r>
    </w:p>
    <w:p w14:paraId="00D0B098">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15.2 乙方应保证甲方在使用该货物或其任何一部分时，不会侵犯任何第三方的合法权益，不受第三方提出侵犯专利权、商标权、著作权、工业产权及其他权利的主张、索赔或诉讼，乙方应完全地保护或者应甲方的要求保护甲方免受任何因乙方交付的货物侵害或滥用任何第三方的专利权、商标权、著作权、工业产权及其他权利而导致的诉讼或争议解决程序或行政处罚等。如果任何第三方提出侵权指控，乙方须与第三方交涉并承担可能发生的一切法律责任和费用，前述费用包括但不限于甲方为挽回经济损失、声誉损失或处理该等法律纠纷所支付的律师费用、诉讼费、仲裁费、合理的差旅费以及其他合理、必要的支出。</w:t>
      </w:r>
    </w:p>
    <w:p w14:paraId="010BA87D">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15.3 若发生行政机构或司法机关要求停止侵权，导致甲方被禁止使用全部或部分货物时，由乙方通过更改、替换等方式让甲方继续使用以实现合同目的。因禁止使用该货物而给甲方造成的损失，由乙方承担。</w:t>
      </w:r>
    </w:p>
    <w:p w14:paraId="0F06CA7A">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15.4 乙方为执行本合同而提供的技术资料、软件的使用权归甲方所有。未经甲方书面同意，乙方不得以任何形式自行使用或提供给任何第三方使用执行本合同而提供的技术资料、软件（包括不得整体使用或单独使用其中的某个部分），否则，甲方有权追究乙方的相关法律责任，并要求乙方赔偿甲方因此而受到的全部损失（包括但不限于甲方因此而支出的律师费、诉讼费、保全费、调查取证费用、差旅费、鉴定费以及甲方遭受的第三方索赔、行政处罚）。</w:t>
      </w:r>
    </w:p>
    <w:p w14:paraId="2EFB99F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15.5 如乙方货物系由甲方或甲方委托乙方设计、研发，则该货物技术（包括但不限于货物的规格、样式、型号等）、专利申请权或专利权、货物版权等知识产权均归甲方所有；</w:t>
      </w:r>
    </w:p>
    <w:p w14:paraId="20F28C4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15.6 乙方在甲方提供的技术图纸、设计方案、样品等资料的基础上形成或改进的技术成果及其相关知识产权，均归甲方所有。</w:t>
      </w:r>
    </w:p>
    <w:p w14:paraId="670EA4CF">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15.7 保密信息：与</w:t>
      </w:r>
      <w:bookmarkStart w:id="127" w:name="_Hlk187069907"/>
      <w:r>
        <w:rPr>
          <w:rFonts w:hint="eastAsia" w:ascii="仿宋_GB2312" w:hAnsi="仿宋_GB2312" w:eastAsia="仿宋_GB2312" w:cs="仿宋_GB2312"/>
          <w:color w:val="000000" w:themeColor="text1"/>
          <w:sz w:val="32"/>
          <w:szCs w:val="32"/>
        </w:rPr>
        <w:t>本合同相关的任何信息以及乙方在本合同签订、履行过程中从甲方获得或知悉的任何非公开的技术信息和经营信息，包括但不限于产品计划、产品图片、产品信息、销售计划、奖励政策、客户资料、财务信息、交易数据、经营体系、第三方资讯，以及非专利技术、设计、程序、技术数据、制作方法、资讯来源，均构成甲方的保密信息。</w:t>
      </w:r>
    </w:p>
    <w:p w14:paraId="46123B4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15.8 保密：乙方对上述保密信息负有保密义务，除非经甲方事先书面同意，不得以任何方式向第三方披露，亦不得使用于本合同以外的其他目的，并应采取一切合理的措施使甲方的保密信息免于被散布、传播、披露、复制、滥用或被无关人员接触。如因执行本合同的目的需将前述信息提供给乙方员工，乙方应保证该员工按本合同约定严格履行保密义务。</w:t>
      </w:r>
    </w:p>
    <w:p w14:paraId="739FAE69">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15.9 本合同解除或终止后，乙方应确保销毁其持有的本合同项下甲方提供的有关资料，乙方不得留存任何复印件或其他任何形式的备份等，相关费用由乙方自行承担。甲方有权派员监督乙方的销毁过程或者要求乙方提供相关的销毁证明资料，乙方应积极配合并按甲方要求提供相关资料。</w:t>
      </w:r>
    </w:p>
    <w:p w14:paraId="59F42163">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15.10 如乙方违反上述关于保密的约定，乙方应向甲方赔偿甲方因此遭受的损失（包括但不限于甲方因此而支出的律师费、诉讼费、保全费、调查取证费用、差旅费、鉴定费以及甲方遭受的第三方索赔、行政处罚等）。</w:t>
      </w:r>
    </w:p>
    <w:p w14:paraId="33B3D6D9">
      <w:pPr>
        <w:snapToGrid w:val="0"/>
        <w:spacing w:line="520" w:lineRule="exact"/>
        <w:ind w:firstLine="640" w:firstLineChars="200"/>
        <w:outlineLvl w:val="0"/>
        <w:rPr>
          <w:rFonts w:ascii="仿宋_GB2312" w:hAnsi="仿宋_GB2312" w:eastAsia="仿宋_GB2312" w:cs="仿宋_GB2312"/>
          <w:b/>
          <w:bCs/>
          <w:color w:val="000000" w:themeColor="text1"/>
          <w:sz w:val="32"/>
          <w:szCs w:val="32"/>
        </w:rPr>
      </w:pPr>
      <w:bookmarkStart w:id="128" w:name="_Toc216855843"/>
      <w:bookmarkStart w:id="129" w:name="_Toc216807383"/>
      <w:bookmarkStart w:id="130" w:name="_Toc216809130"/>
      <w:bookmarkStart w:id="131" w:name="_Toc216809183"/>
      <w:bookmarkStart w:id="132" w:name="_Toc216809537"/>
      <w:bookmarkStart w:id="133" w:name="_Toc216808945"/>
      <w:r>
        <w:rPr>
          <w:rFonts w:hint="eastAsia" w:ascii="仿宋_GB2312" w:hAnsi="仿宋_GB2312" w:eastAsia="仿宋_GB2312" w:cs="仿宋_GB2312"/>
          <w:color w:val="000000" w:themeColor="text1"/>
          <w:sz w:val="32"/>
          <w:szCs w:val="32"/>
        </w:rPr>
        <w:t>15.11 本合同的终止、无效、变更或者解除，均不影响本合同第15条的效力。</w:t>
      </w:r>
      <w:bookmarkEnd w:id="127"/>
      <w:bookmarkEnd w:id="128"/>
      <w:bookmarkEnd w:id="129"/>
      <w:bookmarkEnd w:id="130"/>
      <w:bookmarkEnd w:id="131"/>
      <w:bookmarkEnd w:id="132"/>
      <w:bookmarkEnd w:id="133"/>
      <w:bookmarkStart w:id="134" w:name="_Toc11803"/>
      <w:bookmarkStart w:id="135" w:name="_Toc9558"/>
    </w:p>
    <w:bookmarkEnd w:id="134"/>
    <w:bookmarkEnd w:id="135"/>
    <w:p w14:paraId="18DC2AB4">
      <w:pPr>
        <w:adjustRightInd w:val="0"/>
        <w:snapToGrid w:val="0"/>
        <w:spacing w:line="520" w:lineRule="exact"/>
        <w:ind w:firstLine="640" w:firstLineChars="200"/>
        <w:rPr>
          <w:rFonts w:ascii="仿宋_GB2312" w:hAnsi="仿宋_GB2312" w:eastAsia="仿宋_GB2312" w:cs="仿宋_GB2312"/>
          <w:b/>
          <w:bCs/>
          <w:color w:val="000000" w:themeColor="text1"/>
          <w:sz w:val="32"/>
          <w:szCs w:val="32"/>
        </w:rPr>
      </w:pPr>
      <w:bookmarkStart w:id="136" w:name="_Hlk187069962"/>
      <w:r>
        <w:rPr>
          <w:rFonts w:hint="eastAsia" w:ascii="仿宋_GB2312" w:hAnsi="仿宋_GB2312" w:eastAsia="仿宋_GB2312" w:cs="仿宋_GB2312"/>
          <w:color w:val="000000" w:themeColor="text1"/>
          <w:sz w:val="32"/>
          <w:szCs w:val="32"/>
        </w:rPr>
        <w:t>未经甲方事先书面同意，乙方不得部分转让或全部转让其应履行的合同义务，也不得将本合同中及名下的任何收益和利益转让给他人。乙方承诺不得将对甲方的债权（包括到期与未到期）转让、抵押、质押给第三人，若因乙方擅自将对甲方的债权或利益转让给第三人、为第三方提供担保、质押、办理保理等，应按</w:t>
      </w:r>
      <w:r>
        <w:rPr>
          <w:rFonts w:hint="eastAsia" w:ascii="仿宋_GB2312" w:hAnsi="仿宋_GB2312" w:eastAsia="仿宋_GB2312" w:cs="仿宋_GB2312"/>
          <w:color w:val="000000" w:themeColor="text1"/>
          <w:sz w:val="32"/>
          <w:szCs w:val="32"/>
          <w:u w:val="single"/>
        </w:rPr>
        <w:t>转让、抵押、质押金额的30%</w:t>
      </w:r>
      <w:r>
        <w:rPr>
          <w:rFonts w:hint="eastAsia" w:ascii="仿宋_GB2312" w:hAnsi="仿宋_GB2312" w:eastAsia="仿宋_GB2312" w:cs="仿宋_GB2312"/>
          <w:color w:val="000000" w:themeColor="text1"/>
          <w:sz w:val="32"/>
          <w:szCs w:val="32"/>
        </w:rPr>
        <w:t>向甲方支付违约金。</w:t>
      </w:r>
    </w:p>
    <w:bookmarkEnd w:id="136"/>
    <w:p w14:paraId="5E05AF52">
      <w:pPr>
        <w:snapToGrid w:val="0"/>
        <w:spacing w:line="520" w:lineRule="exact"/>
        <w:outlineLvl w:val="0"/>
        <w:rPr>
          <w:rFonts w:ascii="仿宋_GB2312" w:hAnsi="仿宋_GB2312" w:eastAsia="仿宋_GB2312" w:cs="仿宋_GB2312"/>
          <w:b/>
          <w:bCs/>
          <w:color w:val="000000" w:themeColor="text1"/>
          <w:sz w:val="32"/>
          <w:szCs w:val="32"/>
        </w:rPr>
      </w:pPr>
      <w:bookmarkStart w:id="137" w:name="_Toc10352"/>
      <w:bookmarkStart w:id="138" w:name="_Toc216855844"/>
      <w:bookmarkStart w:id="139" w:name="_Hlk187069980"/>
      <w:r>
        <w:rPr>
          <w:rFonts w:hint="eastAsia" w:ascii="仿宋_GB2312" w:hAnsi="仿宋_GB2312" w:eastAsia="仿宋_GB2312" w:cs="仿宋_GB2312"/>
          <w:b/>
          <w:bCs/>
          <w:color w:val="000000" w:themeColor="text1"/>
          <w:sz w:val="32"/>
          <w:szCs w:val="32"/>
        </w:rPr>
        <w:t>16.争议解决</w:t>
      </w:r>
      <w:bookmarkEnd w:id="137"/>
      <w:bookmarkEnd w:id="138"/>
    </w:p>
    <w:p w14:paraId="611BEE67">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16.1争议解决前置程序</w:t>
      </w:r>
    </w:p>
    <w:p w14:paraId="1D889179">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16.1.1双方如存在履约纠纷的，应充分进行内部沟通:</w:t>
      </w:r>
    </w:p>
    <w:p w14:paraId="78162F7D">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（1）乙方向甲方逐级反馈相关情况，甲方收到乙方反馈信息后及时跟进处理。</w:t>
      </w:r>
    </w:p>
    <w:p w14:paraId="1FA9F6DD">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（2）在项目现场未能达成一致的，双方所属单位应正式行文，说明情况，提出诉求后进行公司层级的协商；公司层级协商未果的，应按约定的纠纷解决方式处理。</w:t>
      </w:r>
    </w:p>
    <w:p w14:paraId="577EB4EF">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任何一方若未按上述程序进行沟通，且未书面通知对方就擅自进行外部投诉、信访等，另一方均可将上述行为视为对方违约，有权采取内部风险防控措施，包括但不限于对其进行内部限制交易、追究违约责任等。</w:t>
      </w:r>
    </w:p>
    <w:p w14:paraId="7F311833">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乙方相关人员未经上述程序沟通，直接向政府平台或第三方平台发布相关信息或信访等的，甲方有权要求乙方撤换相关人员，如乙方不撤换，应按本合同约定支付违约金。</w:t>
      </w:r>
    </w:p>
    <w:p w14:paraId="4CD506EF">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16.1.2甲方维权及争议解决联系人及联系方式：【xxxx】</w:t>
      </w:r>
    </w:p>
    <w:p w14:paraId="4286F94D">
      <w:pPr>
        <w:adjustRightInd w:val="0"/>
        <w:snapToGrid w:val="0"/>
        <w:spacing w:line="520" w:lineRule="exact"/>
        <w:ind w:firstLine="640" w:firstLineChars="200"/>
        <w:rPr>
          <w:rFonts w:ascii="仿宋_GB2312" w:hAnsi="仿宋_GB2312" w:eastAsia="仿宋_GB2312" w:cs="仿宋_GB2312"/>
          <w:i/>
          <w:iCs/>
          <w:color w:val="000000" w:themeColor="text1"/>
          <w:sz w:val="32"/>
          <w:szCs w:val="32"/>
        </w:rPr>
      </w:pPr>
      <w:r>
        <w:rPr>
          <w:rFonts w:hint="eastAsia" w:ascii="仿宋_GB2312" w:hAnsi="仿宋_GB2312" w:eastAsia="仿宋_GB2312" w:cs="仿宋_GB2312"/>
          <w:color w:val="000000" w:themeColor="text1"/>
          <w:sz w:val="32"/>
          <w:szCs w:val="32"/>
        </w:rPr>
        <w:t>乙方维权及争议解决联系人及联系方式：【xxxx】</w:t>
      </w:r>
    </w:p>
    <w:p w14:paraId="27235C07">
      <w:pPr>
        <w:adjustRightInd w:val="0"/>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16.2 经16.1约定的前置流程仍无法解决争议的，双方选择采用下列第</w:t>
      </w:r>
      <w:r>
        <w:rPr>
          <w:rFonts w:hint="eastAsia" w:ascii="仿宋_GB2312" w:hAnsi="仿宋_GB2312" w:eastAsia="仿宋_GB2312" w:cs="仿宋_GB2312"/>
          <w:color w:val="000000" w:themeColor="text1"/>
          <w:sz w:val="32"/>
          <w:szCs w:val="32"/>
          <w:u w:val="single"/>
        </w:rPr>
        <w:t>（1）</w:t>
      </w:r>
      <w:r>
        <w:rPr>
          <w:rFonts w:hint="eastAsia" w:ascii="仿宋_GB2312" w:hAnsi="仿宋_GB2312" w:eastAsia="仿宋_GB2312" w:cs="仿宋_GB2312"/>
          <w:color w:val="000000" w:themeColor="text1"/>
          <w:sz w:val="32"/>
          <w:szCs w:val="32"/>
        </w:rPr>
        <w:t>种争议解决方式：</w:t>
      </w:r>
    </w:p>
    <w:bookmarkEnd w:id="139"/>
    <w:p w14:paraId="37946DE2">
      <w:pPr>
        <w:snapToGrid w:val="0"/>
        <w:spacing w:line="520" w:lineRule="exact"/>
        <w:ind w:firstLine="640" w:firstLineChars="200"/>
        <w:rPr>
          <w:rFonts w:ascii="仿宋_GB2312" w:hAnsi="仿宋_GB2312" w:eastAsia="仿宋_GB2312" w:cs="仿宋_GB2312"/>
          <w:color w:val="000000" w:themeColor="text1"/>
          <w:sz w:val="32"/>
          <w:szCs w:val="32"/>
        </w:rPr>
      </w:pPr>
      <w:bookmarkStart w:id="140" w:name="_Hlk187069998"/>
      <w:r>
        <w:rPr>
          <w:rFonts w:hint="eastAsia" w:ascii="仿宋_GB2312" w:hAnsi="仿宋_GB2312" w:eastAsia="仿宋_GB2312" w:cs="仿宋_GB2312"/>
          <w:color w:val="000000" w:themeColor="text1"/>
          <w:sz w:val="32"/>
          <w:szCs w:val="32"/>
        </w:rPr>
        <w:t>（1）向</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b/>
          <w:color w:val="000000" w:themeColor="text1"/>
          <w:sz w:val="32"/>
          <w:szCs w:val="32"/>
          <w:u w:val="single"/>
        </w:rPr>
        <w:t xml:space="preserve">四川省德阳市 </w:t>
      </w:r>
      <w:r>
        <w:rPr>
          <w:rFonts w:hint="eastAsia" w:ascii="仿宋_GB2312" w:hAnsi="仿宋_GB2312" w:eastAsia="仿宋_GB2312" w:cs="仿宋_GB2312"/>
          <w:color w:val="000000" w:themeColor="text1"/>
          <w:sz w:val="32"/>
          <w:szCs w:val="32"/>
        </w:rPr>
        <w:t>仲裁委员会申请仲裁，因仲裁发生的律师费用由双方各自承担；</w:t>
      </w:r>
    </w:p>
    <w:p w14:paraId="5C13A390">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（2）向</w:t>
      </w:r>
      <w:r>
        <w:rPr>
          <w:rFonts w:hint="eastAsia" w:ascii="仿宋_GB2312" w:hAnsi="仿宋_GB2312" w:eastAsia="仿宋_GB2312" w:cs="仿宋_GB2312"/>
          <w:b/>
          <w:color w:val="000000" w:themeColor="text1"/>
          <w:sz w:val="32"/>
          <w:szCs w:val="32"/>
          <w:u w:val="single"/>
        </w:rPr>
        <w:t xml:space="preserve"> 甲方所在地 </w:t>
      </w:r>
      <w:r>
        <w:rPr>
          <w:rFonts w:hint="eastAsia" w:ascii="仿宋_GB2312" w:hAnsi="仿宋_GB2312" w:eastAsia="仿宋_GB2312" w:cs="仿宋_GB2312"/>
          <w:color w:val="000000" w:themeColor="text1"/>
          <w:sz w:val="32"/>
          <w:szCs w:val="32"/>
        </w:rPr>
        <w:t>人民法院提起诉讼。</w:t>
      </w:r>
    </w:p>
    <w:bookmarkEnd w:id="140"/>
    <w:p w14:paraId="1407D289">
      <w:pPr>
        <w:snapToGrid w:val="0"/>
        <w:spacing w:line="520" w:lineRule="exact"/>
        <w:outlineLvl w:val="0"/>
        <w:rPr>
          <w:rFonts w:ascii="仿宋_GB2312" w:hAnsi="仿宋_GB2312" w:eastAsia="仿宋_GB2312" w:cs="仿宋_GB2312"/>
          <w:b/>
          <w:bCs/>
          <w:color w:val="000000" w:themeColor="text1"/>
          <w:sz w:val="32"/>
          <w:szCs w:val="32"/>
        </w:rPr>
      </w:pPr>
      <w:bookmarkStart w:id="141" w:name="_Toc26800"/>
      <w:bookmarkStart w:id="142" w:name="_Toc216855845"/>
      <w:bookmarkStart w:id="143" w:name="_Hlk187070019"/>
      <w:r>
        <w:rPr>
          <w:rFonts w:hint="eastAsia" w:ascii="仿宋_GB2312" w:hAnsi="仿宋_GB2312" w:eastAsia="仿宋_GB2312" w:cs="仿宋_GB2312"/>
          <w:b/>
          <w:bCs/>
          <w:color w:val="000000" w:themeColor="text1"/>
          <w:sz w:val="32"/>
          <w:szCs w:val="32"/>
        </w:rPr>
        <w:t>17.送达</w:t>
      </w:r>
      <w:bookmarkEnd w:id="141"/>
      <w:bookmarkEnd w:id="142"/>
    </w:p>
    <w:p w14:paraId="6E5C734A">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各方确认送达地址如下：</w:t>
      </w:r>
    </w:p>
    <w:p w14:paraId="5A883575">
      <w:pPr>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甲方收件人： ，联系方式</w:t>
      </w:r>
      <w:bookmarkStart w:id="144" w:name="OLE_LINK2"/>
      <w:r>
        <w:rPr>
          <w:rFonts w:hint="eastAsia" w:ascii="仿宋_GB2312" w:hAnsi="仿宋_GB2312" w:eastAsia="仿宋_GB2312" w:cs="仿宋_GB2312"/>
          <w:color w:val="000000" w:themeColor="text1"/>
          <w:sz w:val="32"/>
          <w:szCs w:val="32"/>
        </w:rPr>
        <w:t>：  ，</w:t>
      </w:r>
      <w:r>
        <w:rPr>
          <w:rFonts w:hint="eastAsia" w:ascii="仿宋_GB2312" w:hAnsi="仿宋_GB2312" w:eastAsia="仿宋_GB2312" w:cs="仿宋_GB2312"/>
          <w:color w:val="000000" w:themeColor="text1"/>
          <w:sz w:val="32"/>
          <w:szCs w:val="32"/>
          <w:u w:val="single"/>
        </w:rPr>
        <w:t xml:space="preserve">身份证号 ：    </w:t>
      </w:r>
      <w:bookmarkEnd w:id="144"/>
      <w:bookmarkStart w:id="145" w:name="_Hlk187669950"/>
      <w:r>
        <w:rPr>
          <w:rFonts w:hint="eastAsia" w:ascii="仿宋_GB2312" w:hAnsi="仿宋_GB2312" w:eastAsia="仿宋_GB2312" w:cs="仿宋_GB2312"/>
          <w:color w:val="000000" w:themeColor="text1"/>
          <w:sz w:val="32"/>
          <w:szCs w:val="32"/>
        </w:rPr>
        <w:t>电子邮箱： ，微信号：</w:t>
      </w:r>
    </w:p>
    <w:bookmarkEnd w:id="145"/>
    <w:p w14:paraId="79A1047A">
      <w:pPr>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地址：</w:t>
      </w:r>
    </w:p>
    <w:p w14:paraId="6679C6CE">
      <w:pPr>
        <w:snapToGrid w:val="0"/>
        <w:spacing w:line="520" w:lineRule="exact"/>
        <w:ind w:firstLine="640" w:firstLineChars="200"/>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乙方收件人： ，联系方式：  ，</w:t>
      </w:r>
      <w:r>
        <w:rPr>
          <w:rFonts w:hint="eastAsia" w:ascii="仿宋_GB2312" w:hAnsi="仿宋_GB2312" w:eastAsia="仿宋_GB2312" w:cs="仿宋_GB2312"/>
          <w:color w:val="000000" w:themeColor="text1"/>
          <w:sz w:val="32"/>
          <w:szCs w:val="32"/>
          <w:u w:val="single"/>
        </w:rPr>
        <w:t xml:space="preserve">身份证号 ：      </w:t>
      </w:r>
      <w:r>
        <w:rPr>
          <w:rFonts w:hint="eastAsia" w:ascii="仿宋_GB2312" w:hAnsi="仿宋_GB2312" w:eastAsia="仿宋_GB2312" w:cs="仿宋_GB2312"/>
          <w:color w:val="000000" w:themeColor="text1"/>
          <w:sz w:val="32"/>
          <w:szCs w:val="32"/>
        </w:rPr>
        <w:t>电子邮箱： ，微信号：</w:t>
      </w:r>
    </w:p>
    <w:p w14:paraId="4AF7C74E">
      <w:pPr>
        <w:snapToGrid w:val="0"/>
        <w:spacing w:line="520" w:lineRule="exact"/>
        <w:jc w:val="left"/>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地址：</w:t>
      </w:r>
    </w:p>
    <w:p w14:paraId="7E3BF182">
      <w:pPr>
        <w:snapToGrid w:val="0"/>
        <w:spacing w:line="520" w:lineRule="exact"/>
        <w:jc w:val="left"/>
        <w:rPr>
          <w:rFonts w:ascii="仿宋_GB2312" w:hAnsi="仿宋_GB2312" w:eastAsia="仿宋_GB2312" w:cs="仿宋_GB2312"/>
          <w:color w:val="000000" w:themeColor="text1"/>
          <w:sz w:val="32"/>
          <w:szCs w:val="32"/>
        </w:rPr>
      </w:pPr>
      <w:bookmarkStart w:id="170" w:name="_GoBack"/>
      <w:bookmarkEnd w:id="170"/>
      <w:r>
        <w:rPr>
          <w:rFonts w:hint="eastAsia" w:ascii="仿宋_GB2312" w:hAnsi="仿宋_GB2312" w:eastAsia="仿宋_GB2312" w:cs="仿宋_GB2312"/>
          <w:color w:val="000000" w:themeColor="text1"/>
          <w:sz w:val="32"/>
          <w:szCs w:val="32"/>
        </w:rPr>
        <w:t>以上地址为双方往来文件及法律文件有效的送达地址。</w:t>
      </w:r>
    </w:p>
    <w:p w14:paraId="05887870">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甲方收料人员、乙方指定收货联系人、双方收件人信息变更的，应当书面通知对方，未通知导致对方损失的应予以赔偿。</w:t>
      </w:r>
    </w:p>
    <w:p w14:paraId="568AB1AB">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甲方相关文件采取邮寄方式送达的，投邮至上述收件地址第三天视为送达；采取电子方式送达的，相关文件发送至上述电子邮箱、联系电话、微信、短信，视为已送达乙方。以多种方式送达的，以最先送达乙方的时间为送达时间。</w:t>
      </w:r>
    </w:p>
    <w:bookmarkEnd w:id="143"/>
    <w:p w14:paraId="627773EC">
      <w:pPr>
        <w:snapToGrid w:val="0"/>
        <w:spacing w:line="520" w:lineRule="exact"/>
        <w:outlineLvl w:val="0"/>
        <w:rPr>
          <w:rFonts w:ascii="仿宋_GB2312" w:hAnsi="仿宋_GB2312" w:eastAsia="仿宋_GB2312" w:cs="仿宋_GB2312"/>
          <w:b/>
          <w:bCs/>
          <w:color w:val="000000" w:themeColor="text1"/>
          <w:sz w:val="32"/>
          <w:szCs w:val="32"/>
        </w:rPr>
      </w:pPr>
      <w:bookmarkStart w:id="146" w:name="_Toc216855846"/>
      <w:bookmarkStart w:id="147" w:name="_Toc5993"/>
      <w:r>
        <w:rPr>
          <w:rFonts w:hint="eastAsia" w:ascii="仿宋_GB2312" w:hAnsi="仿宋_GB2312" w:eastAsia="仿宋_GB2312" w:cs="仿宋_GB2312"/>
          <w:b/>
          <w:bCs/>
          <w:color w:val="000000" w:themeColor="text1"/>
          <w:sz w:val="32"/>
          <w:szCs w:val="32"/>
        </w:rPr>
        <w:t>18.其他约定</w:t>
      </w:r>
      <w:bookmarkEnd w:id="146"/>
      <w:bookmarkEnd w:id="147"/>
    </w:p>
    <w:p w14:paraId="2E9AA6F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18.1 乙方人员及运输车辆等进入甲方施工工地范围时，需严格遵守甲方的有关现场安全及交通、文明施工等各项管理制度，乙方（含乙方委托的物流公司及或个人等乙方直接委托方，均视为乙方人员及设施）需承担因自身原因所造成的一切风险及损失（包括但不限于机械及人员在行驶途中、操作过程中发生的安全隐患、安全事故及由此引发的诉讼、索赔等），并负责赔偿对甲方造成的相关损失，且保证甲方不因此引发诉讼和受到牵连。</w:t>
      </w:r>
    </w:p>
    <w:p w14:paraId="683CB05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18.2 乙方需严格遵守国家有关廉政建设责任制规定和与甲方有关《廉洁协议》中有关对乙方的要求，与甲方保持正常的业务交往，按照有关法律法规和程序开展业务工作，并严格遵守与甲方签订的廉洁协议，乙方如有违反上述规定，给甲方造成经济损失的，应承担赔偿责任。</w:t>
      </w:r>
    </w:p>
    <w:p w14:paraId="17C4BBCB">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18.3 本合同应按照中华人民共和国的法律进行解释。</w:t>
      </w:r>
    </w:p>
    <w:p w14:paraId="747C66D9">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18.4 本合同任何一方给另一方的通知，都应以书面形式发送，而另一方应以书面形式确认并发送到对方明确的地址。通知以送达日期或通知书的生效日期为生效日期，两者中以晚的一个日期为准。</w:t>
      </w:r>
    </w:p>
    <w:p w14:paraId="619A96F3">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18.5 根据国家现行税法对甲方征收的与本合同有关的一切税费均由甲方负担。根据国家现行税法对乙方征收的与本合同有关的一切税费均由乙方负担。在中国境外发生的与本合同执行有关的一切税费均由乙方负担。</w:t>
      </w:r>
    </w:p>
    <w:p w14:paraId="07734143">
      <w:pPr>
        <w:snapToGrid w:val="0"/>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18.6甲方项目部及项目经理等管理人员无权以甲方名义对外签订任何经济合同、无权以甲方名义提供任何担保及承诺，无权处分涉及价格调整、质量、安全、租期、担保等实质性权益。乙方承诺前述行为对甲方不发生法律效力，不得以此向甲方主张任何权利或费用。</w:t>
      </w:r>
    </w:p>
    <w:p w14:paraId="450BCA91">
      <w:pPr>
        <w:snapToGrid w:val="0"/>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18.7 本协议采用加粗字体表述内容，各方当事人均已尽到谨慎审查义务，确为各方当事人真实意思表示，各方均保证遵守执行。</w:t>
      </w:r>
    </w:p>
    <w:p w14:paraId="13E8532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18.8 乙方同意并承诺：已知悉甲方须遵守甲方有关合规管理制度和文件中对甲方和第三方（含乙方）的要求，乙方理解附件5《合规保护标准条款》是本合同的重要组成部分，乙方承诺遵守前述文件中有关诚信合规要求，并承担因未遵守甲方前述诚信合规要求而产生的一切责任和后果。</w:t>
      </w:r>
    </w:p>
    <w:p w14:paraId="0CBA2925">
      <w:pPr>
        <w:snapToGrid w:val="0"/>
        <w:spacing w:line="520" w:lineRule="exact"/>
        <w:ind w:firstLine="640" w:firstLineChars="200"/>
        <w:rPr>
          <w:color w:val="000000" w:themeColor="text1"/>
        </w:rPr>
      </w:pPr>
      <w:r>
        <w:rPr>
          <w:rFonts w:hint="eastAsia" w:ascii="仿宋_GB2312" w:hAnsi="仿宋_GB2312" w:eastAsia="仿宋_GB2312" w:cs="仿宋_GB2312"/>
          <w:color w:val="000000" w:themeColor="text1"/>
          <w:sz w:val="32"/>
          <w:szCs w:val="32"/>
        </w:rPr>
        <w:t>18.9 乙方为中小企业的，与甲方订立本合同时，应当主动告知其属于中小企业，否则甲方将免于承担《保障中小企业款项支付条例》规定的大型企业相关责任。</w:t>
      </w:r>
    </w:p>
    <w:p w14:paraId="11DC9473">
      <w:pPr>
        <w:snapToGrid w:val="0"/>
        <w:spacing w:line="520" w:lineRule="exact"/>
        <w:outlineLvl w:val="0"/>
        <w:rPr>
          <w:rFonts w:ascii="仿宋_GB2312" w:hAnsi="仿宋_GB2312" w:eastAsia="仿宋_GB2312" w:cs="仿宋_GB2312"/>
          <w:b/>
          <w:bCs/>
          <w:color w:val="000000" w:themeColor="text1"/>
          <w:sz w:val="32"/>
          <w:szCs w:val="32"/>
        </w:rPr>
      </w:pPr>
      <w:bookmarkStart w:id="148" w:name="_Toc216855847"/>
      <w:bookmarkStart w:id="149" w:name="_Toc1351"/>
      <w:r>
        <w:rPr>
          <w:rFonts w:hint="eastAsia" w:ascii="仿宋_GB2312" w:hAnsi="仿宋_GB2312" w:eastAsia="仿宋_GB2312" w:cs="仿宋_GB2312"/>
          <w:b/>
          <w:bCs/>
          <w:color w:val="000000" w:themeColor="text1"/>
          <w:sz w:val="32"/>
          <w:szCs w:val="32"/>
        </w:rPr>
        <w:t>19.合同生效</w:t>
      </w:r>
      <w:bookmarkEnd w:id="148"/>
      <w:bookmarkEnd w:id="149"/>
    </w:p>
    <w:p w14:paraId="160C90B3">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19.1 合同应在双方签字盖章后开始生效。</w:t>
      </w:r>
    </w:p>
    <w:p w14:paraId="5B926E0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19.2</w:t>
      </w:r>
      <w:bookmarkStart w:id="150" w:name="_Hlk187667579"/>
      <w:r>
        <w:rPr>
          <w:rFonts w:hint="eastAsia" w:ascii="仿宋_GB2312" w:hAnsi="仿宋_GB2312" w:eastAsia="仿宋_GB2312" w:cs="仿宋_GB2312"/>
          <w:color w:val="000000" w:themeColor="text1"/>
          <w:sz w:val="32"/>
          <w:szCs w:val="32"/>
        </w:rPr>
        <w:t>如需变更或补充合同内容，经协商，双方应签署书面变更或补充协议，该协议将作为本合同的一个组成部分。</w:t>
      </w:r>
      <w:bookmarkEnd w:id="150"/>
    </w:p>
    <w:p w14:paraId="62FB7FB2">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19.3 下述合同附件为本合同不可分割的部分并与本合同具有同等效力（如有违反，视为违约，按前述有关违约条款处理）：</w:t>
      </w:r>
    </w:p>
    <w:p w14:paraId="41A57ECB">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附件1：标的物清单</w:t>
      </w:r>
    </w:p>
    <w:p w14:paraId="1AC0ED47">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附件2：锅炉产品数据表</w:t>
      </w:r>
    </w:p>
    <w:p w14:paraId="57072394">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附件3：</w:t>
      </w:r>
      <w:r>
        <w:rPr>
          <w:rFonts w:ascii="仿宋_GB2312" w:hAnsi="仿宋_GB2312" w:eastAsia="仿宋_GB2312" w:cs="仿宋_GB2312"/>
          <w:color w:val="000000" w:themeColor="text1"/>
          <w:sz w:val="32"/>
          <w:szCs w:val="32"/>
        </w:rPr>
        <w:t>设备供货</w:t>
      </w:r>
      <w:r>
        <w:rPr>
          <w:rFonts w:hint="eastAsia" w:ascii="仿宋_GB2312" w:hAnsi="仿宋_GB2312" w:eastAsia="仿宋_GB2312" w:cs="仿宋_GB2312"/>
          <w:color w:val="000000" w:themeColor="text1"/>
          <w:sz w:val="32"/>
          <w:szCs w:val="32"/>
        </w:rPr>
        <w:t>计划</w:t>
      </w:r>
      <w:r>
        <w:rPr>
          <w:rFonts w:ascii="仿宋_GB2312" w:hAnsi="仿宋_GB2312" w:eastAsia="仿宋_GB2312" w:cs="仿宋_GB2312"/>
          <w:color w:val="000000" w:themeColor="text1"/>
          <w:sz w:val="32"/>
          <w:szCs w:val="32"/>
        </w:rPr>
        <w:t>表</w:t>
      </w:r>
      <w:r>
        <w:rPr>
          <w:rFonts w:hint="eastAsia" w:ascii="仿宋_GB2312" w:hAnsi="仿宋_GB2312" w:eastAsia="仿宋_GB2312" w:cs="仿宋_GB2312"/>
          <w:color w:val="000000" w:themeColor="text1"/>
          <w:sz w:val="32"/>
          <w:szCs w:val="32"/>
        </w:rPr>
        <w:t>、安装进度计划表</w:t>
      </w:r>
    </w:p>
    <w:p w14:paraId="22546F09">
      <w:pPr>
        <w:snapToGrid w:val="0"/>
        <w:spacing w:line="520" w:lineRule="exact"/>
        <w:ind w:firstLine="640"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附件4：技术协议</w:t>
      </w:r>
    </w:p>
    <w:p w14:paraId="7BA3F896">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附件5：现场安装施工安全技术方案</w:t>
      </w:r>
    </w:p>
    <w:p w14:paraId="14A4EF9A">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附件6：煮炉、试运行、耐压试验安全技术方案</w:t>
      </w:r>
    </w:p>
    <w:p w14:paraId="45AB50F9">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附件7：授权委托书</w:t>
      </w:r>
    </w:p>
    <w:p w14:paraId="28CF7D56">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附件8：廉洁协议</w:t>
      </w:r>
    </w:p>
    <w:p w14:paraId="3CFB30F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附件9：合规保护标准条款</w:t>
      </w:r>
    </w:p>
    <w:p w14:paraId="77DDA346">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附件10：一年内易损件清单（赠送）</w:t>
      </w:r>
    </w:p>
    <w:p w14:paraId="5E67F86C">
      <w:pPr>
        <w:snapToGrid w:val="0"/>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附件11：专业工具清单（如有）</w:t>
      </w:r>
    </w:p>
    <w:p w14:paraId="280505AF">
      <w:pPr>
        <w:pStyle w:val="4"/>
        <w:rPr>
          <w:rFonts w:ascii="仿宋_GB2312" w:hAnsi="仿宋_GB2312" w:eastAsia="仿宋_GB2312" w:cs="仿宋_GB2312"/>
          <w:color w:val="000000" w:themeColor="text1"/>
          <w:szCs w:val="32"/>
        </w:rPr>
      </w:pPr>
    </w:p>
    <w:p w14:paraId="70527E4B">
      <w:pPr>
        <w:rPr>
          <w:rFonts w:ascii="仿宋_GB2312" w:hAnsi="仿宋_GB2312" w:eastAsia="仿宋_GB2312" w:cs="仿宋_GB2312"/>
          <w:color w:val="000000" w:themeColor="text1"/>
          <w:sz w:val="32"/>
          <w:szCs w:val="32"/>
        </w:rPr>
      </w:pPr>
    </w:p>
    <w:p w14:paraId="5A92C000">
      <w:pPr>
        <w:pStyle w:val="4"/>
        <w:rPr>
          <w:rFonts w:ascii="仿宋_GB2312" w:hAnsi="仿宋_GB2312" w:eastAsia="仿宋_GB2312" w:cs="仿宋_GB2312"/>
          <w:color w:val="000000" w:themeColor="text1"/>
          <w:szCs w:val="32"/>
        </w:rPr>
      </w:pPr>
    </w:p>
    <w:p w14:paraId="0BF989C8">
      <w:pPr>
        <w:rPr>
          <w:rFonts w:ascii="仿宋_GB2312" w:hAnsi="仿宋_GB2312" w:eastAsia="仿宋_GB2312" w:cs="仿宋_GB2312"/>
          <w:color w:val="000000" w:themeColor="text1"/>
          <w:sz w:val="32"/>
          <w:szCs w:val="32"/>
        </w:rPr>
      </w:pPr>
    </w:p>
    <w:p w14:paraId="3A3BE185"/>
    <w:p w14:paraId="40243BD8"/>
    <w:p w14:paraId="16B924ED">
      <w:pPr>
        <w:snapToGrid w:val="0"/>
        <w:spacing w:line="52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32"/>
          <w:szCs w:val="32"/>
        </w:rPr>
        <w:t>（以下为签字盖章页，无正文）</w:t>
      </w:r>
    </w:p>
    <w:p w14:paraId="2EBE9149">
      <w:pPr>
        <w:rPr>
          <w:rFonts w:ascii="宋体" w:hAnsi="宋体" w:cs="宋体"/>
          <w:color w:val="000000" w:themeColor="text1"/>
          <w:sz w:val="24"/>
        </w:rPr>
      </w:pPr>
    </w:p>
    <w:tbl>
      <w:tblPr>
        <w:tblStyle w:val="26"/>
        <w:tblW w:w="5324" w:type="pct"/>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6"/>
        <w:gridCol w:w="687"/>
        <w:gridCol w:w="2288"/>
        <w:gridCol w:w="1668"/>
        <w:gridCol w:w="2775"/>
      </w:tblGrid>
      <w:tr w14:paraId="617B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912" w:type="pct"/>
            <w:vAlign w:val="center"/>
          </w:tcPr>
          <w:p w14:paraId="01B23EF3">
            <w:pPr>
              <w:snapToGrid w:val="0"/>
              <w:spacing w:line="52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甲方</w:t>
            </w:r>
          </w:p>
          <w:p w14:paraId="3546BFA2">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（盖章）：</w:t>
            </w:r>
          </w:p>
        </w:tc>
        <w:tc>
          <w:tcPr>
            <w:tcW w:w="1639" w:type="pct"/>
            <w:gridSpan w:val="2"/>
            <w:vAlign w:val="center"/>
          </w:tcPr>
          <w:p w14:paraId="2DEE4A61">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77E3E39F">
            <w:pPr>
              <w:snapToGrid w:val="0"/>
              <w:spacing w:line="520" w:lineRule="exact"/>
              <w:ind w:firstLine="280" w:firstLineChars="1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乙方</w:t>
            </w:r>
          </w:p>
          <w:p w14:paraId="1E033337">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（盖章）：</w:t>
            </w:r>
          </w:p>
        </w:tc>
        <w:tc>
          <w:tcPr>
            <w:tcW w:w="1527" w:type="pct"/>
            <w:vAlign w:val="center"/>
          </w:tcPr>
          <w:p w14:paraId="78FA8524">
            <w:pPr>
              <w:snapToGrid w:val="0"/>
              <w:spacing w:line="520" w:lineRule="exact"/>
              <w:jc w:val="left"/>
              <w:rPr>
                <w:rFonts w:ascii="仿宋_GB2312" w:hAnsi="仿宋_GB2312" w:eastAsia="仿宋_GB2312" w:cs="仿宋_GB2312"/>
                <w:color w:val="000000" w:themeColor="text1"/>
                <w:sz w:val="28"/>
                <w:szCs w:val="28"/>
              </w:rPr>
            </w:pPr>
          </w:p>
        </w:tc>
      </w:tr>
      <w:tr w14:paraId="1E2E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912" w:type="pct"/>
            <w:vAlign w:val="center"/>
          </w:tcPr>
          <w:p w14:paraId="1B0C5A6A">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法定代表人（或授权代表）：</w:t>
            </w:r>
          </w:p>
        </w:tc>
        <w:tc>
          <w:tcPr>
            <w:tcW w:w="1639" w:type="pct"/>
            <w:gridSpan w:val="2"/>
            <w:vAlign w:val="center"/>
          </w:tcPr>
          <w:p w14:paraId="65AAD1DF">
            <w:pPr>
              <w:snapToGrid w:val="0"/>
              <w:spacing w:line="520" w:lineRule="exact"/>
              <w:ind w:firstLine="560" w:firstLineChars="200"/>
              <w:jc w:val="left"/>
              <w:rPr>
                <w:rFonts w:ascii="仿宋_GB2312" w:hAnsi="仿宋_GB2312" w:eastAsia="仿宋_GB2312" w:cs="仿宋_GB2312"/>
                <w:color w:val="000000" w:themeColor="text1"/>
                <w:sz w:val="28"/>
                <w:szCs w:val="28"/>
              </w:rPr>
            </w:pPr>
          </w:p>
        </w:tc>
        <w:tc>
          <w:tcPr>
            <w:tcW w:w="919" w:type="pct"/>
            <w:vAlign w:val="center"/>
          </w:tcPr>
          <w:p w14:paraId="7D2A343C">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法定代表人（或授权代表）：</w:t>
            </w:r>
          </w:p>
        </w:tc>
        <w:tc>
          <w:tcPr>
            <w:tcW w:w="1527" w:type="pct"/>
            <w:vAlign w:val="center"/>
          </w:tcPr>
          <w:p w14:paraId="1EA5B7B3">
            <w:pPr>
              <w:snapToGrid w:val="0"/>
              <w:spacing w:line="520" w:lineRule="exact"/>
              <w:jc w:val="left"/>
              <w:rPr>
                <w:rFonts w:ascii="仿宋_GB2312" w:hAnsi="仿宋_GB2312" w:eastAsia="仿宋_GB2312" w:cs="仿宋_GB2312"/>
                <w:color w:val="000000" w:themeColor="text1"/>
                <w:sz w:val="28"/>
                <w:szCs w:val="28"/>
              </w:rPr>
            </w:pPr>
          </w:p>
        </w:tc>
      </w:tr>
      <w:tr w14:paraId="5892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 w:type="pct"/>
            <w:vAlign w:val="center"/>
          </w:tcPr>
          <w:p w14:paraId="2E40611C">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（签字）</w:t>
            </w:r>
          </w:p>
        </w:tc>
        <w:tc>
          <w:tcPr>
            <w:tcW w:w="1639" w:type="pct"/>
            <w:gridSpan w:val="2"/>
            <w:vAlign w:val="center"/>
          </w:tcPr>
          <w:p w14:paraId="5E6BD9E0">
            <w:pPr>
              <w:snapToGrid w:val="0"/>
              <w:spacing w:line="520" w:lineRule="exact"/>
              <w:ind w:firstLine="560" w:firstLineChars="200"/>
              <w:jc w:val="left"/>
              <w:rPr>
                <w:rFonts w:ascii="仿宋_GB2312" w:hAnsi="仿宋_GB2312" w:eastAsia="仿宋_GB2312" w:cs="仿宋_GB2312"/>
                <w:color w:val="000000" w:themeColor="text1"/>
                <w:sz w:val="28"/>
                <w:szCs w:val="28"/>
              </w:rPr>
            </w:pPr>
          </w:p>
        </w:tc>
        <w:tc>
          <w:tcPr>
            <w:tcW w:w="919" w:type="pct"/>
            <w:vAlign w:val="center"/>
          </w:tcPr>
          <w:p w14:paraId="1F98AD43">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（签字）</w:t>
            </w:r>
          </w:p>
        </w:tc>
        <w:tc>
          <w:tcPr>
            <w:tcW w:w="1527" w:type="pct"/>
            <w:vAlign w:val="center"/>
          </w:tcPr>
          <w:p w14:paraId="540F4FE9">
            <w:pPr>
              <w:snapToGrid w:val="0"/>
              <w:spacing w:line="520" w:lineRule="exact"/>
              <w:jc w:val="left"/>
              <w:rPr>
                <w:rFonts w:ascii="仿宋_GB2312" w:hAnsi="仿宋_GB2312" w:eastAsia="仿宋_GB2312" w:cs="仿宋_GB2312"/>
                <w:color w:val="000000" w:themeColor="text1"/>
                <w:sz w:val="28"/>
                <w:szCs w:val="28"/>
              </w:rPr>
            </w:pPr>
          </w:p>
        </w:tc>
      </w:tr>
      <w:tr w14:paraId="6205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12" w:type="pct"/>
            <w:vAlign w:val="center"/>
          </w:tcPr>
          <w:p w14:paraId="0587BFFE">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组织机构代码：</w:t>
            </w:r>
          </w:p>
        </w:tc>
        <w:tc>
          <w:tcPr>
            <w:tcW w:w="1639" w:type="pct"/>
            <w:gridSpan w:val="2"/>
            <w:vAlign w:val="center"/>
          </w:tcPr>
          <w:p w14:paraId="4C815A47">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1013CEF3">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组织机构代码：</w:t>
            </w:r>
          </w:p>
        </w:tc>
        <w:tc>
          <w:tcPr>
            <w:tcW w:w="1527" w:type="pct"/>
            <w:vAlign w:val="center"/>
          </w:tcPr>
          <w:p w14:paraId="6949702E">
            <w:pPr>
              <w:snapToGrid w:val="0"/>
              <w:spacing w:line="520" w:lineRule="exact"/>
              <w:jc w:val="left"/>
              <w:rPr>
                <w:rFonts w:ascii="仿宋_GB2312" w:hAnsi="仿宋_GB2312" w:eastAsia="仿宋_GB2312" w:cs="仿宋_GB2312"/>
                <w:color w:val="000000" w:themeColor="text1"/>
                <w:sz w:val="28"/>
                <w:szCs w:val="28"/>
              </w:rPr>
            </w:pPr>
          </w:p>
        </w:tc>
      </w:tr>
      <w:tr w14:paraId="14AE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 w:type="pct"/>
            <w:vAlign w:val="center"/>
          </w:tcPr>
          <w:p w14:paraId="5DBC454B">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地    址：</w:t>
            </w:r>
          </w:p>
        </w:tc>
        <w:tc>
          <w:tcPr>
            <w:tcW w:w="1639" w:type="pct"/>
            <w:gridSpan w:val="2"/>
            <w:vAlign w:val="center"/>
          </w:tcPr>
          <w:p w14:paraId="6A110B83">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5B521CFF">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地   址：</w:t>
            </w:r>
          </w:p>
        </w:tc>
        <w:tc>
          <w:tcPr>
            <w:tcW w:w="1527" w:type="pct"/>
            <w:vAlign w:val="center"/>
          </w:tcPr>
          <w:p w14:paraId="5BFDEC12">
            <w:pPr>
              <w:snapToGrid w:val="0"/>
              <w:spacing w:line="520" w:lineRule="exact"/>
              <w:jc w:val="left"/>
              <w:rPr>
                <w:rFonts w:ascii="仿宋_GB2312" w:hAnsi="仿宋_GB2312" w:eastAsia="仿宋_GB2312" w:cs="仿宋_GB2312"/>
                <w:color w:val="000000" w:themeColor="text1"/>
                <w:sz w:val="28"/>
                <w:szCs w:val="28"/>
              </w:rPr>
            </w:pPr>
          </w:p>
        </w:tc>
      </w:tr>
      <w:tr w14:paraId="577E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2" w:type="pct"/>
            <w:vAlign w:val="center"/>
          </w:tcPr>
          <w:p w14:paraId="6447EA1B">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邮政编码：</w:t>
            </w:r>
          </w:p>
        </w:tc>
        <w:tc>
          <w:tcPr>
            <w:tcW w:w="1639" w:type="pct"/>
            <w:gridSpan w:val="2"/>
            <w:vAlign w:val="center"/>
          </w:tcPr>
          <w:p w14:paraId="516A6E15">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17E77365">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邮政编码：</w:t>
            </w:r>
          </w:p>
        </w:tc>
        <w:tc>
          <w:tcPr>
            <w:tcW w:w="1527" w:type="pct"/>
            <w:vAlign w:val="center"/>
          </w:tcPr>
          <w:p w14:paraId="67E7F6C3">
            <w:pPr>
              <w:snapToGrid w:val="0"/>
              <w:spacing w:line="520" w:lineRule="exact"/>
              <w:jc w:val="left"/>
              <w:rPr>
                <w:rFonts w:ascii="仿宋_GB2312" w:hAnsi="仿宋_GB2312" w:eastAsia="仿宋_GB2312" w:cs="仿宋_GB2312"/>
                <w:color w:val="000000" w:themeColor="text1"/>
                <w:sz w:val="28"/>
                <w:szCs w:val="28"/>
              </w:rPr>
            </w:pPr>
          </w:p>
        </w:tc>
      </w:tr>
      <w:tr w14:paraId="1534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 w:type="pct"/>
            <w:vAlign w:val="center"/>
          </w:tcPr>
          <w:p w14:paraId="33CD8C4D">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法定代表人：</w:t>
            </w:r>
          </w:p>
        </w:tc>
        <w:tc>
          <w:tcPr>
            <w:tcW w:w="1639" w:type="pct"/>
            <w:gridSpan w:val="2"/>
            <w:vAlign w:val="center"/>
          </w:tcPr>
          <w:p w14:paraId="76273B82">
            <w:pPr>
              <w:snapToGrid w:val="0"/>
              <w:spacing w:line="520" w:lineRule="exact"/>
              <w:ind w:firstLine="560" w:firstLineChars="200"/>
              <w:jc w:val="left"/>
              <w:rPr>
                <w:rFonts w:ascii="仿宋_GB2312" w:hAnsi="仿宋_GB2312" w:eastAsia="仿宋_GB2312" w:cs="仿宋_GB2312"/>
                <w:color w:val="000000" w:themeColor="text1"/>
                <w:sz w:val="28"/>
                <w:szCs w:val="28"/>
              </w:rPr>
            </w:pPr>
          </w:p>
        </w:tc>
        <w:tc>
          <w:tcPr>
            <w:tcW w:w="919" w:type="pct"/>
            <w:vAlign w:val="center"/>
          </w:tcPr>
          <w:p w14:paraId="52B1F5F6">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法定代表人：</w:t>
            </w:r>
          </w:p>
        </w:tc>
        <w:tc>
          <w:tcPr>
            <w:tcW w:w="1527" w:type="pct"/>
            <w:vAlign w:val="center"/>
          </w:tcPr>
          <w:p w14:paraId="1B3CA3D2">
            <w:pPr>
              <w:snapToGrid w:val="0"/>
              <w:spacing w:line="520" w:lineRule="exact"/>
              <w:jc w:val="left"/>
              <w:rPr>
                <w:rFonts w:ascii="仿宋_GB2312" w:hAnsi="仿宋_GB2312" w:eastAsia="仿宋_GB2312" w:cs="仿宋_GB2312"/>
                <w:color w:val="000000" w:themeColor="text1"/>
                <w:sz w:val="28"/>
                <w:szCs w:val="28"/>
              </w:rPr>
            </w:pPr>
          </w:p>
        </w:tc>
      </w:tr>
      <w:tr w14:paraId="479A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 w:type="pct"/>
            <w:shd w:val="clear" w:color="auto" w:fill="auto"/>
            <w:vAlign w:val="center"/>
          </w:tcPr>
          <w:p w14:paraId="41CCF21C">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电    话：</w:t>
            </w:r>
          </w:p>
        </w:tc>
        <w:tc>
          <w:tcPr>
            <w:tcW w:w="1639" w:type="pct"/>
            <w:gridSpan w:val="2"/>
            <w:shd w:val="clear" w:color="auto" w:fill="auto"/>
            <w:vAlign w:val="center"/>
          </w:tcPr>
          <w:p w14:paraId="225B98C6">
            <w:pPr>
              <w:snapToGrid w:val="0"/>
              <w:spacing w:line="520" w:lineRule="exact"/>
              <w:jc w:val="left"/>
              <w:rPr>
                <w:rFonts w:ascii="仿宋_GB2312" w:hAnsi="仿宋_GB2312" w:eastAsia="仿宋_GB2312" w:cs="仿宋_GB2312"/>
                <w:color w:val="000000" w:themeColor="text1"/>
                <w:sz w:val="28"/>
                <w:szCs w:val="28"/>
              </w:rPr>
            </w:pPr>
          </w:p>
        </w:tc>
        <w:tc>
          <w:tcPr>
            <w:tcW w:w="919" w:type="pct"/>
            <w:shd w:val="clear" w:color="auto" w:fill="auto"/>
            <w:vAlign w:val="center"/>
          </w:tcPr>
          <w:p w14:paraId="7621985D">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电    话：</w:t>
            </w:r>
          </w:p>
        </w:tc>
        <w:tc>
          <w:tcPr>
            <w:tcW w:w="1527" w:type="pct"/>
            <w:shd w:val="clear" w:color="auto" w:fill="auto"/>
            <w:vAlign w:val="center"/>
          </w:tcPr>
          <w:p w14:paraId="47371B03">
            <w:pPr>
              <w:snapToGrid w:val="0"/>
              <w:spacing w:line="520" w:lineRule="exact"/>
              <w:jc w:val="left"/>
              <w:rPr>
                <w:rFonts w:ascii="仿宋_GB2312" w:hAnsi="仿宋_GB2312" w:eastAsia="仿宋_GB2312" w:cs="仿宋_GB2312"/>
                <w:color w:val="000000" w:themeColor="text1"/>
                <w:sz w:val="28"/>
                <w:szCs w:val="28"/>
              </w:rPr>
            </w:pPr>
          </w:p>
        </w:tc>
      </w:tr>
      <w:tr w14:paraId="54F6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912" w:type="pct"/>
            <w:vAlign w:val="center"/>
          </w:tcPr>
          <w:p w14:paraId="5A8F7AE4">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开户行：</w:t>
            </w:r>
          </w:p>
        </w:tc>
        <w:tc>
          <w:tcPr>
            <w:tcW w:w="1639" w:type="pct"/>
            <w:gridSpan w:val="2"/>
            <w:vAlign w:val="center"/>
          </w:tcPr>
          <w:p w14:paraId="024DB94A">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24441EC1">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开户行：</w:t>
            </w:r>
          </w:p>
        </w:tc>
        <w:tc>
          <w:tcPr>
            <w:tcW w:w="1527" w:type="pct"/>
            <w:vAlign w:val="center"/>
          </w:tcPr>
          <w:p w14:paraId="2CA3C977">
            <w:pPr>
              <w:snapToGrid w:val="0"/>
              <w:spacing w:line="520" w:lineRule="exact"/>
              <w:jc w:val="left"/>
              <w:rPr>
                <w:rFonts w:ascii="仿宋_GB2312" w:hAnsi="仿宋_GB2312" w:eastAsia="仿宋_GB2312" w:cs="仿宋_GB2312"/>
                <w:color w:val="000000" w:themeColor="text1"/>
                <w:sz w:val="28"/>
                <w:szCs w:val="28"/>
              </w:rPr>
            </w:pPr>
          </w:p>
        </w:tc>
      </w:tr>
      <w:tr w14:paraId="736E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12" w:type="pct"/>
            <w:vAlign w:val="center"/>
          </w:tcPr>
          <w:p w14:paraId="4761BDF1">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帐    号：</w:t>
            </w:r>
          </w:p>
        </w:tc>
        <w:tc>
          <w:tcPr>
            <w:tcW w:w="1639" w:type="pct"/>
            <w:gridSpan w:val="2"/>
            <w:vAlign w:val="center"/>
          </w:tcPr>
          <w:p w14:paraId="2E5FF06F">
            <w:pPr>
              <w:snapToGrid w:val="0"/>
              <w:spacing w:line="520" w:lineRule="exact"/>
              <w:jc w:val="left"/>
              <w:rPr>
                <w:rFonts w:ascii="仿宋_GB2312" w:hAnsi="仿宋_GB2312" w:eastAsia="仿宋_GB2312" w:cs="仿宋_GB2312"/>
                <w:color w:val="000000" w:themeColor="text1"/>
                <w:sz w:val="28"/>
                <w:szCs w:val="28"/>
              </w:rPr>
            </w:pPr>
          </w:p>
        </w:tc>
        <w:tc>
          <w:tcPr>
            <w:tcW w:w="919" w:type="pct"/>
            <w:vAlign w:val="center"/>
          </w:tcPr>
          <w:p w14:paraId="6E6B6360">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帐    号：</w:t>
            </w:r>
          </w:p>
        </w:tc>
        <w:tc>
          <w:tcPr>
            <w:tcW w:w="1527" w:type="pct"/>
            <w:vAlign w:val="center"/>
          </w:tcPr>
          <w:p w14:paraId="4C844A81">
            <w:pPr>
              <w:snapToGrid w:val="0"/>
              <w:spacing w:line="520" w:lineRule="exact"/>
              <w:jc w:val="left"/>
              <w:rPr>
                <w:rFonts w:ascii="仿宋_GB2312" w:hAnsi="仿宋_GB2312" w:eastAsia="仿宋_GB2312" w:cs="仿宋_GB2312"/>
                <w:color w:val="000000" w:themeColor="text1"/>
                <w:sz w:val="28"/>
                <w:szCs w:val="28"/>
              </w:rPr>
            </w:pPr>
          </w:p>
        </w:tc>
      </w:tr>
      <w:tr w14:paraId="777B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290" w:type="pct"/>
            <w:gridSpan w:val="2"/>
            <w:vAlign w:val="center"/>
          </w:tcPr>
          <w:p w14:paraId="47E765A5">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合同签订地点：</w:t>
            </w:r>
          </w:p>
        </w:tc>
        <w:tc>
          <w:tcPr>
            <w:tcW w:w="3709" w:type="pct"/>
            <w:gridSpan w:val="3"/>
            <w:vAlign w:val="center"/>
          </w:tcPr>
          <w:p w14:paraId="4F792A9B">
            <w:pPr>
              <w:snapToGrid w:val="0"/>
              <w:spacing w:line="520" w:lineRule="exact"/>
              <w:jc w:val="left"/>
              <w:rPr>
                <w:rFonts w:ascii="仿宋_GB2312" w:hAnsi="仿宋_GB2312" w:eastAsia="仿宋_GB2312" w:cs="仿宋_GB2312"/>
                <w:color w:val="000000" w:themeColor="text1"/>
                <w:sz w:val="28"/>
                <w:szCs w:val="28"/>
              </w:rPr>
            </w:pPr>
          </w:p>
        </w:tc>
      </w:tr>
      <w:tr w14:paraId="5A4A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90" w:type="pct"/>
            <w:gridSpan w:val="2"/>
            <w:vAlign w:val="center"/>
          </w:tcPr>
          <w:p w14:paraId="0E1F8CD8">
            <w:pPr>
              <w:snapToGrid w:val="0"/>
              <w:spacing w:line="520" w:lineRule="exact"/>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合同签订时间：</w:t>
            </w:r>
          </w:p>
        </w:tc>
        <w:tc>
          <w:tcPr>
            <w:tcW w:w="3709" w:type="pct"/>
            <w:gridSpan w:val="3"/>
            <w:vAlign w:val="center"/>
          </w:tcPr>
          <w:p w14:paraId="3F1BB1C9">
            <w:pPr>
              <w:snapToGrid w:val="0"/>
              <w:spacing w:line="520" w:lineRule="exact"/>
              <w:jc w:val="left"/>
              <w:rPr>
                <w:rFonts w:ascii="仿宋_GB2312" w:hAnsi="仿宋_GB2312" w:eastAsia="仿宋_GB2312" w:cs="仿宋_GB2312"/>
                <w:color w:val="000000" w:themeColor="text1"/>
                <w:sz w:val="28"/>
                <w:szCs w:val="28"/>
              </w:rPr>
            </w:pPr>
          </w:p>
        </w:tc>
      </w:tr>
    </w:tbl>
    <w:p w14:paraId="0347B1D1">
      <w:pPr>
        <w:pStyle w:val="4"/>
        <w:rPr>
          <w:color w:val="000000" w:themeColor="text1"/>
        </w:rPr>
        <w:sectPr>
          <w:footerReference r:id="rId3" w:type="default"/>
          <w:pgSz w:w="11906" w:h="16838"/>
          <w:pgMar w:top="1440" w:right="1800" w:bottom="1440" w:left="1800" w:header="851" w:footer="624" w:gutter="0"/>
          <w:pgNumType w:start="1" w:chapStyle="1"/>
          <w:cols w:space="720" w:num="1"/>
          <w:docGrid w:type="lines" w:linePitch="312" w:charSpace="0"/>
        </w:sectPr>
      </w:pPr>
    </w:p>
    <w:p w14:paraId="3C9B8944">
      <w:pPr>
        <w:outlineLvl w:val="0"/>
        <w:rPr>
          <w:rFonts w:ascii="宋体" w:hAnsi="宋体" w:eastAsia="仿宋_GB2312" w:cs="宋体"/>
          <w:color w:val="000000" w:themeColor="text1"/>
          <w:sz w:val="24"/>
        </w:rPr>
      </w:pPr>
      <w:bookmarkStart w:id="151" w:name="_Toc13375"/>
      <w:bookmarkStart w:id="152" w:name="_Toc216855848"/>
      <w:r>
        <w:rPr>
          <w:rFonts w:hint="eastAsia" w:ascii="仿宋_GB2312" w:hAnsi="仿宋_GB2312" w:eastAsia="仿宋_GB2312" w:cs="仿宋_GB2312"/>
          <w:b/>
          <w:bCs/>
          <w:color w:val="000000" w:themeColor="text1"/>
          <w:sz w:val="32"/>
          <w:szCs w:val="32"/>
        </w:rPr>
        <w:t>附件1：标的物清单</w:t>
      </w:r>
      <w:bookmarkEnd w:id="151"/>
      <w:bookmarkEnd w:id="152"/>
    </w:p>
    <w:p w14:paraId="491B2BC3">
      <w:pPr>
        <w:ind w:firstLine="643" w:firstLineChars="200"/>
        <w:jc w:val="center"/>
        <w:rPr>
          <w:rFonts w:ascii="宋体" w:hAnsi="宋体" w:cs="宋体"/>
          <w:b/>
          <w:bCs/>
          <w:color w:val="000000" w:themeColor="text1"/>
          <w:sz w:val="32"/>
          <w:szCs w:val="32"/>
        </w:rPr>
      </w:pPr>
      <w:r>
        <w:rPr>
          <w:rFonts w:hint="eastAsia" w:ascii="仿宋_GB2312" w:hAnsi="仿宋_GB2312" w:eastAsia="仿宋_GB2312" w:cs="仿宋_GB2312"/>
          <w:b/>
          <w:bCs/>
          <w:color w:val="000000" w:themeColor="text1"/>
          <w:sz w:val="32"/>
          <w:szCs w:val="32"/>
        </w:rPr>
        <w:t>标的物清单</w:t>
      </w:r>
    </w:p>
    <w:p w14:paraId="22F44A6D">
      <w:pPr>
        <w:rPr>
          <w:rFonts w:ascii="宋体" w:hAnsi="宋体" w:cs="宋体"/>
          <w:color w:val="000000" w:themeColor="text1"/>
          <w:sz w:val="24"/>
        </w:rPr>
      </w:pPr>
      <w:bookmarkStart w:id="153" w:name="_Hlk191905422"/>
      <w:r>
        <w:rPr>
          <w:rFonts w:ascii="宋体" w:hAnsi="宋体" w:cs="宋体"/>
          <w:color w:val="000000" w:themeColor="text1"/>
          <w:sz w:val="24"/>
        </w:rPr>
        <w:t>货币单位：人民币元（CNY）</w:t>
      </w:r>
      <w:bookmarkEnd w:id="153"/>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6"/>
        <w:gridCol w:w="1417"/>
        <w:gridCol w:w="1417"/>
        <w:gridCol w:w="1417"/>
        <w:gridCol w:w="1417"/>
        <w:gridCol w:w="1417"/>
        <w:gridCol w:w="1417"/>
        <w:gridCol w:w="1417"/>
        <w:gridCol w:w="1417"/>
      </w:tblGrid>
      <w:tr w14:paraId="4142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12162B71">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序号</w:t>
            </w:r>
          </w:p>
        </w:tc>
        <w:tc>
          <w:tcPr>
            <w:tcW w:w="1416" w:type="dxa"/>
            <w:vAlign w:val="center"/>
          </w:tcPr>
          <w:p w14:paraId="7DA53104">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名称</w:t>
            </w:r>
          </w:p>
        </w:tc>
        <w:tc>
          <w:tcPr>
            <w:tcW w:w="1417" w:type="dxa"/>
            <w:vAlign w:val="center"/>
          </w:tcPr>
          <w:p w14:paraId="460CEF05">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规格型号</w:t>
            </w:r>
          </w:p>
        </w:tc>
        <w:tc>
          <w:tcPr>
            <w:tcW w:w="1417" w:type="dxa"/>
            <w:vAlign w:val="center"/>
          </w:tcPr>
          <w:p w14:paraId="418DE1C3">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单位</w:t>
            </w:r>
          </w:p>
        </w:tc>
        <w:tc>
          <w:tcPr>
            <w:tcW w:w="1417" w:type="dxa"/>
            <w:vAlign w:val="center"/>
          </w:tcPr>
          <w:p w14:paraId="69DF61CE">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数量</w:t>
            </w:r>
          </w:p>
        </w:tc>
        <w:tc>
          <w:tcPr>
            <w:tcW w:w="1417" w:type="dxa"/>
            <w:vAlign w:val="center"/>
          </w:tcPr>
          <w:p w14:paraId="2FFE86D9">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含税单价</w:t>
            </w:r>
          </w:p>
        </w:tc>
        <w:tc>
          <w:tcPr>
            <w:tcW w:w="1417" w:type="dxa"/>
            <w:vAlign w:val="center"/>
          </w:tcPr>
          <w:p w14:paraId="7ABFA98D">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税率</w:t>
            </w:r>
          </w:p>
        </w:tc>
        <w:tc>
          <w:tcPr>
            <w:tcW w:w="1417" w:type="dxa"/>
            <w:vAlign w:val="center"/>
          </w:tcPr>
          <w:p w14:paraId="443CEF2D">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金额</w:t>
            </w:r>
          </w:p>
        </w:tc>
        <w:tc>
          <w:tcPr>
            <w:tcW w:w="1417" w:type="dxa"/>
            <w:vAlign w:val="center"/>
          </w:tcPr>
          <w:p w14:paraId="76CF4AE8">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到货/交付时间</w:t>
            </w:r>
          </w:p>
        </w:tc>
        <w:tc>
          <w:tcPr>
            <w:tcW w:w="1417" w:type="dxa"/>
            <w:vAlign w:val="center"/>
          </w:tcPr>
          <w:p w14:paraId="64A13889">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备注</w:t>
            </w:r>
          </w:p>
        </w:tc>
      </w:tr>
      <w:tr w14:paraId="4588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10787520">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1</w:t>
            </w:r>
          </w:p>
        </w:tc>
        <w:tc>
          <w:tcPr>
            <w:tcW w:w="1416" w:type="dxa"/>
          </w:tcPr>
          <w:p w14:paraId="1A8FC18A">
            <w:pPr>
              <w:jc w:val="center"/>
              <w:rPr>
                <w:rFonts w:ascii="仿宋_GB2312" w:hAnsi="仿宋_GB2312" w:eastAsia="仿宋_GB2312" w:cs="仿宋_GB2312"/>
                <w:color w:val="000000" w:themeColor="text1"/>
                <w:sz w:val="24"/>
                <w:highlight w:val="yellow"/>
              </w:rPr>
            </w:pPr>
          </w:p>
        </w:tc>
        <w:tc>
          <w:tcPr>
            <w:tcW w:w="1417" w:type="dxa"/>
          </w:tcPr>
          <w:p w14:paraId="32E8051E">
            <w:pPr>
              <w:jc w:val="center"/>
              <w:rPr>
                <w:rFonts w:ascii="仿宋_GB2312" w:hAnsi="仿宋_GB2312" w:eastAsia="仿宋_GB2312" w:cs="仿宋_GB2312"/>
                <w:color w:val="000000" w:themeColor="text1"/>
                <w:sz w:val="24"/>
                <w:highlight w:val="yellow"/>
              </w:rPr>
            </w:pPr>
          </w:p>
        </w:tc>
        <w:tc>
          <w:tcPr>
            <w:tcW w:w="1417" w:type="dxa"/>
          </w:tcPr>
          <w:p w14:paraId="754DE545">
            <w:pPr>
              <w:jc w:val="center"/>
              <w:rPr>
                <w:rFonts w:ascii="仿宋_GB2312" w:hAnsi="仿宋_GB2312" w:eastAsia="仿宋_GB2312" w:cs="仿宋_GB2312"/>
                <w:color w:val="000000" w:themeColor="text1"/>
                <w:sz w:val="24"/>
                <w:highlight w:val="yellow"/>
              </w:rPr>
            </w:pPr>
          </w:p>
        </w:tc>
        <w:tc>
          <w:tcPr>
            <w:tcW w:w="1417" w:type="dxa"/>
          </w:tcPr>
          <w:p w14:paraId="15C14D4E">
            <w:pPr>
              <w:jc w:val="center"/>
              <w:rPr>
                <w:rFonts w:ascii="仿宋_GB2312" w:hAnsi="仿宋_GB2312" w:eastAsia="仿宋_GB2312" w:cs="仿宋_GB2312"/>
                <w:color w:val="000000" w:themeColor="text1"/>
                <w:sz w:val="24"/>
                <w:highlight w:val="yellow"/>
              </w:rPr>
            </w:pPr>
          </w:p>
        </w:tc>
        <w:tc>
          <w:tcPr>
            <w:tcW w:w="1417" w:type="dxa"/>
          </w:tcPr>
          <w:p w14:paraId="60D1B0C4">
            <w:pPr>
              <w:jc w:val="center"/>
              <w:rPr>
                <w:rFonts w:ascii="仿宋_GB2312" w:hAnsi="仿宋_GB2312" w:eastAsia="仿宋_GB2312" w:cs="仿宋_GB2312"/>
                <w:color w:val="000000" w:themeColor="text1"/>
                <w:sz w:val="24"/>
                <w:highlight w:val="yellow"/>
              </w:rPr>
            </w:pPr>
          </w:p>
        </w:tc>
        <w:tc>
          <w:tcPr>
            <w:tcW w:w="1417" w:type="dxa"/>
          </w:tcPr>
          <w:p w14:paraId="208A9C2E">
            <w:pPr>
              <w:jc w:val="center"/>
              <w:rPr>
                <w:rFonts w:ascii="仿宋_GB2312" w:hAnsi="仿宋_GB2312" w:eastAsia="仿宋_GB2312" w:cs="仿宋_GB2312"/>
                <w:color w:val="000000" w:themeColor="text1"/>
                <w:sz w:val="24"/>
                <w:highlight w:val="yellow"/>
              </w:rPr>
            </w:pPr>
          </w:p>
        </w:tc>
        <w:tc>
          <w:tcPr>
            <w:tcW w:w="1417" w:type="dxa"/>
          </w:tcPr>
          <w:p w14:paraId="01D9E97B">
            <w:pPr>
              <w:jc w:val="center"/>
              <w:rPr>
                <w:rFonts w:ascii="仿宋_GB2312" w:hAnsi="仿宋_GB2312" w:eastAsia="仿宋_GB2312" w:cs="仿宋_GB2312"/>
                <w:color w:val="000000" w:themeColor="text1"/>
                <w:sz w:val="24"/>
                <w:highlight w:val="yellow"/>
              </w:rPr>
            </w:pPr>
          </w:p>
        </w:tc>
        <w:tc>
          <w:tcPr>
            <w:tcW w:w="1417" w:type="dxa"/>
          </w:tcPr>
          <w:p w14:paraId="7AFFCB20">
            <w:pPr>
              <w:jc w:val="center"/>
              <w:rPr>
                <w:rFonts w:ascii="仿宋_GB2312" w:hAnsi="仿宋_GB2312" w:eastAsia="仿宋_GB2312" w:cs="仿宋_GB2312"/>
                <w:color w:val="000000" w:themeColor="text1"/>
                <w:sz w:val="24"/>
                <w:highlight w:val="yellow"/>
              </w:rPr>
            </w:pPr>
          </w:p>
        </w:tc>
        <w:tc>
          <w:tcPr>
            <w:tcW w:w="1417" w:type="dxa"/>
          </w:tcPr>
          <w:p w14:paraId="286B0DBF">
            <w:pPr>
              <w:jc w:val="center"/>
              <w:rPr>
                <w:rFonts w:ascii="仿宋_GB2312" w:hAnsi="仿宋_GB2312" w:eastAsia="仿宋_GB2312" w:cs="仿宋_GB2312"/>
                <w:color w:val="000000" w:themeColor="text1"/>
                <w:sz w:val="24"/>
                <w:highlight w:val="yellow"/>
              </w:rPr>
            </w:pPr>
          </w:p>
        </w:tc>
      </w:tr>
      <w:tr w14:paraId="021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6799BD4C">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2</w:t>
            </w:r>
          </w:p>
        </w:tc>
        <w:tc>
          <w:tcPr>
            <w:tcW w:w="1416" w:type="dxa"/>
          </w:tcPr>
          <w:p w14:paraId="4BB07F4B">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安装费</w:t>
            </w:r>
          </w:p>
        </w:tc>
        <w:tc>
          <w:tcPr>
            <w:tcW w:w="1417" w:type="dxa"/>
          </w:tcPr>
          <w:p w14:paraId="011D97A9">
            <w:pPr>
              <w:jc w:val="center"/>
              <w:rPr>
                <w:rFonts w:ascii="仿宋_GB2312" w:hAnsi="仿宋_GB2312" w:eastAsia="仿宋_GB2312" w:cs="仿宋_GB2312"/>
                <w:color w:val="000000" w:themeColor="text1"/>
                <w:sz w:val="24"/>
                <w:highlight w:val="yellow"/>
              </w:rPr>
            </w:pPr>
          </w:p>
        </w:tc>
        <w:tc>
          <w:tcPr>
            <w:tcW w:w="1417" w:type="dxa"/>
          </w:tcPr>
          <w:p w14:paraId="1608EEF3">
            <w:pPr>
              <w:jc w:val="center"/>
              <w:rPr>
                <w:rFonts w:ascii="仿宋_GB2312" w:hAnsi="仿宋_GB2312" w:eastAsia="仿宋_GB2312" w:cs="仿宋_GB2312"/>
                <w:color w:val="000000" w:themeColor="text1"/>
                <w:sz w:val="24"/>
                <w:highlight w:val="yellow"/>
              </w:rPr>
            </w:pPr>
          </w:p>
        </w:tc>
        <w:tc>
          <w:tcPr>
            <w:tcW w:w="1417" w:type="dxa"/>
          </w:tcPr>
          <w:p w14:paraId="3E9C9723">
            <w:pPr>
              <w:jc w:val="center"/>
              <w:rPr>
                <w:rFonts w:ascii="仿宋_GB2312" w:hAnsi="仿宋_GB2312" w:eastAsia="仿宋_GB2312" w:cs="仿宋_GB2312"/>
                <w:color w:val="000000" w:themeColor="text1"/>
                <w:sz w:val="24"/>
                <w:highlight w:val="yellow"/>
              </w:rPr>
            </w:pPr>
          </w:p>
        </w:tc>
        <w:tc>
          <w:tcPr>
            <w:tcW w:w="1417" w:type="dxa"/>
          </w:tcPr>
          <w:p w14:paraId="726A45F5">
            <w:pPr>
              <w:jc w:val="center"/>
              <w:rPr>
                <w:rFonts w:ascii="仿宋_GB2312" w:hAnsi="仿宋_GB2312" w:eastAsia="仿宋_GB2312" w:cs="仿宋_GB2312"/>
                <w:color w:val="000000" w:themeColor="text1"/>
                <w:sz w:val="24"/>
                <w:highlight w:val="yellow"/>
              </w:rPr>
            </w:pPr>
          </w:p>
        </w:tc>
        <w:tc>
          <w:tcPr>
            <w:tcW w:w="1417" w:type="dxa"/>
          </w:tcPr>
          <w:p w14:paraId="13D18C65">
            <w:pPr>
              <w:jc w:val="center"/>
              <w:rPr>
                <w:rFonts w:ascii="仿宋_GB2312" w:hAnsi="仿宋_GB2312" w:eastAsia="仿宋_GB2312" w:cs="仿宋_GB2312"/>
                <w:color w:val="000000" w:themeColor="text1"/>
                <w:sz w:val="24"/>
                <w:highlight w:val="yellow"/>
              </w:rPr>
            </w:pPr>
          </w:p>
        </w:tc>
        <w:tc>
          <w:tcPr>
            <w:tcW w:w="1417" w:type="dxa"/>
          </w:tcPr>
          <w:p w14:paraId="08D58F2E">
            <w:pPr>
              <w:jc w:val="center"/>
              <w:rPr>
                <w:rFonts w:ascii="仿宋_GB2312" w:hAnsi="仿宋_GB2312" w:eastAsia="仿宋_GB2312" w:cs="仿宋_GB2312"/>
                <w:color w:val="000000" w:themeColor="text1"/>
                <w:sz w:val="24"/>
                <w:highlight w:val="yellow"/>
              </w:rPr>
            </w:pPr>
          </w:p>
        </w:tc>
        <w:tc>
          <w:tcPr>
            <w:tcW w:w="1417" w:type="dxa"/>
          </w:tcPr>
          <w:p w14:paraId="48325F8A">
            <w:pPr>
              <w:jc w:val="center"/>
              <w:rPr>
                <w:rFonts w:ascii="仿宋_GB2312" w:hAnsi="仿宋_GB2312" w:eastAsia="仿宋_GB2312" w:cs="仿宋_GB2312"/>
                <w:color w:val="000000" w:themeColor="text1"/>
                <w:sz w:val="24"/>
                <w:highlight w:val="yellow"/>
              </w:rPr>
            </w:pPr>
          </w:p>
        </w:tc>
        <w:tc>
          <w:tcPr>
            <w:tcW w:w="1417" w:type="dxa"/>
          </w:tcPr>
          <w:p w14:paraId="72812C52">
            <w:pPr>
              <w:jc w:val="center"/>
              <w:rPr>
                <w:rFonts w:ascii="仿宋_GB2312" w:hAnsi="仿宋_GB2312" w:eastAsia="仿宋_GB2312" w:cs="仿宋_GB2312"/>
                <w:color w:val="000000" w:themeColor="text1"/>
                <w:sz w:val="24"/>
                <w:highlight w:val="yellow"/>
              </w:rPr>
            </w:pPr>
          </w:p>
        </w:tc>
      </w:tr>
      <w:tr w14:paraId="515B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0C3ED9B9">
            <w:pPr>
              <w:jc w:val="center"/>
              <w:rPr>
                <w:rFonts w:ascii="仿宋_GB2312" w:hAnsi="仿宋_GB2312" w:eastAsia="仿宋_GB2312" w:cs="仿宋_GB2312"/>
                <w:color w:val="000000" w:themeColor="text1"/>
                <w:sz w:val="24"/>
                <w:highlight w:val="yellow"/>
              </w:rPr>
            </w:pPr>
          </w:p>
        </w:tc>
        <w:tc>
          <w:tcPr>
            <w:tcW w:w="1416" w:type="dxa"/>
          </w:tcPr>
          <w:p w14:paraId="5B6D94A4">
            <w:pPr>
              <w:jc w:val="center"/>
              <w:rPr>
                <w:rFonts w:ascii="仿宋_GB2312" w:hAnsi="仿宋_GB2312" w:eastAsia="仿宋_GB2312" w:cs="仿宋_GB2312"/>
                <w:color w:val="000000" w:themeColor="text1"/>
                <w:sz w:val="24"/>
                <w:highlight w:val="yellow"/>
              </w:rPr>
            </w:pPr>
            <w:r>
              <w:rPr>
                <w:rFonts w:hint="eastAsia" w:ascii="仿宋_GB2312" w:hAnsi="仿宋_GB2312" w:eastAsia="仿宋_GB2312" w:cs="仿宋_GB2312"/>
                <w:color w:val="000000" w:themeColor="text1"/>
                <w:sz w:val="24"/>
                <w:highlight w:val="yellow"/>
              </w:rPr>
              <w:t>合计</w:t>
            </w:r>
          </w:p>
        </w:tc>
        <w:tc>
          <w:tcPr>
            <w:tcW w:w="1417" w:type="dxa"/>
          </w:tcPr>
          <w:p w14:paraId="1F13F478">
            <w:pPr>
              <w:jc w:val="center"/>
              <w:rPr>
                <w:rFonts w:ascii="仿宋_GB2312" w:hAnsi="仿宋_GB2312" w:eastAsia="仿宋_GB2312" w:cs="仿宋_GB2312"/>
                <w:color w:val="000000" w:themeColor="text1"/>
                <w:sz w:val="24"/>
                <w:highlight w:val="yellow"/>
              </w:rPr>
            </w:pPr>
          </w:p>
        </w:tc>
        <w:tc>
          <w:tcPr>
            <w:tcW w:w="1417" w:type="dxa"/>
          </w:tcPr>
          <w:p w14:paraId="0C0A6808">
            <w:pPr>
              <w:jc w:val="center"/>
              <w:rPr>
                <w:rFonts w:ascii="仿宋_GB2312" w:hAnsi="仿宋_GB2312" w:eastAsia="仿宋_GB2312" w:cs="仿宋_GB2312"/>
                <w:color w:val="000000" w:themeColor="text1"/>
                <w:sz w:val="24"/>
                <w:highlight w:val="yellow"/>
              </w:rPr>
            </w:pPr>
          </w:p>
        </w:tc>
        <w:tc>
          <w:tcPr>
            <w:tcW w:w="1417" w:type="dxa"/>
          </w:tcPr>
          <w:p w14:paraId="1A8EE04E">
            <w:pPr>
              <w:jc w:val="center"/>
              <w:rPr>
                <w:rFonts w:ascii="仿宋_GB2312" w:hAnsi="仿宋_GB2312" w:eastAsia="仿宋_GB2312" w:cs="仿宋_GB2312"/>
                <w:color w:val="000000" w:themeColor="text1"/>
                <w:sz w:val="24"/>
                <w:highlight w:val="yellow"/>
              </w:rPr>
            </w:pPr>
          </w:p>
        </w:tc>
        <w:tc>
          <w:tcPr>
            <w:tcW w:w="1417" w:type="dxa"/>
          </w:tcPr>
          <w:p w14:paraId="1926E670">
            <w:pPr>
              <w:jc w:val="center"/>
              <w:rPr>
                <w:rFonts w:ascii="仿宋_GB2312" w:hAnsi="仿宋_GB2312" w:eastAsia="仿宋_GB2312" w:cs="仿宋_GB2312"/>
                <w:color w:val="000000" w:themeColor="text1"/>
                <w:sz w:val="24"/>
                <w:highlight w:val="yellow"/>
              </w:rPr>
            </w:pPr>
          </w:p>
        </w:tc>
        <w:tc>
          <w:tcPr>
            <w:tcW w:w="1417" w:type="dxa"/>
          </w:tcPr>
          <w:p w14:paraId="71E1560D">
            <w:pPr>
              <w:jc w:val="center"/>
              <w:rPr>
                <w:rFonts w:ascii="仿宋_GB2312" w:hAnsi="仿宋_GB2312" w:eastAsia="仿宋_GB2312" w:cs="仿宋_GB2312"/>
                <w:color w:val="000000" w:themeColor="text1"/>
                <w:sz w:val="24"/>
                <w:highlight w:val="yellow"/>
              </w:rPr>
            </w:pPr>
          </w:p>
        </w:tc>
        <w:tc>
          <w:tcPr>
            <w:tcW w:w="1417" w:type="dxa"/>
          </w:tcPr>
          <w:p w14:paraId="052877B7">
            <w:pPr>
              <w:jc w:val="center"/>
              <w:rPr>
                <w:rFonts w:ascii="仿宋_GB2312" w:hAnsi="仿宋_GB2312" w:eastAsia="仿宋_GB2312" w:cs="仿宋_GB2312"/>
                <w:color w:val="000000" w:themeColor="text1"/>
                <w:sz w:val="24"/>
                <w:highlight w:val="yellow"/>
              </w:rPr>
            </w:pPr>
          </w:p>
        </w:tc>
        <w:tc>
          <w:tcPr>
            <w:tcW w:w="1417" w:type="dxa"/>
          </w:tcPr>
          <w:p w14:paraId="2DCC1EDD">
            <w:pPr>
              <w:jc w:val="center"/>
              <w:rPr>
                <w:rFonts w:ascii="仿宋_GB2312" w:hAnsi="仿宋_GB2312" w:eastAsia="仿宋_GB2312" w:cs="仿宋_GB2312"/>
                <w:color w:val="000000" w:themeColor="text1"/>
                <w:sz w:val="24"/>
                <w:highlight w:val="yellow"/>
              </w:rPr>
            </w:pPr>
          </w:p>
        </w:tc>
        <w:tc>
          <w:tcPr>
            <w:tcW w:w="1417" w:type="dxa"/>
          </w:tcPr>
          <w:p w14:paraId="5136D939">
            <w:pPr>
              <w:jc w:val="center"/>
              <w:rPr>
                <w:rFonts w:ascii="仿宋_GB2312" w:hAnsi="仿宋_GB2312" w:eastAsia="仿宋_GB2312" w:cs="仿宋_GB2312"/>
                <w:color w:val="000000" w:themeColor="text1"/>
                <w:sz w:val="24"/>
                <w:highlight w:val="yellow"/>
              </w:rPr>
            </w:pPr>
          </w:p>
        </w:tc>
      </w:tr>
    </w:tbl>
    <w:p w14:paraId="45B57B0D">
      <w:pPr>
        <w:ind w:firstLine="480" w:firstLineChars="200"/>
        <w:rPr>
          <w:rFonts w:ascii="仿宋_GB2312" w:hAnsi="仿宋_GB2312" w:eastAsia="仿宋_GB2312" w:cs="仿宋_GB2312"/>
          <w:color w:val="000000" w:themeColor="text1"/>
          <w:sz w:val="24"/>
        </w:rPr>
      </w:pPr>
    </w:p>
    <w:p w14:paraId="5D3DA3FE">
      <w:pPr>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1、送货单务必注明“项目名称、合同编号”，合同注明产地的送货单必须注明产地且与合同相对应，送货单需经合同中约定的双方指定人员签字后方可生效。</w:t>
      </w:r>
    </w:p>
    <w:p w14:paraId="4D732444">
      <w:pPr>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2、结算时请附上经甲方签字确认的送货回单、电子版结算清单，经确认通知乙方开具增值税专用发票，发票上须备注“</w:t>
      </w:r>
      <w:r>
        <w:rPr>
          <w:rFonts w:hint="eastAsia" w:ascii="仿宋_GB2312" w:hAnsi="仿宋_GB2312" w:eastAsia="仿宋_GB2312" w:cs="仿宋_GB2312"/>
          <w:b/>
          <w:bCs/>
          <w:color w:val="000000" w:themeColor="text1"/>
          <w:sz w:val="24"/>
        </w:rPr>
        <w:t>合同编号</w:t>
      </w:r>
      <w:r>
        <w:rPr>
          <w:rFonts w:hint="eastAsia" w:ascii="仿宋_GB2312" w:hAnsi="仿宋_GB2312" w:eastAsia="仿宋_GB2312" w:cs="仿宋_GB2312"/>
          <w:color w:val="000000" w:themeColor="text1"/>
          <w:sz w:val="24"/>
        </w:rPr>
        <w:t>”。</w:t>
      </w:r>
    </w:p>
    <w:p w14:paraId="567E5A42">
      <w:pPr>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3、本价款包含但不限于</w:t>
      </w:r>
      <w:r>
        <w:rPr>
          <w:rFonts w:hint="eastAsia" w:ascii="仿宋_GB2312" w:hAnsi="仿宋_GB2312" w:eastAsia="仿宋_GB2312" w:cs="仿宋_GB2312"/>
          <w:b/>
          <w:bCs/>
          <w:color w:val="000000" w:themeColor="text1"/>
          <w:sz w:val="24"/>
          <w:u w:val="single"/>
        </w:rPr>
        <w:t>产品费、设计费、制造费、试验费、包装费、专利费、保险费、税费、检验费、运输费、装卸费、出库费、工厂检验费、报建费、安装费（含机械及各种措施费）、调试费、安装质量监督检验、保修费、风险费、利润、为使用户正常操作与维护所必须提供的技术培训费、预期市场价格涨跌、各类规费、汇率变动、国家与地方政府政策改变引起的费用等实现合同目的一切费用。</w:t>
      </w:r>
    </w:p>
    <w:p w14:paraId="51E465F9">
      <w:pPr>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4、乙方实际供应的材料必须与合同厂家一致，每件挂有出厂铭牌及相应的质量保证书，否则甲方有权不予接收。</w:t>
      </w:r>
    </w:p>
    <w:p w14:paraId="31DD82E5">
      <w:pPr>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5、本标的物清单量为暂估，不得作为结算支付依据，结算时以实际供货量为准。</w:t>
      </w:r>
    </w:p>
    <w:p w14:paraId="07A845D4">
      <w:pPr>
        <w:spacing w:line="520" w:lineRule="exact"/>
        <w:ind w:firstLine="482" w:firstLineChars="200"/>
        <w:rPr>
          <w:rFonts w:ascii="仿宋_GB2312" w:hAnsi="仿宋_GB2312" w:eastAsia="仿宋_GB2312" w:cs="仿宋_GB2312"/>
          <w:b/>
          <w:bCs/>
          <w:color w:val="000000" w:themeColor="text1"/>
          <w:sz w:val="24"/>
          <w:u w:val="single"/>
        </w:rPr>
      </w:pPr>
      <w:r>
        <w:rPr>
          <w:rFonts w:hint="eastAsia" w:ascii="仿宋_GB2312" w:hAnsi="仿宋_GB2312" w:eastAsia="仿宋_GB2312" w:cs="仿宋_GB2312"/>
          <w:b/>
          <w:bCs/>
          <w:color w:val="000000" w:themeColor="text1"/>
          <w:sz w:val="24"/>
          <w:u w:val="single"/>
        </w:rPr>
        <w:t>（以下无正文，为清单签署页</w:t>
      </w:r>
    </w:p>
    <w:p w14:paraId="0F9E76D5">
      <w:pPr>
        <w:rPr>
          <w:color w:val="000000" w:themeColor="text1"/>
        </w:rPr>
        <w:sectPr>
          <w:pgSz w:w="16838" w:h="11906" w:orient="landscape"/>
          <w:pgMar w:top="1800" w:right="1440" w:bottom="1800" w:left="1440" w:header="851" w:footer="624" w:gutter="0"/>
          <w:pgNumType w:start="1" w:chapStyle="1"/>
          <w:cols w:space="720" w:num="1"/>
          <w:docGrid w:type="lines" w:linePitch="312" w:charSpace="0"/>
        </w:sectPr>
      </w:pPr>
    </w:p>
    <w:p w14:paraId="489EC4CB">
      <w:pPr>
        <w:spacing w:line="360" w:lineRule="auto"/>
        <w:rPr>
          <w:rFonts w:ascii="仿宋_GB2312" w:hAnsi="仿宋_GB2312" w:eastAsia="仿宋_GB2312" w:cs="仿宋_GB2312"/>
          <w:b/>
          <w:color w:val="000000" w:themeColor="text1"/>
          <w:sz w:val="24"/>
        </w:rPr>
      </w:pPr>
      <w:bookmarkStart w:id="154" w:name="_Hlk187070319"/>
    </w:p>
    <w:bookmarkEnd w:id="154"/>
    <w:p w14:paraId="7C2E0AF1">
      <w:pPr>
        <w:spacing w:line="360" w:lineRule="auto"/>
        <w:ind w:left="5766" w:hanging="5783" w:hangingChars="24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甲    方： 乙  方：</w:t>
      </w:r>
    </w:p>
    <w:p w14:paraId="7F69AA01">
      <w:pPr>
        <w:spacing w:line="360" w:lineRule="auto"/>
        <w:ind w:firstLine="482" w:firstLineChars="200"/>
        <w:rPr>
          <w:rFonts w:ascii="仿宋_GB2312" w:hAnsi="仿宋_GB2312" w:eastAsia="仿宋_GB2312" w:cs="仿宋_GB2312"/>
          <w:b/>
          <w:color w:val="000000" w:themeColor="text1"/>
          <w:sz w:val="24"/>
        </w:rPr>
      </w:pPr>
    </w:p>
    <w:p w14:paraId="3E593C6D">
      <w:pPr>
        <w:spacing w:line="360" w:lineRule="auto"/>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法定代表人：（盖章）                  法定代表人：（盖章）</w:t>
      </w:r>
    </w:p>
    <w:p w14:paraId="0207CCB2">
      <w:pPr>
        <w:spacing w:line="360" w:lineRule="auto"/>
        <w:ind w:firstLine="482" w:firstLineChars="200"/>
        <w:rPr>
          <w:rFonts w:ascii="仿宋_GB2312" w:hAnsi="仿宋_GB2312" w:eastAsia="仿宋_GB2312" w:cs="仿宋_GB2312"/>
          <w:b/>
          <w:color w:val="000000" w:themeColor="text1"/>
          <w:sz w:val="24"/>
        </w:rPr>
      </w:pPr>
    </w:p>
    <w:p w14:paraId="45DC06F8">
      <w:pPr>
        <w:spacing w:line="360" w:lineRule="auto"/>
        <w:ind w:firstLine="6264" w:firstLineChars="2600"/>
        <w:rPr>
          <w:rFonts w:ascii="仿宋_GB2312" w:hAnsi="仿宋_GB2312" w:eastAsia="仿宋_GB2312" w:cs="仿宋_GB2312"/>
          <w:b/>
          <w:color w:val="000000" w:themeColor="text1"/>
          <w:sz w:val="24"/>
        </w:rPr>
      </w:pPr>
    </w:p>
    <w:p w14:paraId="7B0D6EFE">
      <w:pPr>
        <w:spacing w:line="360" w:lineRule="auto"/>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签订时间：  年   月   日</w:t>
      </w:r>
    </w:p>
    <w:p w14:paraId="35964E3D">
      <w:pPr>
        <w:spacing w:line="360" w:lineRule="auto"/>
        <w:rPr>
          <w:rFonts w:ascii="仿宋_GB2312" w:hAnsi="仿宋_GB2312" w:eastAsia="仿宋_GB2312" w:cs="仿宋_GB2312"/>
          <w:b/>
          <w:color w:val="000000" w:themeColor="text1"/>
          <w:sz w:val="24"/>
        </w:rPr>
      </w:pPr>
    </w:p>
    <w:p w14:paraId="4D62983F">
      <w:pPr>
        <w:spacing w:line="520" w:lineRule="exact"/>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 xml:space="preserve">签订地点： </w:t>
      </w:r>
    </w:p>
    <w:p w14:paraId="3CA4CE24">
      <w:pPr>
        <w:rPr>
          <w:rFonts w:ascii="楷体" w:hAnsi="楷体" w:eastAsia="楷体" w:cs="楷体"/>
          <w:b/>
          <w:bCs/>
          <w:i/>
          <w:iCs/>
          <w:color w:val="000000" w:themeColor="text1"/>
          <w:sz w:val="28"/>
          <w:szCs w:val="28"/>
        </w:rPr>
      </w:pPr>
    </w:p>
    <w:p w14:paraId="2BF21F66">
      <w:pPr>
        <w:rPr>
          <w:rFonts w:ascii="楷体" w:hAnsi="楷体" w:eastAsia="楷体" w:cs="楷体"/>
          <w:b/>
          <w:bCs/>
          <w:i/>
          <w:iCs/>
          <w:color w:val="000000" w:themeColor="text1"/>
          <w:sz w:val="28"/>
          <w:szCs w:val="28"/>
        </w:rPr>
        <w:sectPr>
          <w:pgSz w:w="11906" w:h="16838"/>
          <w:pgMar w:top="1440" w:right="1800" w:bottom="1440" w:left="1800" w:header="851" w:footer="992" w:gutter="0"/>
          <w:cols w:space="720" w:num="1"/>
          <w:docGrid w:type="lines" w:linePitch="312" w:charSpace="0"/>
        </w:sectPr>
      </w:pPr>
    </w:p>
    <w:p w14:paraId="347F6555">
      <w:pPr>
        <w:outlineLvl w:val="0"/>
        <w:rPr>
          <w:rFonts w:ascii="宋体" w:hAnsi="宋体" w:eastAsia="仿宋_GB2312" w:cs="宋体"/>
          <w:b/>
          <w:color w:val="000000" w:themeColor="text1"/>
          <w:sz w:val="24"/>
          <w:u w:val="single"/>
        </w:rPr>
      </w:pPr>
      <w:bookmarkStart w:id="155" w:name="_Toc216855849"/>
      <w:bookmarkStart w:id="156" w:name="_Toc18833"/>
      <w:r>
        <w:rPr>
          <w:rFonts w:hint="eastAsia" w:ascii="仿宋_GB2312" w:hAnsi="仿宋_GB2312" w:eastAsia="仿宋_GB2312" w:cs="仿宋_GB2312"/>
          <w:b/>
          <w:bCs/>
          <w:color w:val="000000" w:themeColor="text1"/>
          <w:sz w:val="32"/>
          <w:szCs w:val="32"/>
        </w:rPr>
        <w:t>附件2：锅炉产品数据表</w:t>
      </w:r>
      <w:bookmarkEnd w:id="155"/>
    </w:p>
    <w:bookmarkEnd w:id="156"/>
    <w:p w14:paraId="68CA848D">
      <w:pPr>
        <w:rPr>
          <w:rFonts w:ascii="宋体" w:hAnsi="宋体" w:cs="宋体"/>
          <w:b/>
          <w:color w:val="000000" w:themeColor="text1"/>
          <w:sz w:val="28"/>
          <w:szCs w:val="28"/>
          <w:u w:val="single"/>
        </w:rPr>
        <w:sectPr>
          <w:pgSz w:w="16838" w:h="11906" w:orient="landscape"/>
          <w:pgMar w:top="1800" w:right="1440" w:bottom="1800" w:left="1440" w:header="851" w:footer="992" w:gutter="0"/>
          <w:cols w:space="720" w:num="1"/>
          <w:docGrid w:type="lines" w:linePitch="312" w:charSpace="0"/>
        </w:sectPr>
      </w:pPr>
    </w:p>
    <w:p w14:paraId="17460788">
      <w:pPr>
        <w:outlineLvl w:val="0"/>
        <w:rPr>
          <w:rFonts w:ascii="仿宋_GB2312" w:hAnsi="仿宋_GB2312" w:eastAsia="仿宋_GB2312" w:cs="仿宋_GB2312"/>
          <w:b/>
          <w:bCs/>
          <w:color w:val="000000" w:themeColor="text1"/>
          <w:sz w:val="32"/>
          <w:szCs w:val="32"/>
        </w:rPr>
      </w:pPr>
      <w:bookmarkStart w:id="157" w:name="_Toc216855850"/>
      <w:bookmarkStart w:id="158" w:name="_Toc16159"/>
      <w:r>
        <w:rPr>
          <w:rFonts w:hint="eastAsia" w:ascii="仿宋_GB2312" w:hAnsi="仿宋_GB2312" w:eastAsia="仿宋_GB2312" w:cs="仿宋_GB2312"/>
          <w:b/>
          <w:bCs/>
          <w:color w:val="000000" w:themeColor="text1"/>
          <w:sz w:val="32"/>
          <w:szCs w:val="32"/>
        </w:rPr>
        <w:t>附件3：</w:t>
      </w:r>
      <w:r>
        <w:rPr>
          <w:rFonts w:ascii="仿宋_GB2312" w:hAnsi="仿宋_GB2312" w:eastAsia="仿宋_GB2312" w:cs="仿宋_GB2312"/>
          <w:b/>
          <w:bCs/>
          <w:color w:val="000000" w:themeColor="text1"/>
          <w:sz w:val="32"/>
          <w:szCs w:val="32"/>
        </w:rPr>
        <w:t>设备供货</w:t>
      </w:r>
      <w:r>
        <w:rPr>
          <w:rFonts w:hint="eastAsia" w:ascii="仿宋_GB2312" w:hAnsi="仿宋_GB2312" w:eastAsia="仿宋_GB2312" w:cs="仿宋_GB2312"/>
          <w:b/>
          <w:bCs/>
          <w:color w:val="000000" w:themeColor="text1"/>
          <w:sz w:val="32"/>
          <w:szCs w:val="32"/>
        </w:rPr>
        <w:t>计划</w:t>
      </w:r>
      <w:r>
        <w:rPr>
          <w:rFonts w:ascii="仿宋_GB2312" w:hAnsi="仿宋_GB2312" w:eastAsia="仿宋_GB2312" w:cs="仿宋_GB2312"/>
          <w:b/>
          <w:bCs/>
          <w:color w:val="000000" w:themeColor="text1"/>
          <w:sz w:val="32"/>
          <w:szCs w:val="32"/>
        </w:rPr>
        <w:t>表</w:t>
      </w:r>
      <w:r>
        <w:rPr>
          <w:rFonts w:hint="eastAsia" w:ascii="仿宋_GB2312" w:hAnsi="仿宋_GB2312" w:eastAsia="仿宋_GB2312" w:cs="仿宋_GB2312"/>
          <w:b/>
          <w:bCs/>
          <w:color w:val="000000" w:themeColor="text1"/>
          <w:sz w:val="32"/>
          <w:szCs w:val="32"/>
        </w:rPr>
        <w:t>、安装进度计划表</w:t>
      </w:r>
      <w:bookmarkEnd w:id="157"/>
    </w:p>
    <w:p w14:paraId="062629B0">
      <w:pPr>
        <w:outlineLvl w:val="0"/>
        <w:rPr>
          <w:rFonts w:ascii="仿宋_GB2312" w:hAnsi="仿宋_GB2312" w:eastAsia="仿宋_GB2312" w:cs="仿宋_GB2312"/>
          <w:b/>
          <w:bCs/>
          <w:color w:val="000000" w:themeColor="text1"/>
          <w:sz w:val="32"/>
          <w:szCs w:val="32"/>
        </w:rPr>
      </w:pPr>
    </w:p>
    <w:p w14:paraId="22B376FB">
      <w:pPr>
        <w:outlineLvl w:val="0"/>
        <w:rPr>
          <w:rFonts w:ascii="仿宋_GB2312" w:hAnsi="仿宋_GB2312" w:eastAsia="仿宋_GB2312" w:cs="仿宋_GB2312"/>
          <w:b/>
          <w:bCs/>
          <w:color w:val="000000" w:themeColor="text1"/>
          <w:sz w:val="32"/>
          <w:szCs w:val="32"/>
        </w:rPr>
      </w:pPr>
    </w:p>
    <w:p w14:paraId="596E9989">
      <w:pPr>
        <w:outlineLvl w:val="0"/>
        <w:rPr>
          <w:rFonts w:ascii="仿宋_GB2312" w:hAnsi="仿宋_GB2312" w:eastAsia="仿宋_GB2312" w:cs="仿宋_GB2312"/>
          <w:b/>
          <w:bCs/>
          <w:color w:val="000000" w:themeColor="text1"/>
          <w:sz w:val="32"/>
          <w:szCs w:val="32"/>
        </w:rPr>
      </w:pPr>
    </w:p>
    <w:p w14:paraId="3741DFDC">
      <w:pPr>
        <w:outlineLvl w:val="0"/>
        <w:rPr>
          <w:rFonts w:ascii="仿宋_GB2312" w:hAnsi="仿宋_GB2312" w:eastAsia="仿宋_GB2312" w:cs="仿宋_GB2312"/>
          <w:b/>
          <w:bCs/>
          <w:color w:val="000000" w:themeColor="text1"/>
          <w:sz w:val="32"/>
          <w:szCs w:val="32"/>
        </w:rPr>
      </w:pPr>
    </w:p>
    <w:p w14:paraId="6E1FBAD4">
      <w:pPr>
        <w:outlineLvl w:val="0"/>
        <w:rPr>
          <w:rFonts w:ascii="仿宋_GB2312" w:hAnsi="仿宋_GB2312" w:eastAsia="仿宋_GB2312" w:cs="仿宋_GB2312"/>
          <w:b/>
          <w:bCs/>
          <w:color w:val="000000" w:themeColor="text1"/>
          <w:sz w:val="32"/>
          <w:szCs w:val="32"/>
        </w:rPr>
      </w:pPr>
    </w:p>
    <w:p w14:paraId="641E4709">
      <w:pPr>
        <w:outlineLvl w:val="0"/>
        <w:rPr>
          <w:rFonts w:ascii="仿宋_GB2312" w:hAnsi="仿宋_GB2312" w:eastAsia="仿宋_GB2312" w:cs="仿宋_GB2312"/>
          <w:b/>
          <w:bCs/>
          <w:color w:val="000000" w:themeColor="text1"/>
          <w:sz w:val="32"/>
          <w:szCs w:val="32"/>
        </w:rPr>
      </w:pPr>
    </w:p>
    <w:p w14:paraId="541E425B">
      <w:pPr>
        <w:outlineLvl w:val="0"/>
        <w:rPr>
          <w:rFonts w:ascii="仿宋_GB2312" w:hAnsi="仿宋_GB2312" w:eastAsia="仿宋_GB2312" w:cs="仿宋_GB2312"/>
          <w:b/>
          <w:bCs/>
          <w:color w:val="000000" w:themeColor="text1"/>
          <w:sz w:val="32"/>
          <w:szCs w:val="32"/>
        </w:rPr>
      </w:pPr>
    </w:p>
    <w:p w14:paraId="682BF2D6">
      <w:pPr>
        <w:outlineLvl w:val="0"/>
        <w:rPr>
          <w:rFonts w:ascii="仿宋_GB2312" w:hAnsi="仿宋_GB2312" w:eastAsia="仿宋_GB2312" w:cs="仿宋_GB2312"/>
          <w:b/>
          <w:bCs/>
          <w:color w:val="000000" w:themeColor="text1"/>
          <w:sz w:val="32"/>
          <w:szCs w:val="32"/>
        </w:rPr>
      </w:pPr>
    </w:p>
    <w:p w14:paraId="56EF5391">
      <w:pPr>
        <w:outlineLvl w:val="0"/>
        <w:rPr>
          <w:rFonts w:ascii="仿宋_GB2312" w:hAnsi="仿宋_GB2312" w:eastAsia="仿宋_GB2312" w:cs="仿宋_GB2312"/>
          <w:b/>
          <w:bCs/>
          <w:color w:val="000000" w:themeColor="text1"/>
          <w:sz w:val="32"/>
          <w:szCs w:val="32"/>
        </w:rPr>
      </w:pPr>
    </w:p>
    <w:p w14:paraId="04DF9FAA">
      <w:pPr>
        <w:outlineLvl w:val="0"/>
        <w:rPr>
          <w:rFonts w:ascii="仿宋_GB2312" w:hAnsi="仿宋_GB2312" w:eastAsia="仿宋_GB2312" w:cs="仿宋_GB2312"/>
          <w:b/>
          <w:bCs/>
          <w:color w:val="000000" w:themeColor="text1"/>
          <w:sz w:val="32"/>
          <w:szCs w:val="32"/>
        </w:rPr>
      </w:pPr>
    </w:p>
    <w:p w14:paraId="40808D33">
      <w:pPr>
        <w:outlineLvl w:val="0"/>
        <w:rPr>
          <w:rFonts w:ascii="仿宋_GB2312" w:hAnsi="仿宋_GB2312" w:eastAsia="仿宋_GB2312" w:cs="仿宋_GB2312"/>
          <w:b/>
          <w:bCs/>
          <w:color w:val="000000" w:themeColor="text1"/>
          <w:sz w:val="32"/>
          <w:szCs w:val="32"/>
        </w:rPr>
      </w:pPr>
    </w:p>
    <w:p w14:paraId="1456E994">
      <w:pPr>
        <w:outlineLvl w:val="0"/>
        <w:rPr>
          <w:rFonts w:ascii="仿宋_GB2312" w:hAnsi="仿宋_GB2312" w:eastAsia="仿宋_GB2312" w:cs="仿宋_GB2312"/>
          <w:b/>
          <w:bCs/>
          <w:color w:val="000000" w:themeColor="text1"/>
          <w:sz w:val="32"/>
          <w:szCs w:val="32"/>
        </w:rPr>
      </w:pPr>
    </w:p>
    <w:p w14:paraId="2227A455">
      <w:pPr>
        <w:outlineLvl w:val="0"/>
        <w:rPr>
          <w:rFonts w:ascii="仿宋_GB2312" w:hAnsi="仿宋_GB2312" w:eastAsia="仿宋_GB2312" w:cs="仿宋_GB2312"/>
          <w:b/>
          <w:bCs/>
          <w:color w:val="000000" w:themeColor="text1"/>
          <w:sz w:val="32"/>
          <w:szCs w:val="32"/>
        </w:rPr>
      </w:pPr>
    </w:p>
    <w:p w14:paraId="764ECA36">
      <w:pPr>
        <w:outlineLvl w:val="0"/>
        <w:rPr>
          <w:rFonts w:ascii="仿宋_GB2312" w:hAnsi="仿宋_GB2312" w:eastAsia="仿宋_GB2312" w:cs="仿宋_GB2312"/>
          <w:b/>
          <w:bCs/>
          <w:color w:val="000000" w:themeColor="text1"/>
          <w:sz w:val="32"/>
          <w:szCs w:val="32"/>
        </w:rPr>
      </w:pPr>
    </w:p>
    <w:p w14:paraId="552CD0DC">
      <w:pPr>
        <w:outlineLvl w:val="0"/>
        <w:rPr>
          <w:rFonts w:ascii="仿宋_GB2312" w:hAnsi="仿宋_GB2312" w:eastAsia="仿宋_GB2312" w:cs="仿宋_GB2312"/>
          <w:b/>
          <w:bCs/>
          <w:color w:val="000000" w:themeColor="text1"/>
          <w:sz w:val="32"/>
          <w:szCs w:val="32"/>
        </w:rPr>
      </w:pPr>
    </w:p>
    <w:p w14:paraId="3F9EB00D">
      <w:pPr>
        <w:outlineLvl w:val="0"/>
        <w:rPr>
          <w:rFonts w:ascii="仿宋_GB2312" w:hAnsi="仿宋_GB2312" w:eastAsia="仿宋_GB2312" w:cs="仿宋_GB2312"/>
          <w:b/>
          <w:bCs/>
          <w:color w:val="000000" w:themeColor="text1"/>
          <w:sz w:val="32"/>
          <w:szCs w:val="32"/>
        </w:rPr>
      </w:pPr>
    </w:p>
    <w:p w14:paraId="44D9ABE7">
      <w:pPr>
        <w:outlineLvl w:val="0"/>
        <w:rPr>
          <w:rFonts w:ascii="仿宋_GB2312" w:hAnsi="仿宋_GB2312" w:eastAsia="仿宋_GB2312" w:cs="仿宋_GB2312"/>
          <w:b/>
          <w:bCs/>
          <w:color w:val="000000" w:themeColor="text1"/>
          <w:sz w:val="32"/>
          <w:szCs w:val="32"/>
        </w:rPr>
      </w:pPr>
    </w:p>
    <w:p w14:paraId="76C77E83">
      <w:pPr>
        <w:outlineLvl w:val="0"/>
        <w:rPr>
          <w:rFonts w:ascii="仿宋_GB2312" w:hAnsi="仿宋_GB2312" w:eastAsia="仿宋_GB2312" w:cs="仿宋_GB2312"/>
          <w:b/>
          <w:bCs/>
          <w:color w:val="000000" w:themeColor="text1"/>
          <w:sz w:val="32"/>
          <w:szCs w:val="32"/>
        </w:rPr>
      </w:pPr>
    </w:p>
    <w:p w14:paraId="25922058">
      <w:pPr>
        <w:outlineLvl w:val="0"/>
        <w:rPr>
          <w:rFonts w:ascii="仿宋_GB2312" w:hAnsi="仿宋_GB2312" w:eastAsia="仿宋_GB2312" w:cs="仿宋_GB2312"/>
          <w:b/>
          <w:bCs/>
          <w:color w:val="000000" w:themeColor="text1"/>
          <w:sz w:val="32"/>
          <w:szCs w:val="32"/>
        </w:rPr>
      </w:pPr>
    </w:p>
    <w:p w14:paraId="17DE6C4F">
      <w:pPr>
        <w:outlineLvl w:val="0"/>
        <w:rPr>
          <w:rFonts w:ascii="仿宋_GB2312" w:hAnsi="仿宋_GB2312" w:eastAsia="仿宋_GB2312" w:cs="仿宋_GB2312"/>
          <w:b/>
          <w:bCs/>
          <w:color w:val="000000" w:themeColor="text1"/>
          <w:sz w:val="32"/>
          <w:szCs w:val="32"/>
        </w:rPr>
      </w:pPr>
    </w:p>
    <w:p w14:paraId="04349E28">
      <w:pPr>
        <w:outlineLvl w:val="0"/>
        <w:rPr>
          <w:rFonts w:ascii="仿宋_GB2312" w:hAnsi="仿宋_GB2312" w:eastAsia="仿宋_GB2312" w:cs="仿宋_GB2312"/>
          <w:b/>
          <w:bCs/>
          <w:color w:val="000000" w:themeColor="text1"/>
          <w:sz w:val="32"/>
          <w:szCs w:val="32"/>
        </w:rPr>
      </w:pPr>
    </w:p>
    <w:p w14:paraId="0594101A">
      <w:pPr>
        <w:outlineLvl w:val="0"/>
        <w:rPr>
          <w:rFonts w:ascii="仿宋_GB2312" w:hAnsi="仿宋_GB2312" w:eastAsia="仿宋_GB2312" w:cs="仿宋_GB2312"/>
          <w:b/>
          <w:bCs/>
          <w:color w:val="000000" w:themeColor="text1"/>
          <w:sz w:val="32"/>
          <w:szCs w:val="32"/>
        </w:rPr>
      </w:pPr>
      <w:bookmarkStart w:id="159" w:name="_Toc216855851"/>
      <w:r>
        <w:rPr>
          <w:rFonts w:hint="eastAsia" w:ascii="仿宋_GB2312" w:hAnsi="仿宋_GB2312" w:eastAsia="仿宋_GB2312" w:cs="仿宋_GB2312"/>
          <w:b/>
          <w:bCs/>
          <w:color w:val="000000" w:themeColor="text1"/>
          <w:sz w:val="32"/>
          <w:szCs w:val="32"/>
        </w:rPr>
        <w:t>附件4：技术协议</w:t>
      </w:r>
      <w:bookmarkEnd w:id="159"/>
    </w:p>
    <w:p w14:paraId="3AB3461F">
      <w:pPr>
        <w:outlineLvl w:val="0"/>
        <w:rPr>
          <w:rFonts w:ascii="仿宋_GB2312" w:hAnsi="仿宋_GB2312" w:eastAsia="仿宋_GB2312" w:cs="仿宋_GB2312"/>
          <w:b/>
          <w:bCs/>
          <w:color w:val="000000" w:themeColor="text1"/>
          <w:sz w:val="32"/>
          <w:szCs w:val="32"/>
        </w:rPr>
      </w:pPr>
    </w:p>
    <w:p w14:paraId="12FC5C2C">
      <w:pPr>
        <w:outlineLvl w:val="0"/>
        <w:rPr>
          <w:rFonts w:ascii="仿宋_GB2312" w:hAnsi="仿宋_GB2312" w:eastAsia="仿宋_GB2312" w:cs="仿宋_GB2312"/>
          <w:b/>
          <w:bCs/>
          <w:color w:val="000000" w:themeColor="text1"/>
          <w:sz w:val="32"/>
          <w:szCs w:val="32"/>
        </w:rPr>
      </w:pPr>
    </w:p>
    <w:p w14:paraId="50E55F64">
      <w:pPr>
        <w:outlineLvl w:val="0"/>
        <w:rPr>
          <w:rFonts w:ascii="仿宋_GB2312" w:hAnsi="仿宋_GB2312" w:eastAsia="仿宋_GB2312" w:cs="仿宋_GB2312"/>
          <w:b/>
          <w:bCs/>
          <w:color w:val="000000" w:themeColor="text1"/>
          <w:sz w:val="32"/>
          <w:szCs w:val="32"/>
        </w:rPr>
      </w:pPr>
    </w:p>
    <w:p w14:paraId="007373F6">
      <w:pPr>
        <w:outlineLvl w:val="0"/>
        <w:rPr>
          <w:rFonts w:ascii="仿宋_GB2312" w:hAnsi="仿宋_GB2312" w:eastAsia="仿宋_GB2312" w:cs="仿宋_GB2312"/>
          <w:b/>
          <w:bCs/>
          <w:color w:val="000000" w:themeColor="text1"/>
          <w:sz w:val="32"/>
          <w:szCs w:val="32"/>
        </w:rPr>
      </w:pPr>
    </w:p>
    <w:p w14:paraId="369E4281">
      <w:pPr>
        <w:outlineLvl w:val="0"/>
        <w:rPr>
          <w:rFonts w:ascii="仿宋_GB2312" w:hAnsi="仿宋_GB2312" w:eastAsia="仿宋_GB2312" w:cs="仿宋_GB2312"/>
          <w:b/>
          <w:bCs/>
          <w:color w:val="000000" w:themeColor="text1"/>
          <w:sz w:val="32"/>
          <w:szCs w:val="32"/>
        </w:rPr>
      </w:pPr>
    </w:p>
    <w:p w14:paraId="69849118">
      <w:pPr>
        <w:outlineLvl w:val="0"/>
        <w:rPr>
          <w:rFonts w:ascii="仿宋_GB2312" w:hAnsi="仿宋_GB2312" w:eastAsia="仿宋_GB2312" w:cs="仿宋_GB2312"/>
          <w:b/>
          <w:bCs/>
          <w:color w:val="000000" w:themeColor="text1"/>
          <w:sz w:val="32"/>
          <w:szCs w:val="32"/>
        </w:rPr>
      </w:pPr>
    </w:p>
    <w:p w14:paraId="411DD9FE">
      <w:pPr>
        <w:outlineLvl w:val="0"/>
        <w:rPr>
          <w:rFonts w:ascii="仿宋_GB2312" w:hAnsi="仿宋_GB2312" w:eastAsia="仿宋_GB2312" w:cs="仿宋_GB2312"/>
          <w:b/>
          <w:bCs/>
          <w:color w:val="000000" w:themeColor="text1"/>
          <w:sz w:val="32"/>
          <w:szCs w:val="32"/>
        </w:rPr>
      </w:pPr>
    </w:p>
    <w:p w14:paraId="404A636C">
      <w:pPr>
        <w:outlineLvl w:val="0"/>
        <w:rPr>
          <w:rFonts w:ascii="仿宋_GB2312" w:hAnsi="仿宋_GB2312" w:eastAsia="仿宋_GB2312" w:cs="仿宋_GB2312"/>
          <w:b/>
          <w:bCs/>
          <w:color w:val="000000" w:themeColor="text1"/>
          <w:sz w:val="32"/>
          <w:szCs w:val="32"/>
        </w:rPr>
      </w:pPr>
    </w:p>
    <w:p w14:paraId="47DB6BFE">
      <w:pPr>
        <w:outlineLvl w:val="0"/>
        <w:rPr>
          <w:rFonts w:ascii="仿宋_GB2312" w:hAnsi="仿宋_GB2312" w:eastAsia="仿宋_GB2312" w:cs="仿宋_GB2312"/>
          <w:b/>
          <w:bCs/>
          <w:color w:val="000000" w:themeColor="text1"/>
          <w:sz w:val="32"/>
          <w:szCs w:val="32"/>
        </w:rPr>
      </w:pPr>
    </w:p>
    <w:p w14:paraId="2C120C67">
      <w:pPr>
        <w:outlineLvl w:val="0"/>
        <w:rPr>
          <w:rFonts w:ascii="仿宋_GB2312" w:hAnsi="仿宋_GB2312" w:eastAsia="仿宋_GB2312" w:cs="仿宋_GB2312"/>
          <w:b/>
          <w:bCs/>
          <w:color w:val="000000" w:themeColor="text1"/>
          <w:sz w:val="32"/>
          <w:szCs w:val="32"/>
        </w:rPr>
      </w:pPr>
    </w:p>
    <w:p w14:paraId="5A683964">
      <w:pPr>
        <w:outlineLvl w:val="0"/>
        <w:rPr>
          <w:rFonts w:ascii="仿宋_GB2312" w:hAnsi="仿宋_GB2312" w:eastAsia="仿宋_GB2312" w:cs="仿宋_GB2312"/>
          <w:b/>
          <w:bCs/>
          <w:color w:val="000000" w:themeColor="text1"/>
          <w:sz w:val="32"/>
          <w:szCs w:val="32"/>
        </w:rPr>
      </w:pPr>
    </w:p>
    <w:p w14:paraId="5188BC65">
      <w:pPr>
        <w:outlineLvl w:val="0"/>
        <w:rPr>
          <w:rFonts w:ascii="仿宋_GB2312" w:hAnsi="仿宋_GB2312" w:eastAsia="仿宋_GB2312" w:cs="仿宋_GB2312"/>
          <w:b/>
          <w:bCs/>
          <w:color w:val="000000" w:themeColor="text1"/>
          <w:sz w:val="32"/>
          <w:szCs w:val="32"/>
        </w:rPr>
      </w:pPr>
    </w:p>
    <w:p w14:paraId="1EC89D4D">
      <w:pPr>
        <w:outlineLvl w:val="0"/>
        <w:rPr>
          <w:rFonts w:ascii="仿宋_GB2312" w:hAnsi="仿宋_GB2312" w:eastAsia="仿宋_GB2312" w:cs="仿宋_GB2312"/>
          <w:b/>
          <w:bCs/>
          <w:color w:val="000000" w:themeColor="text1"/>
          <w:sz w:val="32"/>
          <w:szCs w:val="32"/>
        </w:rPr>
      </w:pPr>
    </w:p>
    <w:p w14:paraId="6A05CA7C">
      <w:pPr>
        <w:outlineLvl w:val="0"/>
        <w:rPr>
          <w:rFonts w:ascii="仿宋_GB2312" w:hAnsi="仿宋_GB2312" w:eastAsia="仿宋_GB2312" w:cs="仿宋_GB2312"/>
          <w:b/>
          <w:bCs/>
          <w:color w:val="000000" w:themeColor="text1"/>
          <w:sz w:val="32"/>
          <w:szCs w:val="32"/>
        </w:rPr>
      </w:pPr>
    </w:p>
    <w:p w14:paraId="4D4ED675">
      <w:pPr>
        <w:outlineLvl w:val="0"/>
        <w:rPr>
          <w:rFonts w:ascii="仿宋_GB2312" w:hAnsi="仿宋_GB2312" w:eastAsia="仿宋_GB2312" w:cs="仿宋_GB2312"/>
          <w:b/>
          <w:bCs/>
          <w:color w:val="000000" w:themeColor="text1"/>
          <w:sz w:val="32"/>
          <w:szCs w:val="32"/>
        </w:rPr>
      </w:pPr>
    </w:p>
    <w:p w14:paraId="19F54186">
      <w:pPr>
        <w:outlineLvl w:val="0"/>
        <w:rPr>
          <w:rFonts w:ascii="仿宋_GB2312" w:hAnsi="仿宋_GB2312" w:eastAsia="仿宋_GB2312" w:cs="仿宋_GB2312"/>
          <w:b/>
          <w:bCs/>
          <w:color w:val="000000" w:themeColor="text1"/>
          <w:sz w:val="32"/>
          <w:szCs w:val="32"/>
        </w:rPr>
      </w:pPr>
    </w:p>
    <w:p w14:paraId="740484D1">
      <w:pPr>
        <w:outlineLvl w:val="0"/>
        <w:rPr>
          <w:rFonts w:ascii="仿宋_GB2312" w:hAnsi="仿宋_GB2312" w:eastAsia="仿宋_GB2312" w:cs="仿宋_GB2312"/>
          <w:b/>
          <w:bCs/>
          <w:color w:val="000000" w:themeColor="text1"/>
          <w:sz w:val="32"/>
          <w:szCs w:val="32"/>
        </w:rPr>
      </w:pPr>
    </w:p>
    <w:p w14:paraId="745AA922">
      <w:pPr>
        <w:outlineLvl w:val="0"/>
        <w:rPr>
          <w:rFonts w:ascii="仿宋_GB2312" w:hAnsi="仿宋_GB2312" w:eastAsia="仿宋_GB2312" w:cs="仿宋_GB2312"/>
          <w:b/>
          <w:bCs/>
          <w:color w:val="000000" w:themeColor="text1"/>
          <w:sz w:val="32"/>
          <w:szCs w:val="32"/>
        </w:rPr>
      </w:pPr>
    </w:p>
    <w:p w14:paraId="43B18946">
      <w:pPr>
        <w:outlineLvl w:val="0"/>
        <w:rPr>
          <w:rFonts w:ascii="仿宋_GB2312" w:hAnsi="仿宋_GB2312" w:eastAsia="仿宋_GB2312" w:cs="仿宋_GB2312"/>
          <w:b/>
          <w:bCs/>
          <w:color w:val="000000" w:themeColor="text1"/>
          <w:sz w:val="32"/>
          <w:szCs w:val="32"/>
        </w:rPr>
      </w:pPr>
    </w:p>
    <w:p w14:paraId="30287E43">
      <w:pPr>
        <w:outlineLvl w:val="0"/>
        <w:rPr>
          <w:rFonts w:ascii="仿宋_GB2312" w:hAnsi="仿宋_GB2312" w:eastAsia="仿宋_GB2312" w:cs="仿宋_GB2312"/>
          <w:b/>
          <w:bCs/>
          <w:color w:val="000000" w:themeColor="text1"/>
          <w:sz w:val="32"/>
          <w:szCs w:val="32"/>
        </w:rPr>
      </w:pPr>
    </w:p>
    <w:p w14:paraId="07BE9CEF">
      <w:pPr>
        <w:outlineLvl w:val="0"/>
        <w:rPr>
          <w:rFonts w:ascii="仿宋_GB2312" w:hAnsi="仿宋_GB2312" w:eastAsia="仿宋_GB2312" w:cs="仿宋_GB2312"/>
          <w:b/>
          <w:bCs/>
          <w:color w:val="000000" w:themeColor="text1"/>
          <w:sz w:val="32"/>
          <w:szCs w:val="32"/>
        </w:rPr>
      </w:pPr>
    </w:p>
    <w:p w14:paraId="56C84D0E">
      <w:pPr>
        <w:outlineLvl w:val="0"/>
        <w:rPr>
          <w:rFonts w:ascii="仿宋_GB2312" w:hAnsi="仿宋_GB2312" w:eastAsia="仿宋_GB2312" w:cs="仿宋_GB2312"/>
          <w:b/>
          <w:bCs/>
          <w:color w:val="000000" w:themeColor="text1"/>
          <w:sz w:val="32"/>
          <w:szCs w:val="32"/>
        </w:rPr>
      </w:pPr>
      <w:bookmarkStart w:id="160" w:name="_Toc216855852"/>
      <w:r>
        <w:rPr>
          <w:rFonts w:hint="eastAsia" w:ascii="仿宋_GB2312" w:hAnsi="仿宋_GB2312" w:eastAsia="仿宋_GB2312" w:cs="仿宋_GB2312"/>
          <w:b/>
          <w:bCs/>
          <w:color w:val="000000" w:themeColor="text1"/>
          <w:sz w:val="32"/>
          <w:szCs w:val="32"/>
        </w:rPr>
        <w:t>附件5：现场安装施工安全技术方案</w:t>
      </w:r>
      <w:bookmarkEnd w:id="160"/>
    </w:p>
    <w:p w14:paraId="7A66A9B5">
      <w:pPr>
        <w:outlineLvl w:val="0"/>
        <w:rPr>
          <w:rFonts w:ascii="仿宋_GB2312" w:hAnsi="仿宋_GB2312" w:eastAsia="仿宋_GB2312" w:cs="仿宋_GB2312"/>
          <w:b/>
          <w:bCs/>
          <w:color w:val="000000" w:themeColor="text1"/>
          <w:sz w:val="32"/>
          <w:szCs w:val="32"/>
        </w:rPr>
      </w:pPr>
    </w:p>
    <w:p w14:paraId="0263B4D2">
      <w:pPr>
        <w:outlineLvl w:val="0"/>
        <w:rPr>
          <w:rFonts w:ascii="仿宋_GB2312" w:hAnsi="仿宋_GB2312" w:eastAsia="仿宋_GB2312" w:cs="仿宋_GB2312"/>
          <w:b/>
          <w:bCs/>
          <w:color w:val="000000" w:themeColor="text1"/>
          <w:sz w:val="32"/>
          <w:szCs w:val="32"/>
        </w:rPr>
      </w:pPr>
    </w:p>
    <w:p w14:paraId="3007A99C">
      <w:pPr>
        <w:outlineLvl w:val="0"/>
        <w:rPr>
          <w:rFonts w:ascii="仿宋_GB2312" w:hAnsi="仿宋_GB2312" w:eastAsia="仿宋_GB2312" w:cs="仿宋_GB2312"/>
          <w:b/>
          <w:bCs/>
          <w:color w:val="000000" w:themeColor="text1"/>
          <w:sz w:val="32"/>
          <w:szCs w:val="32"/>
        </w:rPr>
      </w:pPr>
    </w:p>
    <w:p w14:paraId="09AD4413">
      <w:pPr>
        <w:outlineLvl w:val="0"/>
        <w:rPr>
          <w:rFonts w:ascii="仿宋_GB2312" w:hAnsi="仿宋_GB2312" w:eastAsia="仿宋_GB2312" w:cs="仿宋_GB2312"/>
          <w:b/>
          <w:bCs/>
          <w:color w:val="000000" w:themeColor="text1"/>
          <w:sz w:val="32"/>
          <w:szCs w:val="32"/>
        </w:rPr>
      </w:pPr>
    </w:p>
    <w:p w14:paraId="5B04B0E4">
      <w:pPr>
        <w:outlineLvl w:val="0"/>
        <w:rPr>
          <w:rFonts w:ascii="仿宋_GB2312" w:hAnsi="仿宋_GB2312" w:eastAsia="仿宋_GB2312" w:cs="仿宋_GB2312"/>
          <w:b/>
          <w:bCs/>
          <w:color w:val="000000" w:themeColor="text1"/>
          <w:sz w:val="32"/>
          <w:szCs w:val="32"/>
        </w:rPr>
      </w:pPr>
    </w:p>
    <w:p w14:paraId="17538DDF">
      <w:pPr>
        <w:outlineLvl w:val="0"/>
        <w:rPr>
          <w:rFonts w:ascii="仿宋_GB2312" w:hAnsi="仿宋_GB2312" w:eastAsia="仿宋_GB2312" w:cs="仿宋_GB2312"/>
          <w:b/>
          <w:bCs/>
          <w:color w:val="000000" w:themeColor="text1"/>
          <w:sz w:val="32"/>
          <w:szCs w:val="32"/>
        </w:rPr>
      </w:pPr>
    </w:p>
    <w:p w14:paraId="51B0AECB">
      <w:pPr>
        <w:outlineLvl w:val="0"/>
        <w:rPr>
          <w:rFonts w:ascii="仿宋_GB2312" w:hAnsi="仿宋_GB2312" w:eastAsia="仿宋_GB2312" w:cs="仿宋_GB2312"/>
          <w:b/>
          <w:bCs/>
          <w:color w:val="000000" w:themeColor="text1"/>
          <w:sz w:val="32"/>
          <w:szCs w:val="32"/>
        </w:rPr>
      </w:pPr>
    </w:p>
    <w:p w14:paraId="54727CBB">
      <w:pPr>
        <w:outlineLvl w:val="0"/>
        <w:rPr>
          <w:rFonts w:ascii="仿宋_GB2312" w:hAnsi="仿宋_GB2312" w:eastAsia="仿宋_GB2312" w:cs="仿宋_GB2312"/>
          <w:b/>
          <w:bCs/>
          <w:color w:val="000000" w:themeColor="text1"/>
          <w:sz w:val="32"/>
          <w:szCs w:val="32"/>
        </w:rPr>
      </w:pPr>
    </w:p>
    <w:p w14:paraId="6726352D">
      <w:pPr>
        <w:outlineLvl w:val="0"/>
        <w:rPr>
          <w:rFonts w:ascii="仿宋_GB2312" w:hAnsi="仿宋_GB2312" w:eastAsia="仿宋_GB2312" w:cs="仿宋_GB2312"/>
          <w:b/>
          <w:bCs/>
          <w:color w:val="000000" w:themeColor="text1"/>
          <w:sz w:val="32"/>
          <w:szCs w:val="32"/>
        </w:rPr>
      </w:pPr>
    </w:p>
    <w:p w14:paraId="38BBBC03">
      <w:pPr>
        <w:outlineLvl w:val="0"/>
        <w:rPr>
          <w:rFonts w:ascii="仿宋_GB2312" w:hAnsi="仿宋_GB2312" w:eastAsia="仿宋_GB2312" w:cs="仿宋_GB2312"/>
          <w:b/>
          <w:bCs/>
          <w:color w:val="000000" w:themeColor="text1"/>
          <w:sz w:val="32"/>
          <w:szCs w:val="32"/>
        </w:rPr>
      </w:pPr>
    </w:p>
    <w:p w14:paraId="631D46F8">
      <w:pPr>
        <w:outlineLvl w:val="0"/>
        <w:rPr>
          <w:rFonts w:ascii="仿宋_GB2312" w:hAnsi="仿宋_GB2312" w:eastAsia="仿宋_GB2312" w:cs="仿宋_GB2312"/>
          <w:b/>
          <w:bCs/>
          <w:color w:val="000000" w:themeColor="text1"/>
          <w:sz w:val="32"/>
          <w:szCs w:val="32"/>
        </w:rPr>
      </w:pPr>
    </w:p>
    <w:p w14:paraId="7CAB174D">
      <w:pPr>
        <w:outlineLvl w:val="0"/>
        <w:rPr>
          <w:rFonts w:ascii="仿宋_GB2312" w:hAnsi="仿宋_GB2312" w:eastAsia="仿宋_GB2312" w:cs="仿宋_GB2312"/>
          <w:b/>
          <w:bCs/>
          <w:color w:val="000000" w:themeColor="text1"/>
          <w:sz w:val="32"/>
          <w:szCs w:val="32"/>
        </w:rPr>
      </w:pPr>
    </w:p>
    <w:p w14:paraId="37C5B9F6">
      <w:pPr>
        <w:outlineLvl w:val="0"/>
        <w:rPr>
          <w:rFonts w:ascii="仿宋_GB2312" w:hAnsi="仿宋_GB2312" w:eastAsia="仿宋_GB2312" w:cs="仿宋_GB2312"/>
          <w:b/>
          <w:bCs/>
          <w:color w:val="000000" w:themeColor="text1"/>
          <w:sz w:val="32"/>
          <w:szCs w:val="32"/>
        </w:rPr>
      </w:pPr>
    </w:p>
    <w:p w14:paraId="79E0C7E3">
      <w:pPr>
        <w:outlineLvl w:val="0"/>
        <w:rPr>
          <w:rFonts w:ascii="仿宋_GB2312" w:hAnsi="仿宋_GB2312" w:eastAsia="仿宋_GB2312" w:cs="仿宋_GB2312"/>
          <w:b/>
          <w:bCs/>
          <w:color w:val="000000" w:themeColor="text1"/>
          <w:sz w:val="32"/>
          <w:szCs w:val="32"/>
        </w:rPr>
      </w:pPr>
    </w:p>
    <w:p w14:paraId="59207D72">
      <w:pPr>
        <w:outlineLvl w:val="0"/>
        <w:rPr>
          <w:rFonts w:ascii="仿宋_GB2312" w:hAnsi="仿宋_GB2312" w:eastAsia="仿宋_GB2312" w:cs="仿宋_GB2312"/>
          <w:b/>
          <w:bCs/>
          <w:color w:val="000000" w:themeColor="text1"/>
          <w:sz w:val="32"/>
          <w:szCs w:val="32"/>
        </w:rPr>
      </w:pPr>
    </w:p>
    <w:p w14:paraId="7994C2DD">
      <w:pPr>
        <w:outlineLvl w:val="0"/>
        <w:rPr>
          <w:rFonts w:ascii="仿宋_GB2312" w:hAnsi="仿宋_GB2312" w:eastAsia="仿宋_GB2312" w:cs="仿宋_GB2312"/>
          <w:b/>
          <w:bCs/>
          <w:color w:val="000000" w:themeColor="text1"/>
          <w:sz w:val="32"/>
          <w:szCs w:val="32"/>
        </w:rPr>
      </w:pPr>
    </w:p>
    <w:p w14:paraId="083EF170">
      <w:pPr>
        <w:outlineLvl w:val="0"/>
        <w:rPr>
          <w:rFonts w:ascii="仿宋_GB2312" w:hAnsi="仿宋_GB2312" w:eastAsia="仿宋_GB2312" w:cs="仿宋_GB2312"/>
          <w:b/>
          <w:bCs/>
          <w:color w:val="000000" w:themeColor="text1"/>
          <w:sz w:val="32"/>
          <w:szCs w:val="32"/>
        </w:rPr>
      </w:pPr>
    </w:p>
    <w:p w14:paraId="526B1E25">
      <w:pPr>
        <w:outlineLvl w:val="0"/>
        <w:rPr>
          <w:rFonts w:ascii="仿宋_GB2312" w:hAnsi="仿宋_GB2312" w:eastAsia="仿宋_GB2312" w:cs="仿宋_GB2312"/>
          <w:b/>
          <w:bCs/>
          <w:color w:val="000000" w:themeColor="text1"/>
          <w:sz w:val="32"/>
          <w:szCs w:val="32"/>
        </w:rPr>
      </w:pPr>
    </w:p>
    <w:p w14:paraId="241997A7">
      <w:pPr>
        <w:outlineLvl w:val="0"/>
        <w:rPr>
          <w:rFonts w:ascii="仿宋_GB2312" w:hAnsi="仿宋_GB2312" w:eastAsia="仿宋_GB2312" w:cs="仿宋_GB2312"/>
          <w:b/>
          <w:bCs/>
          <w:color w:val="000000" w:themeColor="text1"/>
          <w:sz w:val="32"/>
          <w:szCs w:val="32"/>
        </w:rPr>
      </w:pPr>
    </w:p>
    <w:p w14:paraId="38DC43D8">
      <w:pPr>
        <w:outlineLvl w:val="0"/>
        <w:rPr>
          <w:rFonts w:ascii="仿宋_GB2312" w:hAnsi="仿宋_GB2312" w:eastAsia="仿宋_GB2312" w:cs="仿宋_GB2312"/>
          <w:b/>
          <w:bCs/>
          <w:color w:val="000000" w:themeColor="text1"/>
          <w:sz w:val="32"/>
          <w:szCs w:val="32"/>
        </w:rPr>
      </w:pPr>
    </w:p>
    <w:p w14:paraId="3DC9CCEB">
      <w:pPr>
        <w:outlineLvl w:val="0"/>
        <w:rPr>
          <w:rFonts w:ascii="仿宋_GB2312" w:hAnsi="仿宋_GB2312" w:eastAsia="仿宋_GB2312" w:cs="仿宋_GB2312"/>
          <w:b/>
          <w:bCs/>
          <w:color w:val="000000" w:themeColor="text1"/>
          <w:sz w:val="32"/>
          <w:szCs w:val="32"/>
        </w:rPr>
      </w:pPr>
    </w:p>
    <w:p w14:paraId="609D8668">
      <w:pPr>
        <w:outlineLvl w:val="0"/>
        <w:rPr>
          <w:rFonts w:ascii="仿宋_GB2312" w:hAnsi="仿宋_GB2312" w:eastAsia="仿宋_GB2312" w:cs="仿宋_GB2312"/>
          <w:b/>
          <w:bCs/>
          <w:color w:val="000000" w:themeColor="text1"/>
          <w:sz w:val="32"/>
          <w:szCs w:val="32"/>
        </w:rPr>
      </w:pPr>
      <w:bookmarkStart w:id="161" w:name="_Toc216855853"/>
      <w:r>
        <w:rPr>
          <w:rFonts w:hint="eastAsia" w:ascii="仿宋_GB2312" w:hAnsi="仿宋_GB2312" w:eastAsia="仿宋_GB2312" w:cs="仿宋_GB2312"/>
          <w:b/>
          <w:bCs/>
          <w:color w:val="000000" w:themeColor="text1"/>
          <w:sz w:val="32"/>
          <w:szCs w:val="32"/>
        </w:rPr>
        <w:t>附件6：煮炉、试运行、耐压试验安全技术方案</w:t>
      </w:r>
      <w:bookmarkEnd w:id="161"/>
    </w:p>
    <w:p w14:paraId="2C9DD8E0">
      <w:pPr>
        <w:outlineLvl w:val="0"/>
        <w:rPr>
          <w:rFonts w:ascii="仿宋_GB2312" w:hAnsi="仿宋_GB2312" w:eastAsia="仿宋_GB2312" w:cs="仿宋_GB2312"/>
          <w:b/>
          <w:bCs/>
          <w:color w:val="000000" w:themeColor="text1"/>
          <w:sz w:val="32"/>
          <w:szCs w:val="32"/>
        </w:rPr>
      </w:pPr>
    </w:p>
    <w:p w14:paraId="30646107">
      <w:pPr>
        <w:outlineLvl w:val="0"/>
        <w:rPr>
          <w:rFonts w:ascii="仿宋_GB2312" w:hAnsi="仿宋_GB2312" w:eastAsia="仿宋_GB2312" w:cs="仿宋_GB2312"/>
          <w:b/>
          <w:bCs/>
          <w:color w:val="000000" w:themeColor="text1"/>
          <w:sz w:val="32"/>
          <w:szCs w:val="32"/>
        </w:rPr>
      </w:pPr>
    </w:p>
    <w:p w14:paraId="72A73B86">
      <w:pPr>
        <w:outlineLvl w:val="0"/>
        <w:rPr>
          <w:rFonts w:ascii="仿宋_GB2312" w:hAnsi="仿宋_GB2312" w:eastAsia="仿宋_GB2312" w:cs="仿宋_GB2312"/>
          <w:b/>
          <w:bCs/>
          <w:color w:val="000000" w:themeColor="text1"/>
          <w:sz w:val="32"/>
          <w:szCs w:val="32"/>
        </w:rPr>
      </w:pPr>
    </w:p>
    <w:p w14:paraId="50BB0115">
      <w:pPr>
        <w:outlineLvl w:val="0"/>
        <w:rPr>
          <w:rFonts w:ascii="仿宋_GB2312" w:hAnsi="仿宋_GB2312" w:eastAsia="仿宋_GB2312" w:cs="仿宋_GB2312"/>
          <w:b/>
          <w:bCs/>
          <w:color w:val="000000" w:themeColor="text1"/>
          <w:sz w:val="32"/>
          <w:szCs w:val="32"/>
        </w:rPr>
      </w:pPr>
    </w:p>
    <w:p w14:paraId="4C2D25F7">
      <w:pPr>
        <w:outlineLvl w:val="0"/>
        <w:rPr>
          <w:rFonts w:ascii="仿宋_GB2312" w:hAnsi="仿宋_GB2312" w:eastAsia="仿宋_GB2312" w:cs="仿宋_GB2312"/>
          <w:b/>
          <w:bCs/>
          <w:color w:val="000000" w:themeColor="text1"/>
          <w:sz w:val="32"/>
          <w:szCs w:val="32"/>
        </w:rPr>
      </w:pPr>
    </w:p>
    <w:p w14:paraId="0FA96992">
      <w:pPr>
        <w:outlineLvl w:val="0"/>
        <w:rPr>
          <w:rFonts w:ascii="仿宋_GB2312" w:hAnsi="仿宋_GB2312" w:eastAsia="仿宋_GB2312" w:cs="仿宋_GB2312"/>
          <w:b/>
          <w:bCs/>
          <w:color w:val="000000" w:themeColor="text1"/>
          <w:sz w:val="32"/>
          <w:szCs w:val="32"/>
        </w:rPr>
      </w:pPr>
    </w:p>
    <w:p w14:paraId="24D33B4F">
      <w:pPr>
        <w:outlineLvl w:val="0"/>
        <w:rPr>
          <w:rFonts w:ascii="仿宋_GB2312" w:hAnsi="仿宋_GB2312" w:eastAsia="仿宋_GB2312" w:cs="仿宋_GB2312"/>
          <w:b/>
          <w:bCs/>
          <w:color w:val="000000" w:themeColor="text1"/>
          <w:sz w:val="32"/>
          <w:szCs w:val="32"/>
        </w:rPr>
      </w:pPr>
    </w:p>
    <w:p w14:paraId="2710CC7E">
      <w:pPr>
        <w:outlineLvl w:val="0"/>
        <w:rPr>
          <w:rFonts w:ascii="仿宋_GB2312" w:hAnsi="仿宋_GB2312" w:eastAsia="仿宋_GB2312" w:cs="仿宋_GB2312"/>
          <w:b/>
          <w:bCs/>
          <w:color w:val="000000" w:themeColor="text1"/>
          <w:sz w:val="32"/>
          <w:szCs w:val="32"/>
        </w:rPr>
      </w:pPr>
    </w:p>
    <w:p w14:paraId="3B7050C2">
      <w:pPr>
        <w:outlineLvl w:val="0"/>
        <w:rPr>
          <w:rFonts w:ascii="仿宋_GB2312" w:hAnsi="仿宋_GB2312" w:eastAsia="仿宋_GB2312" w:cs="仿宋_GB2312"/>
          <w:b/>
          <w:bCs/>
          <w:color w:val="000000" w:themeColor="text1"/>
          <w:sz w:val="32"/>
          <w:szCs w:val="32"/>
        </w:rPr>
      </w:pPr>
    </w:p>
    <w:p w14:paraId="5B268A3D">
      <w:pPr>
        <w:outlineLvl w:val="0"/>
        <w:rPr>
          <w:rFonts w:ascii="仿宋_GB2312" w:hAnsi="仿宋_GB2312" w:eastAsia="仿宋_GB2312" w:cs="仿宋_GB2312"/>
          <w:b/>
          <w:bCs/>
          <w:color w:val="000000" w:themeColor="text1"/>
          <w:sz w:val="32"/>
          <w:szCs w:val="32"/>
        </w:rPr>
      </w:pPr>
    </w:p>
    <w:p w14:paraId="2765A71C">
      <w:pPr>
        <w:outlineLvl w:val="0"/>
        <w:rPr>
          <w:rFonts w:ascii="仿宋_GB2312" w:hAnsi="仿宋_GB2312" w:eastAsia="仿宋_GB2312" w:cs="仿宋_GB2312"/>
          <w:b/>
          <w:bCs/>
          <w:color w:val="000000" w:themeColor="text1"/>
          <w:sz w:val="32"/>
          <w:szCs w:val="32"/>
        </w:rPr>
      </w:pPr>
    </w:p>
    <w:p w14:paraId="061F19FE">
      <w:pPr>
        <w:outlineLvl w:val="0"/>
        <w:rPr>
          <w:rFonts w:ascii="仿宋_GB2312" w:hAnsi="仿宋_GB2312" w:eastAsia="仿宋_GB2312" w:cs="仿宋_GB2312"/>
          <w:b/>
          <w:bCs/>
          <w:color w:val="000000" w:themeColor="text1"/>
          <w:sz w:val="32"/>
          <w:szCs w:val="32"/>
        </w:rPr>
      </w:pPr>
    </w:p>
    <w:p w14:paraId="4E6839D8">
      <w:pPr>
        <w:outlineLvl w:val="0"/>
        <w:rPr>
          <w:rFonts w:ascii="仿宋_GB2312" w:hAnsi="仿宋_GB2312" w:eastAsia="仿宋_GB2312" w:cs="仿宋_GB2312"/>
          <w:b/>
          <w:bCs/>
          <w:color w:val="000000" w:themeColor="text1"/>
          <w:sz w:val="32"/>
          <w:szCs w:val="32"/>
        </w:rPr>
      </w:pPr>
    </w:p>
    <w:p w14:paraId="08E9BBBA">
      <w:pPr>
        <w:outlineLvl w:val="0"/>
        <w:rPr>
          <w:rFonts w:ascii="仿宋_GB2312" w:hAnsi="仿宋_GB2312" w:eastAsia="仿宋_GB2312" w:cs="仿宋_GB2312"/>
          <w:b/>
          <w:bCs/>
          <w:color w:val="000000" w:themeColor="text1"/>
          <w:sz w:val="32"/>
          <w:szCs w:val="32"/>
        </w:rPr>
      </w:pPr>
    </w:p>
    <w:p w14:paraId="7909D922">
      <w:pPr>
        <w:outlineLvl w:val="0"/>
        <w:rPr>
          <w:rFonts w:ascii="仿宋_GB2312" w:hAnsi="仿宋_GB2312" w:eastAsia="仿宋_GB2312" w:cs="仿宋_GB2312"/>
          <w:b/>
          <w:bCs/>
          <w:color w:val="000000" w:themeColor="text1"/>
          <w:sz w:val="32"/>
          <w:szCs w:val="32"/>
        </w:rPr>
      </w:pPr>
    </w:p>
    <w:p w14:paraId="09585144">
      <w:pPr>
        <w:outlineLvl w:val="0"/>
        <w:rPr>
          <w:rFonts w:ascii="仿宋_GB2312" w:hAnsi="仿宋_GB2312" w:eastAsia="仿宋_GB2312" w:cs="仿宋_GB2312"/>
          <w:b/>
          <w:bCs/>
          <w:color w:val="000000" w:themeColor="text1"/>
          <w:sz w:val="32"/>
          <w:szCs w:val="32"/>
        </w:rPr>
      </w:pPr>
    </w:p>
    <w:p w14:paraId="30F51AD8">
      <w:pPr>
        <w:outlineLvl w:val="0"/>
        <w:rPr>
          <w:rFonts w:ascii="仿宋_GB2312" w:hAnsi="仿宋_GB2312" w:eastAsia="仿宋_GB2312" w:cs="仿宋_GB2312"/>
          <w:b/>
          <w:bCs/>
          <w:color w:val="000000" w:themeColor="text1"/>
          <w:sz w:val="32"/>
          <w:szCs w:val="32"/>
        </w:rPr>
      </w:pPr>
    </w:p>
    <w:p w14:paraId="477509EC">
      <w:pPr>
        <w:outlineLvl w:val="0"/>
        <w:rPr>
          <w:rFonts w:ascii="仿宋_GB2312" w:hAnsi="仿宋_GB2312" w:eastAsia="仿宋_GB2312" w:cs="仿宋_GB2312"/>
          <w:b/>
          <w:bCs/>
          <w:color w:val="000000" w:themeColor="text1"/>
          <w:sz w:val="32"/>
          <w:szCs w:val="32"/>
        </w:rPr>
      </w:pPr>
    </w:p>
    <w:p w14:paraId="7638DBA7">
      <w:pPr>
        <w:outlineLvl w:val="0"/>
        <w:rPr>
          <w:rFonts w:ascii="仿宋_GB2312" w:hAnsi="仿宋_GB2312" w:eastAsia="仿宋_GB2312" w:cs="仿宋_GB2312"/>
          <w:b/>
          <w:bCs/>
          <w:color w:val="000000" w:themeColor="text1"/>
          <w:sz w:val="32"/>
          <w:szCs w:val="32"/>
        </w:rPr>
      </w:pPr>
    </w:p>
    <w:p w14:paraId="4E2F9E78">
      <w:pPr>
        <w:outlineLvl w:val="0"/>
        <w:rPr>
          <w:rFonts w:ascii="仿宋_GB2312" w:hAnsi="仿宋_GB2312" w:eastAsia="仿宋_GB2312" w:cs="仿宋_GB2312"/>
          <w:b/>
          <w:bCs/>
          <w:color w:val="000000" w:themeColor="text1"/>
          <w:sz w:val="32"/>
          <w:szCs w:val="32"/>
        </w:rPr>
      </w:pPr>
    </w:p>
    <w:p w14:paraId="11C6530D">
      <w:pPr>
        <w:outlineLvl w:val="0"/>
        <w:rPr>
          <w:rFonts w:ascii="仿宋_GB2312" w:hAnsi="仿宋_GB2312" w:eastAsia="仿宋_GB2312" w:cs="仿宋_GB2312"/>
          <w:b/>
          <w:bCs/>
          <w:color w:val="000000" w:themeColor="text1"/>
          <w:sz w:val="32"/>
          <w:szCs w:val="32"/>
        </w:rPr>
      </w:pPr>
    </w:p>
    <w:p w14:paraId="76B44E2D">
      <w:pPr>
        <w:outlineLvl w:val="0"/>
        <w:rPr>
          <w:rFonts w:ascii="仿宋_GB2312" w:hAnsi="仿宋_GB2312" w:eastAsia="仿宋_GB2312" w:cs="仿宋_GB2312"/>
          <w:b/>
          <w:bCs/>
          <w:color w:val="000000" w:themeColor="text1"/>
          <w:sz w:val="32"/>
          <w:szCs w:val="32"/>
        </w:rPr>
      </w:pPr>
      <w:bookmarkStart w:id="162" w:name="_Toc216855854"/>
      <w:r>
        <w:rPr>
          <w:rFonts w:hint="eastAsia" w:ascii="仿宋_GB2312" w:hAnsi="仿宋_GB2312" w:eastAsia="仿宋_GB2312" w:cs="仿宋_GB2312"/>
          <w:b/>
          <w:bCs/>
          <w:color w:val="000000" w:themeColor="text1"/>
          <w:sz w:val="32"/>
          <w:szCs w:val="32"/>
        </w:rPr>
        <w:t>附件7：授权委托书</w:t>
      </w:r>
      <w:bookmarkEnd w:id="158"/>
      <w:bookmarkEnd w:id="162"/>
    </w:p>
    <w:p w14:paraId="7EEE7100">
      <w:pPr>
        <w:rPr>
          <w:rFonts w:ascii="宋体" w:hAnsi="宋体"/>
          <w:color w:val="000000" w:themeColor="text1"/>
          <w:szCs w:val="21"/>
        </w:rPr>
      </w:pPr>
    </w:p>
    <w:p w14:paraId="11F43DE3">
      <w:pPr>
        <w:spacing w:beforeLines="100" w:afterLines="50" w:line="360" w:lineRule="auto"/>
        <w:jc w:val="center"/>
        <w:rPr>
          <w:rFonts w:ascii="黑体" w:hAnsi="黑体" w:eastAsia="黑体"/>
          <w:color w:val="000000" w:themeColor="text1"/>
          <w:sz w:val="36"/>
          <w:szCs w:val="36"/>
        </w:rPr>
      </w:pPr>
      <w:r>
        <w:rPr>
          <w:rFonts w:ascii="黑体" w:hAnsi="黑体" w:eastAsia="黑体"/>
          <w:color w:val="000000" w:themeColor="text1"/>
          <w:sz w:val="36"/>
          <w:szCs w:val="36"/>
        </w:rPr>
        <w:t>授 权 委 托 书</w:t>
      </w:r>
    </w:p>
    <w:p w14:paraId="39450E88">
      <w:pPr>
        <w:spacing w:line="520" w:lineRule="exact"/>
        <w:jc w:val="center"/>
        <w:rPr>
          <w:rFonts w:ascii="宋体" w:hAnsi="宋体"/>
          <w:b/>
          <w:color w:val="000000" w:themeColor="text1"/>
          <w:sz w:val="24"/>
        </w:rPr>
      </w:pPr>
    </w:p>
    <w:p w14:paraId="36FA9209">
      <w:pPr>
        <w:spacing w:line="5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致：：</w:t>
      </w:r>
    </w:p>
    <w:p w14:paraId="69A0C204">
      <w:pPr>
        <w:wordWrap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兹授权我司（身份证号码：），作为我司</w:t>
      </w:r>
    </w:p>
    <w:p w14:paraId="28E80481">
      <w:pPr>
        <w:wordWrap w:val="0"/>
        <w:spacing w:line="5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与贵司签订的关于 《物资采购合同》（合同编号：）中我司的代理人，委托内容：代表我司向贵司递交进度结算单、最终结算单，确认进度结算价款和最终结算价款等结算手续，代表我司签署相关文件，以及代表我司领取贵司支付本合同项下的货款的票据等。特此说明。</w:t>
      </w:r>
    </w:p>
    <w:p w14:paraId="7C9B7444">
      <w:pPr>
        <w:spacing w:line="520" w:lineRule="exact"/>
        <w:rPr>
          <w:rFonts w:ascii="仿宋_GB2312" w:hAnsi="仿宋_GB2312" w:eastAsia="仿宋_GB2312" w:cs="仿宋_GB2312"/>
          <w:color w:val="000000" w:themeColor="text1"/>
          <w:sz w:val="24"/>
        </w:rPr>
      </w:pPr>
    </w:p>
    <w:p w14:paraId="1292A0C9">
      <w:pPr>
        <w:spacing w:line="520" w:lineRule="exact"/>
        <w:ind w:firstLine="4080" w:firstLineChars="1700"/>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委托单位全称：      （加盖单位公章）</w:t>
      </w:r>
    </w:p>
    <w:p w14:paraId="00935A2E">
      <w:pPr>
        <w:spacing w:line="520" w:lineRule="exact"/>
        <w:ind w:firstLine="4080" w:firstLineChars="1700"/>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委托人：      （法定代表人签字或盖章）</w:t>
      </w:r>
    </w:p>
    <w:p w14:paraId="13E31DC2">
      <w:pPr>
        <w:spacing w:line="520" w:lineRule="exact"/>
        <w:ind w:firstLine="5280" w:firstLineChars="2200"/>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年月日</w:t>
      </w:r>
    </w:p>
    <w:p w14:paraId="17345171">
      <w:pPr>
        <w:spacing w:line="520" w:lineRule="exact"/>
        <w:rPr>
          <w:rFonts w:ascii="仿宋_GB2312" w:hAnsi="仿宋_GB2312" w:eastAsia="仿宋_GB2312" w:cs="仿宋_GB2312"/>
          <w:color w:val="000000" w:themeColor="text1"/>
          <w:sz w:val="24"/>
        </w:rPr>
      </w:pPr>
    </w:p>
    <w:p w14:paraId="7803639D">
      <w:pPr>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代理人声明：我系上述的代理人，对以上内容及所留印章的真实性负法律责任。</w:t>
      </w:r>
    </w:p>
    <w:p w14:paraId="2DA9040D">
      <w:pPr>
        <w:wordWrap w:val="0"/>
        <w:spacing w:line="520" w:lineRule="exact"/>
        <w:ind w:firstLine="3600" w:firstLineChars="1500"/>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代理人（本人签字）：                          </w:t>
      </w:r>
    </w:p>
    <w:p w14:paraId="3FF7EC11">
      <w:pPr>
        <w:spacing w:line="520" w:lineRule="exact"/>
        <w:ind w:firstLine="5400" w:firstLineChars="2250"/>
        <w:jc w:val="righ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年月日</w:t>
      </w:r>
    </w:p>
    <w:p w14:paraId="10675120">
      <w:pPr>
        <w:spacing w:line="520" w:lineRule="exact"/>
        <w:ind w:firstLine="480" w:firstLineChars="200"/>
        <w:jc w:val="left"/>
        <w:rPr>
          <w:rFonts w:ascii="宋体" w:hAnsi="宋体" w:cs="宋体"/>
          <w:b/>
          <w:color w:val="000000" w:themeColor="text1"/>
          <w:sz w:val="24"/>
          <w:u w:val="single"/>
        </w:rPr>
        <w:sectPr>
          <w:footerReference r:id="rId4" w:type="default"/>
          <w:pgSz w:w="11906" w:h="16838"/>
          <w:pgMar w:top="1440" w:right="1080" w:bottom="1440" w:left="1080" w:header="340" w:footer="850" w:gutter="0"/>
          <w:cols w:space="720" w:num="1"/>
          <w:docGrid w:type="lines" w:linePitch="312" w:charSpace="0"/>
        </w:sectPr>
      </w:pPr>
      <w:r>
        <w:rPr>
          <w:rFonts w:hint="eastAsia" w:ascii="仿宋_GB2312" w:hAnsi="仿宋_GB2312" w:eastAsia="仿宋_GB2312" w:cs="仿宋_GB2312"/>
          <w:color w:val="000000" w:themeColor="text1"/>
          <w:sz w:val="24"/>
        </w:rPr>
        <w:t>法定代表人、代理人身份证复印</w:t>
      </w:r>
      <w:bookmarkStart w:id="163" w:name="_Toc10584"/>
    </w:p>
    <w:p w14:paraId="4D7526E2">
      <w:pPr>
        <w:snapToGrid w:val="0"/>
        <w:spacing w:line="520" w:lineRule="exact"/>
        <w:jc w:val="left"/>
        <w:outlineLvl w:val="0"/>
        <w:rPr>
          <w:rFonts w:ascii="黑体" w:hAnsi="黑体" w:eastAsia="黑体"/>
          <w:b/>
          <w:color w:val="000000" w:themeColor="text1"/>
          <w:sz w:val="22"/>
          <w:szCs w:val="18"/>
        </w:rPr>
      </w:pPr>
      <w:bookmarkStart w:id="164" w:name="_Toc216855855"/>
      <w:r>
        <w:rPr>
          <w:rFonts w:hint="eastAsia" w:ascii="仿宋_GB2312" w:hAnsi="仿宋_GB2312" w:eastAsia="仿宋_GB2312" w:cs="仿宋_GB2312"/>
          <w:b/>
          <w:bCs/>
          <w:color w:val="000000" w:themeColor="text1"/>
          <w:sz w:val="32"/>
          <w:szCs w:val="32"/>
        </w:rPr>
        <w:t>附件8：廉洁协议</w:t>
      </w:r>
      <w:bookmarkEnd w:id="163"/>
      <w:bookmarkEnd w:id="164"/>
    </w:p>
    <w:p w14:paraId="583F52F2">
      <w:pPr>
        <w:adjustRightInd w:val="0"/>
        <w:snapToGrid w:val="0"/>
        <w:spacing w:line="360" w:lineRule="auto"/>
        <w:ind w:firstLine="643" w:firstLineChars="200"/>
        <w:jc w:val="center"/>
        <w:rPr>
          <w:rFonts w:ascii="宋体" w:hAnsi="宋体"/>
          <w:b/>
          <w:color w:val="000000" w:themeColor="text1"/>
          <w:sz w:val="32"/>
          <w:szCs w:val="32"/>
        </w:rPr>
      </w:pPr>
    </w:p>
    <w:p w14:paraId="25E845D0">
      <w:pPr>
        <w:adjustRightInd w:val="0"/>
        <w:snapToGrid w:val="0"/>
        <w:spacing w:line="360" w:lineRule="auto"/>
        <w:ind w:firstLine="643" w:firstLineChars="200"/>
        <w:jc w:val="center"/>
        <w:rPr>
          <w:rFonts w:ascii="宋体" w:hAnsi="宋体"/>
          <w:b/>
          <w:color w:val="000000" w:themeColor="text1"/>
          <w:sz w:val="32"/>
          <w:szCs w:val="32"/>
        </w:rPr>
      </w:pPr>
      <w:r>
        <w:rPr>
          <w:rFonts w:ascii="宋体" w:hAnsi="宋体"/>
          <w:b/>
          <w:color w:val="000000" w:themeColor="text1"/>
          <w:sz w:val="32"/>
          <w:szCs w:val="32"/>
        </w:rPr>
        <w:t>廉洁协议</w:t>
      </w:r>
    </w:p>
    <w:p w14:paraId="6F442891">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甲方：</w:t>
      </w:r>
    </w:p>
    <w:p w14:paraId="3600BF91">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乙方：</w:t>
      </w:r>
    </w:p>
    <w:p w14:paraId="5DB42A82">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为维护公平竞争，深入推进反腐倡廉工作，根据国家有关法律法规和甲方有关规定，经双方协商，签订本廉洁协议。</w:t>
      </w:r>
    </w:p>
    <w:p w14:paraId="5F3676E3">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第一条 甲乙双方共同责任</w:t>
      </w:r>
    </w:p>
    <w:p w14:paraId="5AF419A2">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（一） 严格遵守国家有关法律法规以及廉洁从业的有关规定。</w:t>
      </w:r>
    </w:p>
    <w:p w14:paraId="07BD8406">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（二） 严格遵守职业道德和市场规则，共同营造公平公正的合作环境。</w:t>
      </w:r>
    </w:p>
    <w:p w14:paraId="7C724311">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（三） 加强有关人员的管理和廉洁从业教育， 自觉抵制不廉洁行为。发现对方存在违规违纪违法行为，应及时制止并向对方上级单位或纪检部门、司法机关举报。</w:t>
      </w:r>
    </w:p>
    <w:p w14:paraId="6FA923BF">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第二条 甲方及其人员的责任、</w:t>
      </w:r>
    </w:p>
    <w:p w14:paraId="4BB89EB2">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（一）不得索要或接受乙方及其相关单位和人员提供的回扣、礼金、有价证券、支付凭证、贵重物品等。</w:t>
      </w:r>
    </w:p>
    <w:p w14:paraId="59F3133E">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（二） 不得在乙方及其相关单位报销任何应由甲方或个人支付的费用。</w:t>
      </w:r>
    </w:p>
    <w:p w14:paraId="020D6135">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（三） 不得违反规定在乙方及其相关单位投资入股，不得向乙方单位及人员借款或委托买卖股票、债券等。</w:t>
      </w:r>
    </w:p>
    <w:p w14:paraId="33EC26DA">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（四） 不得要求、暗示和接受乙方及其相关单位和个人为其购买或装修住房、婚丧嫁娶、配偶和子女的上学或工作安排以及出国境、旅游等提供方便。</w:t>
      </w:r>
    </w:p>
    <w:p w14:paraId="7A82097F">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（五） 不得参加乙方及其相关单位安排的可能影响公正开展工作的宴请及健身、娱乐等活动。</w:t>
      </w:r>
    </w:p>
    <w:p w14:paraId="366A16BC">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（六） 不得接受乙方及其相关单位购置或提供的通讯工具、交通工具和高档办公用品。</w:t>
      </w:r>
    </w:p>
    <w:p w14:paraId="2A14510D">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（七） 不得利用职权通过乙方及其相关单位为其配偶、子女及他人谋取不正当利益。</w:t>
      </w:r>
    </w:p>
    <w:p w14:paraId="0BDE92AB">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（八） 不得利用职权和工作之便向乙方提出上述各项规定禁止事项或要求之外的与工作业务无关的事项或要求。</w:t>
      </w:r>
    </w:p>
    <w:p w14:paraId="0B669A1C">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第三条 乙方及其人员的责任</w:t>
      </w:r>
    </w:p>
    <w:p w14:paraId="780B7486">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（一） 不得向甲方及其人员提供回扣、礼金、有价证券、支付凭证、贵重物品等。</w:t>
      </w:r>
    </w:p>
    <w:p w14:paraId="1FEDC3F4">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（二） 不得为甲方及其人员报销应由甲方或个人支付的费用。</w:t>
      </w:r>
    </w:p>
    <w:p w14:paraId="76A76908">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（三） 不得为甲方人员投资入股、个人借款或买卖股票、债券等提供方便。</w:t>
      </w:r>
    </w:p>
    <w:p w14:paraId="2682B852">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（四） 不得为甲方人员购买或装修住房、婚丧嫁娶、配偶子女上学或工作安排以及出国境、旅游等提供方便。</w:t>
      </w:r>
    </w:p>
    <w:p w14:paraId="104BA839">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（五） 不得为甲方人员安排有可能影响公正开展工作的宴请、健身、娱乐等活动。</w:t>
      </w:r>
    </w:p>
    <w:p w14:paraId="5E284694">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（六） 不得为甲方及其人员购置或提供通讯工具、交通工具和高档办公用品。</w:t>
      </w:r>
    </w:p>
    <w:p w14:paraId="18313277">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（七） 不得为甲方人员的配偶、子女及其他亲属谋取不正当利益提供方便。</w:t>
      </w:r>
    </w:p>
    <w:p w14:paraId="59BB8373">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（八） 甲方对涉嫌不廉洁行为进行调查时，乙方有配合甲方提供证据、做证的义务。</w:t>
      </w:r>
    </w:p>
    <w:p w14:paraId="1F4B3E76">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第四条 违约责任</w:t>
      </w:r>
    </w:p>
    <w:p w14:paraId="0A30A497">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（一） 甲方及其人员有违反本责任书第一条、第二条规定的，按照管理权限，依据有关法律法规和规定给予有关人员纪律处分或组织处理； 涉嫌犯罪的，移交司法机关追究刑事责任。</w:t>
      </w:r>
    </w:p>
    <w:p w14:paraId="490D5164">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（二） 乙方及其人员有违反本责任书第一条、第三条规定的，根据具体 情节和造成的后果， 甲方除有权要求乙方赔偿由此造成的甲方损失外，对发 生不良表现的供应商给予书面警告、暂停交易资格、扣减采购平台交易保证金、降级、取消合格供应商资格、禁入等处罚，并扣减相应的量化考评综合评分（详细处罚措施见供应商管理相关规定或制度）；涉嫌犯罪的，建议司法机关追究刑事责任。</w:t>
      </w:r>
    </w:p>
    <w:p w14:paraId="16800B2E">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第五条 其他</w:t>
      </w:r>
    </w:p>
    <w:p w14:paraId="354F9E58">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本协议作为采购合同的附件，与采购合同具有同等法律效力。本协议与采购合同有效期一致。</w:t>
      </w:r>
    </w:p>
    <w:p w14:paraId="74927F4A">
      <w:pPr>
        <w:adjustRightInd w:val="0"/>
        <w:snapToGrid w:val="0"/>
        <w:spacing w:line="520" w:lineRule="exact"/>
        <w:ind w:firstLine="640" w:firstLineChars="200"/>
        <w:rPr>
          <w:rFonts w:ascii="仿宋_GB2312" w:hAnsi="仿宋_GB2312" w:eastAsia="仿宋_GB2312" w:cs="仿宋_GB2312"/>
          <w:bCs/>
          <w:color w:val="000000" w:themeColor="text1"/>
          <w:sz w:val="32"/>
          <w:szCs w:val="32"/>
        </w:rPr>
      </w:pPr>
    </w:p>
    <w:p w14:paraId="7BE65923">
      <w:pPr>
        <w:adjustRightInd w:val="0"/>
        <w:snapToGrid w:val="0"/>
        <w:spacing w:line="520" w:lineRule="exact"/>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甲方（盖章）：              乙方（盖章）：</w:t>
      </w:r>
    </w:p>
    <w:p w14:paraId="1175E034">
      <w:pPr>
        <w:adjustRightInd w:val="0"/>
        <w:snapToGrid w:val="0"/>
        <w:spacing w:line="520" w:lineRule="exact"/>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法定代表人（或授权代表）：   法定代表人（或授权代表）：</w:t>
      </w:r>
    </w:p>
    <w:p w14:paraId="2120CE08">
      <w:pPr>
        <w:adjustRightInd w:val="0"/>
        <w:snapToGrid w:val="0"/>
        <w:spacing w:line="520" w:lineRule="exact"/>
        <w:rPr>
          <w:rFonts w:ascii="宋体" w:hAnsi="宋体"/>
          <w:bCs/>
          <w:color w:val="000000" w:themeColor="text1"/>
          <w:sz w:val="24"/>
        </w:rPr>
      </w:pPr>
      <w:r>
        <w:rPr>
          <w:rFonts w:hint="eastAsia" w:ascii="仿宋_GB2312" w:hAnsi="仿宋_GB2312" w:eastAsia="仿宋_GB2312" w:cs="仿宋_GB2312"/>
          <w:bCs/>
          <w:color w:val="000000" w:themeColor="text1"/>
          <w:sz w:val="32"/>
          <w:szCs w:val="32"/>
        </w:rPr>
        <w:t>日期：                  日期：</w:t>
      </w:r>
    </w:p>
    <w:p w14:paraId="6D50EBE8">
      <w:pPr>
        <w:adjustRightInd w:val="0"/>
        <w:snapToGrid w:val="0"/>
        <w:spacing w:line="520" w:lineRule="exact"/>
        <w:ind w:firstLine="480" w:firstLineChars="200"/>
        <w:rPr>
          <w:rFonts w:ascii="宋体" w:hAnsi="宋体"/>
          <w:bCs/>
          <w:color w:val="000000" w:themeColor="text1"/>
          <w:sz w:val="24"/>
        </w:rPr>
      </w:pPr>
    </w:p>
    <w:p w14:paraId="381C0302">
      <w:pPr>
        <w:adjustRightInd w:val="0"/>
        <w:snapToGrid w:val="0"/>
        <w:spacing w:line="520" w:lineRule="exact"/>
        <w:ind w:firstLine="480" w:firstLineChars="200"/>
        <w:rPr>
          <w:rFonts w:ascii="宋体" w:hAnsi="宋体"/>
          <w:bCs/>
          <w:color w:val="000000" w:themeColor="text1"/>
          <w:sz w:val="24"/>
        </w:rPr>
      </w:pPr>
    </w:p>
    <w:p w14:paraId="4B724DBB">
      <w:pPr>
        <w:adjustRightInd w:val="0"/>
        <w:snapToGrid w:val="0"/>
        <w:spacing w:line="520" w:lineRule="exact"/>
        <w:ind w:firstLine="480" w:firstLineChars="200"/>
        <w:rPr>
          <w:rFonts w:ascii="宋体" w:hAnsi="宋体"/>
          <w:bCs/>
          <w:color w:val="000000" w:themeColor="text1"/>
          <w:sz w:val="24"/>
        </w:rPr>
      </w:pPr>
    </w:p>
    <w:p w14:paraId="1EA44AE2">
      <w:pPr>
        <w:pStyle w:val="4"/>
        <w:rPr>
          <w:rFonts w:ascii="宋体" w:hAnsi="宋体"/>
          <w:bCs/>
          <w:color w:val="000000" w:themeColor="text1"/>
          <w:sz w:val="24"/>
        </w:rPr>
      </w:pPr>
    </w:p>
    <w:p w14:paraId="7552330C">
      <w:pPr>
        <w:rPr>
          <w:rFonts w:ascii="宋体" w:hAnsi="宋体"/>
          <w:bCs/>
          <w:color w:val="000000" w:themeColor="text1"/>
          <w:sz w:val="24"/>
        </w:rPr>
      </w:pPr>
    </w:p>
    <w:p w14:paraId="14F3E401">
      <w:pPr>
        <w:pStyle w:val="4"/>
        <w:rPr>
          <w:color w:val="000000" w:themeColor="text1"/>
        </w:rPr>
      </w:pPr>
    </w:p>
    <w:p w14:paraId="5AE1239B">
      <w:pPr>
        <w:adjustRightInd w:val="0"/>
        <w:snapToGrid w:val="0"/>
        <w:spacing w:line="520" w:lineRule="exact"/>
        <w:ind w:firstLine="480" w:firstLineChars="200"/>
        <w:rPr>
          <w:rFonts w:ascii="宋体" w:hAnsi="宋体"/>
          <w:bCs/>
          <w:color w:val="000000" w:themeColor="text1"/>
          <w:sz w:val="24"/>
        </w:rPr>
      </w:pPr>
    </w:p>
    <w:p w14:paraId="1A55AF1A">
      <w:pPr>
        <w:adjustRightInd w:val="0"/>
        <w:snapToGrid w:val="0"/>
        <w:spacing w:line="520" w:lineRule="exact"/>
        <w:ind w:firstLine="480" w:firstLineChars="200"/>
        <w:rPr>
          <w:rFonts w:ascii="宋体" w:hAnsi="宋体"/>
          <w:bCs/>
          <w:color w:val="000000" w:themeColor="text1"/>
          <w:sz w:val="24"/>
        </w:rPr>
      </w:pPr>
    </w:p>
    <w:p w14:paraId="060AAE40">
      <w:pPr>
        <w:adjustRightInd w:val="0"/>
        <w:snapToGrid w:val="0"/>
        <w:spacing w:line="520" w:lineRule="exact"/>
        <w:ind w:firstLine="480" w:firstLineChars="200"/>
        <w:rPr>
          <w:rFonts w:ascii="宋体" w:hAnsi="宋体"/>
          <w:bCs/>
          <w:color w:val="000000" w:themeColor="text1"/>
          <w:sz w:val="24"/>
        </w:rPr>
      </w:pPr>
    </w:p>
    <w:p w14:paraId="35B97676">
      <w:pPr>
        <w:adjustRightInd w:val="0"/>
        <w:snapToGrid w:val="0"/>
        <w:spacing w:line="520" w:lineRule="exact"/>
        <w:ind w:firstLine="480" w:firstLineChars="200"/>
        <w:rPr>
          <w:rFonts w:ascii="宋体" w:hAnsi="宋体"/>
          <w:bCs/>
          <w:color w:val="000000" w:themeColor="text1"/>
          <w:sz w:val="24"/>
        </w:rPr>
      </w:pPr>
    </w:p>
    <w:p w14:paraId="1BE99337">
      <w:pPr>
        <w:adjustRightInd w:val="0"/>
        <w:snapToGrid w:val="0"/>
        <w:spacing w:line="520" w:lineRule="exact"/>
        <w:ind w:firstLine="480" w:firstLineChars="200"/>
        <w:rPr>
          <w:rFonts w:ascii="宋体" w:hAnsi="宋体"/>
          <w:bCs/>
          <w:color w:val="000000" w:themeColor="text1"/>
          <w:sz w:val="24"/>
        </w:rPr>
      </w:pPr>
    </w:p>
    <w:p w14:paraId="54440AA4">
      <w:pPr>
        <w:adjustRightInd w:val="0"/>
        <w:snapToGrid w:val="0"/>
        <w:spacing w:line="520" w:lineRule="exact"/>
        <w:rPr>
          <w:rFonts w:ascii="宋体" w:hAnsi="宋体"/>
          <w:bCs/>
          <w:color w:val="000000" w:themeColor="text1"/>
          <w:sz w:val="24"/>
        </w:rPr>
      </w:pPr>
    </w:p>
    <w:p w14:paraId="0E156815">
      <w:pPr>
        <w:spacing w:line="520" w:lineRule="exact"/>
        <w:outlineLvl w:val="0"/>
        <w:rPr>
          <w:rFonts w:ascii="仿宋_GB2312" w:hAnsi="仿宋_GB2312" w:eastAsia="仿宋_GB2312" w:cs="仿宋_GB2312"/>
          <w:b/>
          <w:color w:val="000000" w:themeColor="text1"/>
          <w:sz w:val="32"/>
          <w:szCs w:val="32"/>
        </w:rPr>
      </w:pPr>
      <w:bookmarkStart w:id="165" w:name="_Toc13414"/>
      <w:bookmarkStart w:id="166" w:name="_Toc216855856"/>
      <w:bookmarkStart w:id="167" w:name="_Toc16553"/>
      <w:r>
        <w:rPr>
          <w:rFonts w:hint="eastAsia" w:ascii="仿宋_GB2312" w:hAnsi="仿宋_GB2312" w:eastAsia="仿宋_GB2312" w:cs="仿宋_GB2312"/>
          <w:b/>
          <w:color w:val="000000" w:themeColor="text1"/>
          <w:sz w:val="32"/>
          <w:szCs w:val="32"/>
        </w:rPr>
        <w:t>附件9：合规保护标准条款</w:t>
      </w:r>
      <w:bookmarkEnd w:id="165"/>
      <w:bookmarkEnd w:id="166"/>
      <w:bookmarkEnd w:id="167"/>
    </w:p>
    <w:p w14:paraId="01D7E322">
      <w:pPr>
        <w:spacing w:line="520" w:lineRule="exact"/>
        <w:ind w:firstLine="640" w:firstLineChars="200"/>
        <w:jc w:val="left"/>
        <w:rPr>
          <w:rFonts w:ascii="仿宋" w:hAnsi="仿宋" w:eastAsia="仿宋" w:cs="仿宋"/>
          <w:color w:val="000000" w:themeColor="text1"/>
          <w:sz w:val="32"/>
          <w:szCs w:val="32"/>
        </w:rPr>
      </w:pPr>
    </w:p>
    <w:p w14:paraId="318832C4">
      <w:pPr>
        <w:spacing w:line="520" w:lineRule="exact"/>
        <w:ind w:firstLine="640" w:firstLineChars="200"/>
        <w:jc w:val="left"/>
        <w:rPr>
          <w:rFonts w:ascii="仿宋_GB2312" w:hAnsi="仿宋_GB2312" w:eastAsia="仿宋" w:cs="仿宋_GB2312"/>
          <w:bCs/>
          <w:color w:val="000000" w:themeColor="text1"/>
          <w:sz w:val="32"/>
          <w:szCs w:val="32"/>
        </w:rPr>
      </w:pPr>
      <w:r>
        <w:rPr>
          <w:rFonts w:hint="eastAsia" w:ascii="仿宋" w:hAnsi="仿宋" w:eastAsia="仿宋" w:cs="仿宋"/>
          <w:color w:val="000000" w:themeColor="text1"/>
          <w:sz w:val="32"/>
          <w:szCs w:val="32"/>
        </w:rPr>
        <w:t>甲方：</w:t>
      </w:r>
    </w:p>
    <w:p w14:paraId="143A9C80">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w:t>
      </w:r>
    </w:p>
    <w:p w14:paraId="266B002C">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双方同意，本条款构成双方之间订立的合同的重要组成部分，双方应共同遵守本条款。</w:t>
      </w:r>
    </w:p>
    <w:p w14:paraId="4E4AB030">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一、公务人员的定义</w:t>
      </w:r>
    </w:p>
    <w:p w14:paraId="23104A97">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本合规标准保护标准条款中的“公务人员”应包括但不限于下列人员：</w:t>
      </w:r>
    </w:p>
    <w:p w14:paraId="056DE27B">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（一）政府的官员、雇员、代表以及代表政府或者经公共权力授权行事的人士。</w:t>
      </w:r>
    </w:p>
    <w:p w14:paraId="05D1440B">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（二）国际组织的官员、雇员和代表。</w:t>
      </w:r>
    </w:p>
    <w:p w14:paraId="4B327B93">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（三）行使公共权力的政治组织的官员、雇员、代表，或皇室成员。</w:t>
      </w:r>
    </w:p>
    <w:p w14:paraId="45E412DA">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（四）公共企业，即政府直接或间接控制或施加决定性影响力的企业的官员及雇员。</w:t>
      </w:r>
    </w:p>
    <w:p w14:paraId="42B86769">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二、遵守合规义务</w:t>
      </w:r>
    </w:p>
    <w:p w14:paraId="4BF5900E">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在此声明、保证及承诺，与本协议项下进行的活动或交易相关的乙方及乙方的关联公司、子公司、董事、高级管理人员、雇员、代理、顾问、承包商、受托人、最终受益人和股东，及所有直接或间接代表乙方行事的个人及相关方，过去3年内未曾、将来亦不会违反，或致使甲方违反《中华人民共和国刑法》《联合国反腐败公约》《经济合作与发展组织关于打击国际商业交易中行贿外国公职人员行为的公约》，及业务所在国的反腐败、反欺诈、反串通及反不正当竞争法律、法规及规则等。</w:t>
      </w:r>
    </w:p>
    <w:p w14:paraId="7266A79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特此声明、保证及承诺，乙方及乙方关联公司、董事、高级管理人员、雇员、代理、顾问、承包商、受托人、最终受益人和股东，及所有代表乙方行事的个人及相关方严格遵守甲方的《员工合规行为准则》，不诱导或者促使甲方员工发生任何违反《员工合规行为准则》的情形。</w:t>
      </w:r>
    </w:p>
    <w:p w14:paraId="4CDA3FE0">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特此声明、保证及承诺，乙方及乙方关联公司、董事、高级管理人员、雇员、代理、顾问、承包商、受托人、最终受益人和股东，及所有代表乙方行事的个人及相关方，过去3年内未曾、将来亦不会发生以下任何不合规行为：</w:t>
      </w:r>
    </w:p>
    <w:p w14:paraId="458EBC0E">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（一）为如下目的给予或承诺给予公务人员、个人或实体任何利益：</w:t>
      </w:r>
    </w:p>
    <w:p w14:paraId="0B0CCD53">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 不当影响公务人员的行为或决定；</w:t>
      </w:r>
    </w:p>
    <w:p w14:paraId="2A516424">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 诱使公务人员违反其法定职责从而作为或不作为；</w:t>
      </w:r>
    </w:p>
    <w:p w14:paraId="074B0C52">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 诱使公务人员直接通过其个人影响力，或通过其对国内外政府或政府部门的影响力，影响该政府或政府部门的行为或决定；</w:t>
      </w:r>
    </w:p>
    <w:p w14:paraId="5764E904">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 协助乙方、甲方或甲方关联方不当获得或保持商业机会或使其获得不当优势。</w:t>
      </w:r>
    </w:p>
    <w:p w14:paraId="549C154A">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（二）为如下目的给予或承诺给予个人任何利益，无论其是否为公务人员：</w:t>
      </w:r>
    </w:p>
    <w:p w14:paraId="4516B39F">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 意图使该个人不当履行其应尽的职责或义务；</w:t>
      </w:r>
    </w:p>
    <w:p w14:paraId="1B69BC0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 知悉或相信该个人接受利益即构成不当履行其应尽的职责或义务。</w:t>
      </w:r>
    </w:p>
    <w:p w14:paraId="03095DDB">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（三）欺诈行为，指任何故意或不顾后果地误导或试图误导一方，以获得经济或其他利益或避免义务的行为或不作为：</w:t>
      </w:r>
    </w:p>
    <w:p w14:paraId="0E61CE7B">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（四）胁迫行为，指直接或间接损害或伤害，或威胁损害或伤害任何一方或一方的财产，以不正当地影响一方的行为；</w:t>
      </w:r>
    </w:p>
    <w:p w14:paraId="61336A9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w:t>
      </w:r>
      <w:r>
        <w:rPr>
          <w:rFonts w:ascii="仿宋" w:hAnsi="仿宋" w:eastAsia="仿宋" w:cs="仿宋"/>
          <w:color w:val="000000" w:themeColor="text1"/>
          <w:sz w:val="32"/>
          <w:szCs w:val="32"/>
        </w:rPr>
        <w:t>串通行为</w:t>
      </w: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指</w:t>
      </w:r>
      <w:r>
        <w:rPr>
          <w:rFonts w:hint="eastAsia" w:ascii="仿宋" w:hAnsi="仿宋" w:eastAsia="仿宋" w:cs="仿宋"/>
          <w:color w:val="000000" w:themeColor="text1"/>
          <w:sz w:val="32"/>
          <w:szCs w:val="32"/>
        </w:rPr>
        <w:t>两方或多方为了达到不正当目的而进行的一种安排，包括通谋试图对另一方的行为产生不正当的影响；</w:t>
      </w:r>
    </w:p>
    <w:p w14:paraId="32D56E3B">
      <w:pPr>
        <w:spacing w:line="520" w:lineRule="exact"/>
        <w:ind w:firstLine="640" w:firstLineChars="200"/>
        <w:jc w:val="left"/>
        <w:rPr>
          <w:color w:val="000000" w:themeColor="text1"/>
        </w:rPr>
      </w:pPr>
      <w:r>
        <w:rPr>
          <w:rFonts w:hint="eastAsia" w:ascii="仿宋" w:hAnsi="仿宋" w:eastAsia="仿宋" w:cs="仿宋"/>
          <w:color w:val="000000" w:themeColor="text1"/>
          <w:sz w:val="32"/>
          <w:szCs w:val="32"/>
        </w:rPr>
        <w:t>（六）妨碍行为，指故意破坏、伪造、改变或隐瞒调查所需的证据材料或提供虚假材料严重妨碍对被指控的腐败、欺诈、胁迫或串通行为进行调查，和</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或威胁、骚扰或胁迫任何一方使其不得透露与调查相关的所知信息或参与调查，或企图严重妨碍调查和行使合同约定的检查和审计权利的行为。</w:t>
      </w:r>
    </w:p>
    <w:p w14:paraId="7CCF9E7F">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三、持续义务</w:t>
      </w:r>
    </w:p>
    <w:p w14:paraId="502BEEFC">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在此声明并保证：乙方和乙方的关联公司、董事、高级管理人员、雇员、代理、顾问、承包商、受托人、最终受益人和股东，及所有代表乙方行事的个人及相关方，在本协议有效期内均会遵守合规义务的相关规定。</w:t>
      </w:r>
    </w:p>
    <w:p w14:paraId="3E4AF2A1">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四、公务人员参与</w:t>
      </w:r>
    </w:p>
    <w:p w14:paraId="72F1711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除已向甲方披露的情形外，乙方现有的高级管理人员、董事、最终受益人、股东（此处不包括上市公司的股东）及雇员均非公务人员，其直系亲属亦均非公务人员；若发现上述高级管理人员、董事、最终受益人、股东或雇员成为公务人员时，乙方应在合理时间内通知甲方。</w:t>
      </w:r>
    </w:p>
    <w:p w14:paraId="38303625">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五、无私设资金</w:t>
      </w:r>
    </w:p>
    <w:p w14:paraId="0A6D1F74">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在本协议有效期内，乙方不会因为接受合规义务所禁止的支付，或为规避合规义务所禁止的其他行为，而设立或保有秘密或账外资金、账户或资产，无论其是否与本协议下拟进行的交易相关。</w:t>
      </w:r>
    </w:p>
    <w:p w14:paraId="42D5144D">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六、合规声明</w:t>
      </w:r>
    </w:p>
    <w:p w14:paraId="60270F35">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自本协议签署之日起，在每满一年之前30天内，乙方应提供其遵守前述合规义务的年度合规声明。</w:t>
      </w:r>
    </w:p>
    <w:p w14:paraId="777E6361">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七、赔偿</w:t>
      </w:r>
    </w:p>
    <w:p w14:paraId="58D9E9C2">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承诺：甲方及其代表、高级管理人员、董事、雇员及股东不承担因乙方违反本合规保护标准条款项下陈述、保证与承诺或乙方存在其他不合规行为而造成的损失及后果，包括但不限于罚金、损失赔偿金或上述个人或相关方的经济损失。如果甲方及其代表、高级管理人员、董事、雇员及股东因乙方的任何不合规行为遭受任何经济或声誉损失或任何处罚，则乙方负有赔偿全部实际损失并支付合同标的金额1</w:t>
      </w:r>
      <w:r>
        <w:rPr>
          <w:rFonts w:ascii="仿宋" w:hAnsi="仿宋" w:eastAsia="仿宋" w:cs="仿宋"/>
          <w:color w:val="000000" w:themeColor="text1"/>
          <w:sz w:val="32"/>
          <w:szCs w:val="32"/>
        </w:rPr>
        <w:t>0</w:t>
      </w: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的额外</w:t>
      </w:r>
      <w:r>
        <w:rPr>
          <w:rFonts w:hint="eastAsia" w:ascii="仿宋" w:hAnsi="仿宋" w:eastAsia="仿宋" w:cs="仿宋"/>
          <w:color w:val="000000" w:themeColor="text1"/>
          <w:sz w:val="32"/>
          <w:szCs w:val="32"/>
        </w:rPr>
        <w:t>违约金的义务。</w:t>
      </w:r>
    </w:p>
    <w:p w14:paraId="462974D6">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八、终止权</w:t>
      </w:r>
    </w:p>
    <w:p w14:paraId="36C9CDCC">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根据可靠消息来源，包括但不限于乙方陈述或有正当来源的新闻报道，如甲方认为乙方已实质性违反其在本合规保护标准条款中的遵守合规义务的相关陈述、保证与承诺，则视为乙方实质违反本协议。无论乙方是否因为违反合规义务而获罪或受到其他惩罚，甲方都有权终止本协议，甲方无须为此承担罚金或对乙方支付任何赔偿，且有权向乙方就协议终止的损失进行索赔。</w:t>
      </w:r>
    </w:p>
    <w:p w14:paraId="0C3B66B3">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九、审核权</w:t>
      </w:r>
    </w:p>
    <w:p w14:paraId="72F3CD57">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应保留所有必要记录以证明其遵守本合规保护标准条款的规定。乙方同意，经甲方事先通知，甲方或甲方指派的审计事务所可查阅或审核乙方与本协议履行相关的会计账簿和记录。甲方及其指派的审计事务所对前述会计账簿和记录的查阅或审核应严格限于本协议所述工作范围，且应仅为合规审核目的。本条所列审核费用应由甲方独立承担。</w:t>
      </w:r>
    </w:p>
    <w:p w14:paraId="5B51CAC0">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十、费用</w:t>
      </w:r>
    </w:p>
    <w:p w14:paraId="26781EDC">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乙方履行本合规保护标准条款项下义务所产生的成本及费用应完全由乙方承担。</w:t>
      </w:r>
    </w:p>
    <w:p w14:paraId="4D1CBF8A">
      <w:pPr>
        <w:spacing w:line="520" w:lineRule="exact"/>
        <w:ind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十一、通知</w:t>
      </w:r>
    </w:p>
    <w:p w14:paraId="695348BC">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乙方同意，如其发现甲方或其雇员或者代理存在任何不合规行为，或者乙方或其雇员、代理或者股东因与本协议相关的行为正被执法或监管机关、政府机构、国际组织、证券交易所或非政府组织调查，应立即通知甲方；此外，如乙方发现乙方或其雇员、代理或者股东因违反合规义务而正被执法或监管机关、政府机构、国际组织、证券交易所或非政府组织调查，无论被调查行为是否与本协议相关，应立即通知甲方。</w:t>
      </w:r>
    </w:p>
    <w:p w14:paraId="2623E74F">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甲方的相关联系方式如下：</w:t>
      </w:r>
    </w:p>
    <w:p w14:paraId="7791571D">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咨询举报电话：</w:t>
      </w:r>
    </w:p>
    <w:p w14:paraId="62AB56C0">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咨询举报邮箱：</w:t>
      </w:r>
    </w:p>
    <w:p w14:paraId="1AA59A14">
      <w:pPr>
        <w:spacing w:line="520" w:lineRule="exact"/>
        <w:ind w:firstLine="640" w:firstLineChars="200"/>
        <w:jc w:val="left"/>
        <w:rPr>
          <w:rFonts w:ascii="仿宋" w:hAnsi="仿宋" w:eastAsia="仿宋" w:cs="仿宋"/>
          <w:color w:val="000000" w:themeColor="text1"/>
          <w:sz w:val="32"/>
          <w:szCs w:val="32"/>
        </w:rPr>
      </w:pPr>
    </w:p>
    <w:p w14:paraId="461F608D">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甲方：                   乙方：    </w:t>
      </w:r>
    </w:p>
    <w:p w14:paraId="0A8965A4">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法定代表人：               法定代表人：</w:t>
      </w:r>
    </w:p>
    <w:p w14:paraId="3575763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（或委托人）                （或委托人）</w:t>
      </w:r>
    </w:p>
    <w:p w14:paraId="2B6C8E08">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甲方代表：               乙方代表：</w:t>
      </w:r>
    </w:p>
    <w:p w14:paraId="4E378251">
      <w:pPr>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签约时间：        年       月       日                          </w:t>
      </w:r>
    </w:p>
    <w:p w14:paraId="49FF42C1">
      <w:pPr>
        <w:spacing w:line="520" w:lineRule="exact"/>
        <w:ind w:firstLine="640" w:firstLineChars="200"/>
        <w:jc w:val="left"/>
        <w:rPr>
          <w:color w:val="000000" w:themeColor="text1"/>
          <w:sz w:val="28"/>
          <w:szCs w:val="28"/>
        </w:rPr>
      </w:pPr>
      <w:r>
        <w:rPr>
          <w:rFonts w:hint="eastAsia" w:ascii="仿宋" w:hAnsi="仿宋" w:eastAsia="仿宋" w:cs="仿宋"/>
          <w:color w:val="000000" w:themeColor="text1"/>
          <w:sz w:val="32"/>
          <w:szCs w:val="32"/>
        </w:rPr>
        <w:t>签约地点：</w:t>
      </w:r>
    </w:p>
    <w:p w14:paraId="06AC3562">
      <w:pPr>
        <w:adjustRightInd w:val="0"/>
        <w:snapToGrid w:val="0"/>
        <w:spacing w:line="520" w:lineRule="exact"/>
        <w:ind w:firstLine="480" w:firstLineChars="200"/>
        <w:rPr>
          <w:rFonts w:ascii="宋体" w:hAnsi="宋体"/>
          <w:bCs/>
          <w:color w:val="000000" w:themeColor="text1"/>
          <w:sz w:val="24"/>
        </w:rPr>
        <w:sectPr>
          <w:pgSz w:w="11906" w:h="16838"/>
          <w:pgMar w:top="1440" w:right="1080" w:bottom="1440" w:left="1080" w:header="340" w:footer="850" w:gutter="0"/>
          <w:cols w:space="720" w:num="1"/>
          <w:docGrid w:type="lines" w:linePitch="312" w:charSpace="0"/>
        </w:sectPr>
      </w:pPr>
    </w:p>
    <w:p w14:paraId="6A5F0D55">
      <w:pPr>
        <w:spacing w:line="520" w:lineRule="exact"/>
        <w:outlineLvl w:val="0"/>
        <w:rPr>
          <w:rFonts w:ascii="仿宋_GB2312" w:hAnsi="仿宋_GB2312" w:eastAsia="仿宋_GB2312" w:cs="仿宋_GB2312"/>
          <w:b/>
          <w:color w:val="000000" w:themeColor="text1"/>
          <w:sz w:val="32"/>
          <w:szCs w:val="32"/>
        </w:rPr>
      </w:pPr>
      <w:bookmarkStart w:id="168" w:name="_Toc216855857"/>
      <w:r>
        <w:rPr>
          <w:rFonts w:hint="eastAsia" w:ascii="仿宋_GB2312" w:hAnsi="仿宋_GB2312" w:eastAsia="仿宋_GB2312" w:cs="仿宋_GB2312"/>
          <w:b/>
          <w:color w:val="000000" w:themeColor="text1"/>
          <w:sz w:val="32"/>
          <w:szCs w:val="32"/>
        </w:rPr>
        <w:t>附件10：一年内易损件清单（赠送）</w:t>
      </w:r>
      <w:bookmarkEnd w:id="168"/>
    </w:p>
    <w:tbl>
      <w:tblPr>
        <w:tblStyle w:val="28"/>
        <w:tblW w:w="8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1974"/>
        <w:gridCol w:w="3005"/>
        <w:gridCol w:w="2002"/>
        <w:gridCol w:w="864"/>
      </w:tblGrid>
      <w:tr w14:paraId="7156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577" w:type="dxa"/>
            <w:vAlign w:val="center"/>
          </w:tcPr>
          <w:p w14:paraId="66846ACA">
            <w:pPr>
              <w:pStyle w:val="27"/>
              <w:spacing w:before="68" w:line="230" w:lineRule="auto"/>
              <w:jc w:val="center"/>
              <w:rPr>
                <w:highlight w:val="yellow"/>
              </w:rPr>
            </w:pPr>
            <w:r>
              <w:rPr>
                <w:spacing w:val="5"/>
                <w:highlight w:val="yellow"/>
              </w:rPr>
              <w:t>序号</w:t>
            </w:r>
          </w:p>
        </w:tc>
        <w:tc>
          <w:tcPr>
            <w:tcW w:w="1974" w:type="dxa"/>
            <w:vAlign w:val="center"/>
          </w:tcPr>
          <w:p w14:paraId="13A50795">
            <w:pPr>
              <w:pStyle w:val="27"/>
              <w:spacing w:before="68" w:line="231" w:lineRule="auto"/>
              <w:jc w:val="center"/>
              <w:rPr>
                <w:highlight w:val="yellow"/>
              </w:rPr>
            </w:pPr>
            <w:r>
              <w:rPr>
                <w:spacing w:val="3"/>
                <w:highlight w:val="yellow"/>
              </w:rPr>
              <w:t>名称</w:t>
            </w:r>
          </w:p>
        </w:tc>
        <w:tc>
          <w:tcPr>
            <w:tcW w:w="3005" w:type="dxa"/>
            <w:vAlign w:val="center"/>
          </w:tcPr>
          <w:p w14:paraId="305452F9">
            <w:pPr>
              <w:pStyle w:val="27"/>
              <w:spacing w:before="69" w:line="228" w:lineRule="auto"/>
              <w:jc w:val="center"/>
              <w:rPr>
                <w:highlight w:val="yellow"/>
              </w:rPr>
            </w:pPr>
            <w:r>
              <w:rPr>
                <w:spacing w:val="7"/>
                <w:highlight w:val="yellow"/>
              </w:rPr>
              <w:t>规格型号</w:t>
            </w:r>
          </w:p>
        </w:tc>
        <w:tc>
          <w:tcPr>
            <w:tcW w:w="2002" w:type="dxa"/>
            <w:vAlign w:val="center"/>
          </w:tcPr>
          <w:p w14:paraId="124EF84D">
            <w:pPr>
              <w:pStyle w:val="27"/>
              <w:spacing w:before="69" w:line="229" w:lineRule="auto"/>
              <w:jc w:val="center"/>
              <w:rPr>
                <w:highlight w:val="yellow"/>
              </w:rPr>
            </w:pPr>
            <w:r>
              <w:rPr>
                <w:spacing w:val="3"/>
                <w:highlight w:val="yellow"/>
              </w:rPr>
              <w:t>单位</w:t>
            </w:r>
          </w:p>
        </w:tc>
        <w:tc>
          <w:tcPr>
            <w:tcW w:w="864" w:type="dxa"/>
            <w:vAlign w:val="center"/>
          </w:tcPr>
          <w:p w14:paraId="0A8A5060">
            <w:pPr>
              <w:pStyle w:val="27"/>
              <w:spacing w:before="69" w:line="228" w:lineRule="auto"/>
              <w:jc w:val="center"/>
              <w:rPr>
                <w:highlight w:val="yellow"/>
              </w:rPr>
            </w:pPr>
            <w:r>
              <w:rPr>
                <w:spacing w:val="3"/>
                <w:highlight w:val="yellow"/>
              </w:rPr>
              <w:t>数量</w:t>
            </w:r>
          </w:p>
        </w:tc>
      </w:tr>
      <w:tr w14:paraId="391E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577" w:type="dxa"/>
            <w:vAlign w:val="center"/>
          </w:tcPr>
          <w:p w14:paraId="506B7E28">
            <w:pPr>
              <w:pStyle w:val="27"/>
              <w:spacing w:before="304" w:line="189" w:lineRule="auto"/>
              <w:jc w:val="center"/>
              <w:rPr>
                <w:highlight w:val="yellow"/>
              </w:rPr>
            </w:pPr>
            <w:r>
              <w:rPr>
                <w:highlight w:val="yellow"/>
              </w:rPr>
              <w:t>1</w:t>
            </w:r>
          </w:p>
        </w:tc>
        <w:tc>
          <w:tcPr>
            <w:tcW w:w="1974" w:type="dxa"/>
            <w:vAlign w:val="center"/>
          </w:tcPr>
          <w:p w14:paraId="0AC5F2D1">
            <w:pPr>
              <w:jc w:val="center"/>
              <w:rPr>
                <w:highlight w:val="yellow"/>
              </w:rPr>
            </w:pPr>
          </w:p>
        </w:tc>
        <w:tc>
          <w:tcPr>
            <w:tcW w:w="3005" w:type="dxa"/>
            <w:vAlign w:val="center"/>
          </w:tcPr>
          <w:p w14:paraId="4C8E1A18">
            <w:pPr>
              <w:jc w:val="center"/>
              <w:rPr>
                <w:highlight w:val="yellow"/>
              </w:rPr>
            </w:pPr>
          </w:p>
        </w:tc>
        <w:tc>
          <w:tcPr>
            <w:tcW w:w="2002" w:type="dxa"/>
            <w:vAlign w:val="center"/>
          </w:tcPr>
          <w:p w14:paraId="7D19B95E">
            <w:pPr>
              <w:jc w:val="center"/>
              <w:rPr>
                <w:highlight w:val="yellow"/>
              </w:rPr>
            </w:pPr>
          </w:p>
        </w:tc>
        <w:tc>
          <w:tcPr>
            <w:tcW w:w="864" w:type="dxa"/>
            <w:vAlign w:val="center"/>
          </w:tcPr>
          <w:p w14:paraId="1E972AE7">
            <w:pPr>
              <w:jc w:val="center"/>
              <w:rPr>
                <w:highlight w:val="yellow"/>
              </w:rPr>
            </w:pPr>
          </w:p>
        </w:tc>
      </w:tr>
      <w:tr w14:paraId="6E50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577" w:type="dxa"/>
            <w:vAlign w:val="center"/>
          </w:tcPr>
          <w:p w14:paraId="5C1E6FDA">
            <w:pPr>
              <w:pStyle w:val="27"/>
              <w:spacing w:before="65" w:line="189" w:lineRule="auto"/>
              <w:jc w:val="center"/>
              <w:rPr>
                <w:highlight w:val="yellow"/>
              </w:rPr>
            </w:pPr>
            <w:r>
              <w:rPr>
                <w:highlight w:val="yellow"/>
              </w:rPr>
              <w:t>2</w:t>
            </w:r>
          </w:p>
        </w:tc>
        <w:tc>
          <w:tcPr>
            <w:tcW w:w="1974" w:type="dxa"/>
            <w:vAlign w:val="center"/>
          </w:tcPr>
          <w:p w14:paraId="3ADC4C96">
            <w:pPr>
              <w:jc w:val="center"/>
              <w:rPr>
                <w:highlight w:val="yellow"/>
              </w:rPr>
            </w:pPr>
          </w:p>
        </w:tc>
        <w:tc>
          <w:tcPr>
            <w:tcW w:w="3005" w:type="dxa"/>
            <w:vAlign w:val="center"/>
          </w:tcPr>
          <w:p w14:paraId="09F3D2BD">
            <w:pPr>
              <w:jc w:val="center"/>
              <w:rPr>
                <w:highlight w:val="yellow"/>
              </w:rPr>
            </w:pPr>
          </w:p>
        </w:tc>
        <w:tc>
          <w:tcPr>
            <w:tcW w:w="2002" w:type="dxa"/>
            <w:vAlign w:val="center"/>
          </w:tcPr>
          <w:p w14:paraId="51E0A49B">
            <w:pPr>
              <w:jc w:val="center"/>
              <w:rPr>
                <w:highlight w:val="yellow"/>
              </w:rPr>
            </w:pPr>
          </w:p>
        </w:tc>
        <w:tc>
          <w:tcPr>
            <w:tcW w:w="864" w:type="dxa"/>
            <w:vAlign w:val="center"/>
          </w:tcPr>
          <w:p w14:paraId="115BF54A">
            <w:pPr>
              <w:jc w:val="center"/>
              <w:rPr>
                <w:highlight w:val="yellow"/>
              </w:rPr>
            </w:pPr>
          </w:p>
        </w:tc>
      </w:tr>
      <w:tr w14:paraId="615D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577" w:type="dxa"/>
            <w:vAlign w:val="center"/>
          </w:tcPr>
          <w:p w14:paraId="517DE64C">
            <w:pPr>
              <w:pStyle w:val="27"/>
              <w:spacing w:before="65" w:line="189" w:lineRule="auto"/>
              <w:jc w:val="center"/>
              <w:rPr>
                <w:highlight w:val="yellow"/>
              </w:rPr>
            </w:pPr>
            <w:r>
              <w:rPr>
                <w:rFonts w:hint="eastAsia"/>
                <w:highlight w:val="yellow"/>
              </w:rPr>
              <w:t>...</w:t>
            </w:r>
          </w:p>
        </w:tc>
        <w:tc>
          <w:tcPr>
            <w:tcW w:w="1974" w:type="dxa"/>
            <w:vAlign w:val="center"/>
          </w:tcPr>
          <w:p w14:paraId="78F370A9">
            <w:pPr>
              <w:jc w:val="center"/>
              <w:rPr>
                <w:highlight w:val="yellow"/>
              </w:rPr>
            </w:pPr>
          </w:p>
        </w:tc>
        <w:tc>
          <w:tcPr>
            <w:tcW w:w="3005" w:type="dxa"/>
            <w:vAlign w:val="center"/>
          </w:tcPr>
          <w:p w14:paraId="6E04580D">
            <w:pPr>
              <w:jc w:val="center"/>
              <w:rPr>
                <w:highlight w:val="yellow"/>
              </w:rPr>
            </w:pPr>
          </w:p>
        </w:tc>
        <w:tc>
          <w:tcPr>
            <w:tcW w:w="2002" w:type="dxa"/>
            <w:vAlign w:val="center"/>
          </w:tcPr>
          <w:p w14:paraId="17EDE5C0">
            <w:pPr>
              <w:jc w:val="center"/>
              <w:rPr>
                <w:highlight w:val="yellow"/>
              </w:rPr>
            </w:pPr>
          </w:p>
        </w:tc>
        <w:tc>
          <w:tcPr>
            <w:tcW w:w="864" w:type="dxa"/>
            <w:vAlign w:val="center"/>
          </w:tcPr>
          <w:p w14:paraId="53368A86">
            <w:pPr>
              <w:jc w:val="center"/>
              <w:rPr>
                <w:highlight w:val="yellow"/>
              </w:rPr>
            </w:pPr>
          </w:p>
        </w:tc>
      </w:tr>
    </w:tbl>
    <w:p w14:paraId="4F8C23B2">
      <w:pPr>
        <w:jc w:val="left"/>
        <w:rPr>
          <w:rFonts w:ascii="宋体" w:hAnsi="宋体" w:cs="宋体"/>
          <w:b/>
          <w:bCs/>
          <w:color w:val="000000" w:themeColor="text1"/>
          <w:sz w:val="28"/>
          <w:szCs w:val="28"/>
        </w:rPr>
        <w:sectPr>
          <w:pgSz w:w="11906" w:h="16838"/>
          <w:pgMar w:top="1440" w:right="1080" w:bottom="1440" w:left="1080" w:header="340" w:footer="850" w:gutter="0"/>
          <w:cols w:space="720" w:num="1"/>
          <w:docGrid w:type="lines" w:linePitch="312" w:charSpace="0"/>
        </w:sectPr>
      </w:pPr>
    </w:p>
    <w:p w14:paraId="52632912">
      <w:pPr>
        <w:spacing w:line="520" w:lineRule="exact"/>
        <w:outlineLvl w:val="0"/>
        <w:rPr>
          <w:rFonts w:ascii="仿宋_GB2312" w:hAnsi="仿宋_GB2312" w:eastAsia="仿宋_GB2312" w:cs="仿宋_GB2312"/>
          <w:b/>
          <w:color w:val="000000" w:themeColor="text1"/>
          <w:sz w:val="32"/>
          <w:szCs w:val="32"/>
        </w:rPr>
        <w:sectPr>
          <w:footerReference r:id="rId5" w:type="default"/>
          <w:pgSz w:w="11906" w:h="16838"/>
          <w:pgMar w:top="1440" w:right="1800" w:bottom="1440" w:left="1800" w:header="340" w:footer="850" w:gutter="0"/>
          <w:cols w:space="720" w:num="1"/>
          <w:docGrid w:type="lines" w:linePitch="312" w:charSpace="0"/>
        </w:sectPr>
      </w:pPr>
      <w:bookmarkStart w:id="169" w:name="_Toc216855858"/>
      <w:r>
        <w:rPr>
          <w:rFonts w:hint="eastAsia" w:ascii="仿宋_GB2312" w:hAnsi="仿宋_GB2312" w:eastAsia="仿宋_GB2312" w:cs="仿宋_GB2312"/>
          <w:b/>
          <w:color w:val="000000" w:themeColor="text1"/>
          <w:sz w:val="32"/>
          <w:szCs w:val="32"/>
        </w:rPr>
        <w:t>附件11：专用工具清</w:t>
      </w:r>
      <w:bookmarkEnd w:id="169"/>
      <w:r>
        <w:rPr>
          <w:rFonts w:hint="eastAsia" w:ascii="仿宋_GB2312" w:hAnsi="仿宋_GB2312" w:eastAsia="仿宋_GB2312" w:cs="仿宋_GB2312"/>
          <w:b/>
          <w:color w:val="000000" w:themeColor="text1"/>
          <w:sz w:val="32"/>
          <w:szCs w:val="32"/>
        </w:rPr>
        <w:t>单（如有）</w:t>
      </w:r>
    </w:p>
    <w:p w14:paraId="359B3A93">
      <w:pPr>
        <w:spacing w:line="520" w:lineRule="exact"/>
        <w:outlineLvl w:val="0"/>
        <w:rPr>
          <w:rFonts w:ascii="宋体" w:hAnsi="宋体" w:cs="宋体"/>
          <w:b/>
          <w:bCs/>
          <w:color w:val="000000" w:themeColor="text1"/>
          <w:sz w:val="28"/>
          <w:szCs w:val="28"/>
        </w:rPr>
      </w:pPr>
    </w:p>
    <w:sectPr>
      <w:footerReference r:id="rId6" w:type="default"/>
      <w:pgSz w:w="11906" w:h="16838"/>
      <w:pgMar w:top="1440" w:right="1800" w:bottom="1440" w:left="1800" w:header="34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6B58A-8173-43FE-9931-328FAFFD91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C292D0-D7B2-44A0-B7AE-CF5E1C75180C}"/>
  </w:font>
  <w:font w:name="仿宋">
    <w:panose1 w:val="02010609060101010101"/>
    <w:charset w:val="86"/>
    <w:family w:val="modern"/>
    <w:pitch w:val="default"/>
    <w:sig w:usb0="800002BF" w:usb1="38CF7CFA" w:usb2="00000016" w:usb3="00000000" w:csb0="00040001" w:csb1="00000000"/>
    <w:embedRegular r:id="rId3" w:fontKey="{10F33A89-A41D-4F90-91E1-3E7FAA57F631}"/>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embedRegular r:id="rId4" w:fontKey="{1237216E-F22E-4DE2-8379-44EFA8B36D39}"/>
  </w:font>
  <w:font w:name="仿宋_GB2312">
    <w:altName w:val="仿宋"/>
    <w:panose1 w:val="02010609030101010101"/>
    <w:charset w:val="86"/>
    <w:family w:val="modern"/>
    <w:pitch w:val="default"/>
    <w:sig w:usb0="00000001" w:usb1="080E0000" w:usb2="00000000" w:usb3="00000000" w:csb0="00040000" w:csb1="00000000"/>
    <w:embedRegular r:id="rId5" w:fontKey="{B8E459FC-01CF-46D5-AE61-466179BD5451}"/>
  </w:font>
  <w:font w:name="___WRD_EMBED_SUB_41">
    <w:altName w:val="宋体"/>
    <w:panose1 w:val="02010609030101010101"/>
    <w:charset w:val="86"/>
    <w:family w:val="modern"/>
    <w:pitch w:val="default"/>
    <w:sig w:usb0="00000000" w:usb1="00000000" w:usb2="00000000" w:usb3="00000000" w:csb0="00040000" w:csb1="00000000"/>
    <w:embedRegular r:id="rId6" w:fontKey="{A1FA679A-230D-45B3-BFF1-EAD28B91AF15}"/>
  </w:font>
  <w:font w:name="___WRD_EMBED_SUB_40">
    <w:altName w:val="宋体"/>
    <w:panose1 w:val="02010609030101010101"/>
    <w:charset w:val="86"/>
    <w:family w:val="modern"/>
    <w:pitch w:val="default"/>
    <w:sig w:usb0="00000000" w:usb1="00000000" w:usb2="00000000" w:usb3="00000000" w:csb0="00040000" w:csb1="00000000"/>
    <w:embedRegular r:id="rId7" w:fontKey="{56D290B6-4278-454F-A4C1-CA539581BBB3}"/>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8" w:fontKey="{D11E9C71-F04C-4DAD-B108-E2ED10A34327}"/>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4B11">
    <w:pPr>
      <w:pStyle w:val="9"/>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45192B2F">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4801">
    <w:pPr>
      <w:pStyle w:val="9"/>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1F05D2AE">
                <w:pPr>
                  <w:pStyle w:val="9"/>
                </w:pPr>
                <w:r>
                  <w:fldChar w:fldCharType="begin"/>
                </w:r>
                <w:r>
                  <w:instrText xml:space="preserve"> PAGE  \* MERGEFORMAT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826B">
    <w:pPr>
      <w:pStyle w:val="9"/>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2DF169E0">
                <w:pPr>
                  <w:pStyle w:val="9"/>
                </w:pPr>
                <w:r>
                  <w:fldChar w:fldCharType="begin"/>
                </w:r>
                <w:r>
                  <w:instrText xml:space="preserve"> PAGE  \* MERGEFORMAT </w:instrText>
                </w:r>
                <w:r>
                  <w:fldChar w:fldCharType="separate"/>
                </w:r>
                <w:r>
                  <w:t>18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6207">
    <w:pPr>
      <w:pStyle w:val="9"/>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14:paraId="7387A742">
                <w:pPr>
                  <w:pStyle w:val="9"/>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BkODc2ZDEzZjcyMGNiNDRmYzU5NTdiOWI5ZTgxZmMifQ=="/>
  </w:docVars>
  <w:rsids>
    <w:rsidRoot w:val="00731752"/>
    <w:rsid w:val="000003B7"/>
    <w:rsid w:val="00002BA9"/>
    <w:rsid w:val="00022264"/>
    <w:rsid w:val="00041B7D"/>
    <w:rsid w:val="0007263E"/>
    <w:rsid w:val="000845A6"/>
    <w:rsid w:val="000B4C78"/>
    <w:rsid w:val="00116B07"/>
    <w:rsid w:val="00124720"/>
    <w:rsid w:val="00130346"/>
    <w:rsid w:val="00136AF6"/>
    <w:rsid w:val="0016393D"/>
    <w:rsid w:val="00191D5E"/>
    <w:rsid w:val="001A33C1"/>
    <w:rsid w:val="001F2614"/>
    <w:rsid w:val="00224F4B"/>
    <w:rsid w:val="002452B7"/>
    <w:rsid w:val="00245FFB"/>
    <w:rsid w:val="00252680"/>
    <w:rsid w:val="002857E8"/>
    <w:rsid w:val="002C6CD5"/>
    <w:rsid w:val="002E1DCB"/>
    <w:rsid w:val="002F58E6"/>
    <w:rsid w:val="00303B8D"/>
    <w:rsid w:val="00306A64"/>
    <w:rsid w:val="0031653A"/>
    <w:rsid w:val="003402CD"/>
    <w:rsid w:val="003C7CB6"/>
    <w:rsid w:val="003D2964"/>
    <w:rsid w:val="003E1D0B"/>
    <w:rsid w:val="004410AE"/>
    <w:rsid w:val="00467BF7"/>
    <w:rsid w:val="004705F5"/>
    <w:rsid w:val="0049568E"/>
    <w:rsid w:val="004A3DA6"/>
    <w:rsid w:val="004B28EB"/>
    <w:rsid w:val="004D382F"/>
    <w:rsid w:val="004E431D"/>
    <w:rsid w:val="00547AD1"/>
    <w:rsid w:val="0057035E"/>
    <w:rsid w:val="0057651B"/>
    <w:rsid w:val="005E5339"/>
    <w:rsid w:val="0060770A"/>
    <w:rsid w:val="0062235A"/>
    <w:rsid w:val="00634560"/>
    <w:rsid w:val="006A14AA"/>
    <w:rsid w:val="006A25D0"/>
    <w:rsid w:val="006C2816"/>
    <w:rsid w:val="006F29DA"/>
    <w:rsid w:val="00701C78"/>
    <w:rsid w:val="00730770"/>
    <w:rsid w:val="00731752"/>
    <w:rsid w:val="007661A9"/>
    <w:rsid w:val="007934F5"/>
    <w:rsid w:val="00793B5A"/>
    <w:rsid w:val="00796609"/>
    <w:rsid w:val="007C738A"/>
    <w:rsid w:val="007D467E"/>
    <w:rsid w:val="007E581D"/>
    <w:rsid w:val="00836AD4"/>
    <w:rsid w:val="00852415"/>
    <w:rsid w:val="008A5C55"/>
    <w:rsid w:val="008B69F0"/>
    <w:rsid w:val="008C67CA"/>
    <w:rsid w:val="0092496C"/>
    <w:rsid w:val="009272E8"/>
    <w:rsid w:val="00961706"/>
    <w:rsid w:val="00967F38"/>
    <w:rsid w:val="00986D93"/>
    <w:rsid w:val="009D50D7"/>
    <w:rsid w:val="009F2A3C"/>
    <w:rsid w:val="009F2E77"/>
    <w:rsid w:val="00A516C5"/>
    <w:rsid w:val="00A817B7"/>
    <w:rsid w:val="00A9548D"/>
    <w:rsid w:val="00AD6E3E"/>
    <w:rsid w:val="00AD7912"/>
    <w:rsid w:val="00B03E6C"/>
    <w:rsid w:val="00B32DF4"/>
    <w:rsid w:val="00B45A8C"/>
    <w:rsid w:val="00BA4B77"/>
    <w:rsid w:val="00BC59CE"/>
    <w:rsid w:val="00BD7BC8"/>
    <w:rsid w:val="00BF01F0"/>
    <w:rsid w:val="00BF4143"/>
    <w:rsid w:val="00C1725E"/>
    <w:rsid w:val="00C3625B"/>
    <w:rsid w:val="00C475EC"/>
    <w:rsid w:val="00C6568F"/>
    <w:rsid w:val="00C660D3"/>
    <w:rsid w:val="00C718FC"/>
    <w:rsid w:val="00C95EE3"/>
    <w:rsid w:val="00CF3F98"/>
    <w:rsid w:val="00CF541F"/>
    <w:rsid w:val="00D0158B"/>
    <w:rsid w:val="00D40381"/>
    <w:rsid w:val="00D46FB2"/>
    <w:rsid w:val="00D557AD"/>
    <w:rsid w:val="00D82EA4"/>
    <w:rsid w:val="00D97CCA"/>
    <w:rsid w:val="00DA4D1D"/>
    <w:rsid w:val="00DA66B5"/>
    <w:rsid w:val="00DD7373"/>
    <w:rsid w:val="00E13020"/>
    <w:rsid w:val="00E165B0"/>
    <w:rsid w:val="00E3575D"/>
    <w:rsid w:val="00E52AD4"/>
    <w:rsid w:val="00EA334C"/>
    <w:rsid w:val="00F0712D"/>
    <w:rsid w:val="00F2519E"/>
    <w:rsid w:val="00F84306"/>
    <w:rsid w:val="00F8794E"/>
    <w:rsid w:val="00F95F09"/>
    <w:rsid w:val="00FB14EA"/>
    <w:rsid w:val="00FC131A"/>
    <w:rsid w:val="00FF42C5"/>
    <w:rsid w:val="00FF4C7A"/>
    <w:rsid w:val="01E274B5"/>
    <w:rsid w:val="01EE2C4F"/>
    <w:rsid w:val="01EF02BE"/>
    <w:rsid w:val="0215304C"/>
    <w:rsid w:val="029B5B25"/>
    <w:rsid w:val="030C3479"/>
    <w:rsid w:val="03FB0CA7"/>
    <w:rsid w:val="047721A1"/>
    <w:rsid w:val="048D76EF"/>
    <w:rsid w:val="04FA5A0E"/>
    <w:rsid w:val="05926D3B"/>
    <w:rsid w:val="05967993"/>
    <w:rsid w:val="05FE5354"/>
    <w:rsid w:val="06A22BF2"/>
    <w:rsid w:val="071E1F30"/>
    <w:rsid w:val="0728596A"/>
    <w:rsid w:val="075524D7"/>
    <w:rsid w:val="07594E75"/>
    <w:rsid w:val="075C7095"/>
    <w:rsid w:val="07A37D40"/>
    <w:rsid w:val="084D7635"/>
    <w:rsid w:val="084F6138"/>
    <w:rsid w:val="09250443"/>
    <w:rsid w:val="09EA11D3"/>
    <w:rsid w:val="0A975DB5"/>
    <w:rsid w:val="0AD51168"/>
    <w:rsid w:val="0B532243"/>
    <w:rsid w:val="0B545171"/>
    <w:rsid w:val="0BD752A0"/>
    <w:rsid w:val="0C5B0DF8"/>
    <w:rsid w:val="0CA13A4D"/>
    <w:rsid w:val="0D8346D1"/>
    <w:rsid w:val="0E6502DB"/>
    <w:rsid w:val="0E6D6359"/>
    <w:rsid w:val="0EF32A39"/>
    <w:rsid w:val="0F9430FA"/>
    <w:rsid w:val="10186C59"/>
    <w:rsid w:val="10491558"/>
    <w:rsid w:val="10C2421A"/>
    <w:rsid w:val="10E54D8C"/>
    <w:rsid w:val="111752DC"/>
    <w:rsid w:val="113D1D86"/>
    <w:rsid w:val="11B64AEC"/>
    <w:rsid w:val="11BE61EB"/>
    <w:rsid w:val="124276EF"/>
    <w:rsid w:val="13015ED9"/>
    <w:rsid w:val="13C57B3D"/>
    <w:rsid w:val="14705BB5"/>
    <w:rsid w:val="150678F3"/>
    <w:rsid w:val="15222C4B"/>
    <w:rsid w:val="165C4AE0"/>
    <w:rsid w:val="16B27127"/>
    <w:rsid w:val="16E748BC"/>
    <w:rsid w:val="16F70EB5"/>
    <w:rsid w:val="175910D1"/>
    <w:rsid w:val="18147845"/>
    <w:rsid w:val="18444308"/>
    <w:rsid w:val="187F39F3"/>
    <w:rsid w:val="1A062C9F"/>
    <w:rsid w:val="1A0A31E1"/>
    <w:rsid w:val="1A1465CF"/>
    <w:rsid w:val="1A556A5B"/>
    <w:rsid w:val="1A642D35"/>
    <w:rsid w:val="1ACF6434"/>
    <w:rsid w:val="1B000797"/>
    <w:rsid w:val="1B0C02D1"/>
    <w:rsid w:val="1B846331"/>
    <w:rsid w:val="1BB45E39"/>
    <w:rsid w:val="1BC50C93"/>
    <w:rsid w:val="1BD62837"/>
    <w:rsid w:val="1BE52CCD"/>
    <w:rsid w:val="1C17524C"/>
    <w:rsid w:val="1CD8788F"/>
    <w:rsid w:val="1CE95744"/>
    <w:rsid w:val="1DFB128B"/>
    <w:rsid w:val="1E05507B"/>
    <w:rsid w:val="1E124827"/>
    <w:rsid w:val="1E2F180C"/>
    <w:rsid w:val="1F430756"/>
    <w:rsid w:val="1F823F62"/>
    <w:rsid w:val="201C3C53"/>
    <w:rsid w:val="20430A8F"/>
    <w:rsid w:val="205C775E"/>
    <w:rsid w:val="20FB5836"/>
    <w:rsid w:val="21556242"/>
    <w:rsid w:val="218825B4"/>
    <w:rsid w:val="22A53EBB"/>
    <w:rsid w:val="232A775D"/>
    <w:rsid w:val="23916A06"/>
    <w:rsid w:val="239459A8"/>
    <w:rsid w:val="239E0FB5"/>
    <w:rsid w:val="23DF30D2"/>
    <w:rsid w:val="23F65D97"/>
    <w:rsid w:val="24022AC6"/>
    <w:rsid w:val="243020A4"/>
    <w:rsid w:val="243170D6"/>
    <w:rsid w:val="2492046F"/>
    <w:rsid w:val="24984D10"/>
    <w:rsid w:val="24DB267A"/>
    <w:rsid w:val="253E21F8"/>
    <w:rsid w:val="25C714BE"/>
    <w:rsid w:val="2630457B"/>
    <w:rsid w:val="26426AD8"/>
    <w:rsid w:val="278C467C"/>
    <w:rsid w:val="27CD382E"/>
    <w:rsid w:val="27D50D9F"/>
    <w:rsid w:val="28EC724F"/>
    <w:rsid w:val="28F02482"/>
    <w:rsid w:val="2A002448"/>
    <w:rsid w:val="2A5974BC"/>
    <w:rsid w:val="2ACA428B"/>
    <w:rsid w:val="2ADA6DD9"/>
    <w:rsid w:val="2ADE403E"/>
    <w:rsid w:val="2AEA516B"/>
    <w:rsid w:val="2B322E4A"/>
    <w:rsid w:val="2B75075B"/>
    <w:rsid w:val="2C7A58A6"/>
    <w:rsid w:val="2CAE5B38"/>
    <w:rsid w:val="2CC45081"/>
    <w:rsid w:val="2E0861EA"/>
    <w:rsid w:val="2E0F2A4A"/>
    <w:rsid w:val="2EDA1EFB"/>
    <w:rsid w:val="2F390575"/>
    <w:rsid w:val="2FF71CA0"/>
    <w:rsid w:val="2FFB7E44"/>
    <w:rsid w:val="300F4499"/>
    <w:rsid w:val="30C849F1"/>
    <w:rsid w:val="310A36B0"/>
    <w:rsid w:val="311E37B6"/>
    <w:rsid w:val="313E491F"/>
    <w:rsid w:val="313F1085"/>
    <w:rsid w:val="31A6439C"/>
    <w:rsid w:val="31D145B5"/>
    <w:rsid w:val="32B37B27"/>
    <w:rsid w:val="32C90A48"/>
    <w:rsid w:val="33401349"/>
    <w:rsid w:val="3393510A"/>
    <w:rsid w:val="33FD7E26"/>
    <w:rsid w:val="34D43F0F"/>
    <w:rsid w:val="34DF574C"/>
    <w:rsid w:val="34F178E2"/>
    <w:rsid w:val="35464168"/>
    <w:rsid w:val="35570668"/>
    <w:rsid w:val="358F56C9"/>
    <w:rsid w:val="359E6FC6"/>
    <w:rsid w:val="366B4EA9"/>
    <w:rsid w:val="368D78CE"/>
    <w:rsid w:val="36E72E8D"/>
    <w:rsid w:val="375120DB"/>
    <w:rsid w:val="375C4029"/>
    <w:rsid w:val="38861221"/>
    <w:rsid w:val="39125312"/>
    <w:rsid w:val="39CB0563"/>
    <w:rsid w:val="3A423E25"/>
    <w:rsid w:val="3AE470A5"/>
    <w:rsid w:val="3B500F39"/>
    <w:rsid w:val="3B5E5CFB"/>
    <w:rsid w:val="3B78008D"/>
    <w:rsid w:val="3BBD5906"/>
    <w:rsid w:val="3BDA14FE"/>
    <w:rsid w:val="3BE77663"/>
    <w:rsid w:val="3BEE1FD7"/>
    <w:rsid w:val="3C1D65A3"/>
    <w:rsid w:val="3CD25455"/>
    <w:rsid w:val="3CD3285E"/>
    <w:rsid w:val="3D165B62"/>
    <w:rsid w:val="3D4A4B0F"/>
    <w:rsid w:val="3DE80E7A"/>
    <w:rsid w:val="3E357413"/>
    <w:rsid w:val="3F840FF8"/>
    <w:rsid w:val="3F8F587F"/>
    <w:rsid w:val="400614AA"/>
    <w:rsid w:val="40366602"/>
    <w:rsid w:val="404306F3"/>
    <w:rsid w:val="41185C8C"/>
    <w:rsid w:val="411E1EF1"/>
    <w:rsid w:val="414D5246"/>
    <w:rsid w:val="414F4D5D"/>
    <w:rsid w:val="41A1714B"/>
    <w:rsid w:val="42196838"/>
    <w:rsid w:val="424B7ABE"/>
    <w:rsid w:val="426C1EA8"/>
    <w:rsid w:val="435461E5"/>
    <w:rsid w:val="43A73F7B"/>
    <w:rsid w:val="43BE7E53"/>
    <w:rsid w:val="43EF5309"/>
    <w:rsid w:val="44CB15CE"/>
    <w:rsid w:val="44E92A00"/>
    <w:rsid w:val="457F0236"/>
    <w:rsid w:val="45AD170E"/>
    <w:rsid w:val="46D812D0"/>
    <w:rsid w:val="48A74A46"/>
    <w:rsid w:val="49796A18"/>
    <w:rsid w:val="4A096307"/>
    <w:rsid w:val="4A430456"/>
    <w:rsid w:val="4B2973BC"/>
    <w:rsid w:val="4BC3434B"/>
    <w:rsid w:val="4D895BF0"/>
    <w:rsid w:val="4DBA4AA8"/>
    <w:rsid w:val="4E266F0F"/>
    <w:rsid w:val="4E46190F"/>
    <w:rsid w:val="4F5328DF"/>
    <w:rsid w:val="4FAC6089"/>
    <w:rsid w:val="4FB42FCF"/>
    <w:rsid w:val="4FD5108C"/>
    <w:rsid w:val="4FEE5247"/>
    <w:rsid w:val="4FF852CC"/>
    <w:rsid w:val="4FFE6335"/>
    <w:rsid w:val="508036EE"/>
    <w:rsid w:val="50B50341"/>
    <w:rsid w:val="50C87A93"/>
    <w:rsid w:val="516A1CAC"/>
    <w:rsid w:val="51E722B2"/>
    <w:rsid w:val="527F6304"/>
    <w:rsid w:val="52A81870"/>
    <w:rsid w:val="52D2579A"/>
    <w:rsid w:val="535216F3"/>
    <w:rsid w:val="53DC6F4D"/>
    <w:rsid w:val="540A3DD9"/>
    <w:rsid w:val="542275C7"/>
    <w:rsid w:val="54DC08F1"/>
    <w:rsid w:val="55153DBA"/>
    <w:rsid w:val="552017C9"/>
    <w:rsid w:val="55593A40"/>
    <w:rsid w:val="55D86C1D"/>
    <w:rsid w:val="560E66D9"/>
    <w:rsid w:val="56764D8E"/>
    <w:rsid w:val="572528F9"/>
    <w:rsid w:val="575A51C4"/>
    <w:rsid w:val="581D052E"/>
    <w:rsid w:val="590850C5"/>
    <w:rsid w:val="59465C10"/>
    <w:rsid w:val="59A811FB"/>
    <w:rsid w:val="59E85AEA"/>
    <w:rsid w:val="5A0C53FE"/>
    <w:rsid w:val="5A795594"/>
    <w:rsid w:val="5ABC0185"/>
    <w:rsid w:val="5AF2484D"/>
    <w:rsid w:val="5B6F2B91"/>
    <w:rsid w:val="5B7528C4"/>
    <w:rsid w:val="5BAA0AFA"/>
    <w:rsid w:val="5C22712C"/>
    <w:rsid w:val="5CBE47A9"/>
    <w:rsid w:val="5D685257"/>
    <w:rsid w:val="5D7857D0"/>
    <w:rsid w:val="5DBB008F"/>
    <w:rsid w:val="5DE82F0A"/>
    <w:rsid w:val="5E25045D"/>
    <w:rsid w:val="5E2964E7"/>
    <w:rsid w:val="5E5B4E53"/>
    <w:rsid w:val="5E6B399C"/>
    <w:rsid w:val="5F115F4D"/>
    <w:rsid w:val="5F231E40"/>
    <w:rsid w:val="60A64D55"/>
    <w:rsid w:val="60BF4A12"/>
    <w:rsid w:val="60E750C3"/>
    <w:rsid w:val="61741D2A"/>
    <w:rsid w:val="61C80777"/>
    <w:rsid w:val="620D0297"/>
    <w:rsid w:val="62295C38"/>
    <w:rsid w:val="63181564"/>
    <w:rsid w:val="63941989"/>
    <w:rsid w:val="63E4063A"/>
    <w:rsid w:val="63FD1BBD"/>
    <w:rsid w:val="6438365E"/>
    <w:rsid w:val="64B36A78"/>
    <w:rsid w:val="64BE77E7"/>
    <w:rsid w:val="65051FBC"/>
    <w:rsid w:val="66682FC4"/>
    <w:rsid w:val="666D6571"/>
    <w:rsid w:val="66794C5E"/>
    <w:rsid w:val="667D1833"/>
    <w:rsid w:val="66BC3B04"/>
    <w:rsid w:val="66C2616A"/>
    <w:rsid w:val="66C355CB"/>
    <w:rsid w:val="66E512DE"/>
    <w:rsid w:val="67445F0F"/>
    <w:rsid w:val="676C6374"/>
    <w:rsid w:val="67723912"/>
    <w:rsid w:val="678A563E"/>
    <w:rsid w:val="67CD74B4"/>
    <w:rsid w:val="67DD1DCF"/>
    <w:rsid w:val="67EA17CA"/>
    <w:rsid w:val="68EF75E8"/>
    <w:rsid w:val="6905310F"/>
    <w:rsid w:val="69310D4C"/>
    <w:rsid w:val="69666C5E"/>
    <w:rsid w:val="696F3118"/>
    <w:rsid w:val="69833227"/>
    <w:rsid w:val="69EA6194"/>
    <w:rsid w:val="6A125F79"/>
    <w:rsid w:val="6A470777"/>
    <w:rsid w:val="6B524FBC"/>
    <w:rsid w:val="6B7221DC"/>
    <w:rsid w:val="6B806EFD"/>
    <w:rsid w:val="6B8657F1"/>
    <w:rsid w:val="6BD91727"/>
    <w:rsid w:val="6BF361FD"/>
    <w:rsid w:val="6C235763"/>
    <w:rsid w:val="6C75797B"/>
    <w:rsid w:val="6C807268"/>
    <w:rsid w:val="6E68431A"/>
    <w:rsid w:val="6F4A534B"/>
    <w:rsid w:val="6F57255E"/>
    <w:rsid w:val="6FBF51E8"/>
    <w:rsid w:val="6FE95EA2"/>
    <w:rsid w:val="705D6067"/>
    <w:rsid w:val="70804A06"/>
    <w:rsid w:val="70B27CFE"/>
    <w:rsid w:val="70DF6122"/>
    <w:rsid w:val="71877C82"/>
    <w:rsid w:val="719F0978"/>
    <w:rsid w:val="726522EC"/>
    <w:rsid w:val="72C4497C"/>
    <w:rsid w:val="73022E9F"/>
    <w:rsid w:val="730F0E54"/>
    <w:rsid w:val="7337556E"/>
    <w:rsid w:val="73C61B5A"/>
    <w:rsid w:val="741C4B51"/>
    <w:rsid w:val="74812A4F"/>
    <w:rsid w:val="74F9486D"/>
    <w:rsid w:val="75033602"/>
    <w:rsid w:val="753924DE"/>
    <w:rsid w:val="75637542"/>
    <w:rsid w:val="75E76C27"/>
    <w:rsid w:val="75F939C1"/>
    <w:rsid w:val="764A568D"/>
    <w:rsid w:val="768E7B09"/>
    <w:rsid w:val="78FB5974"/>
    <w:rsid w:val="79275946"/>
    <w:rsid w:val="79333933"/>
    <w:rsid w:val="795638A2"/>
    <w:rsid w:val="79A142EE"/>
    <w:rsid w:val="7A3B278B"/>
    <w:rsid w:val="7ABC234B"/>
    <w:rsid w:val="7AE12BA1"/>
    <w:rsid w:val="7B3745F9"/>
    <w:rsid w:val="7B396883"/>
    <w:rsid w:val="7C020FCA"/>
    <w:rsid w:val="7C894039"/>
    <w:rsid w:val="7CA52605"/>
    <w:rsid w:val="7D0B72D7"/>
    <w:rsid w:val="7D900032"/>
    <w:rsid w:val="7DBE2645"/>
    <w:rsid w:val="7DC1685E"/>
    <w:rsid w:val="7DF77330"/>
    <w:rsid w:val="7EAF2C64"/>
    <w:rsid w:val="7F191B2C"/>
    <w:rsid w:val="7F3856AA"/>
    <w:rsid w:val="7F5034BD"/>
    <w:rsid w:val="7F7D545B"/>
    <w:rsid w:val="7F897E74"/>
    <w:rsid w:val="BAF5BAFA"/>
    <w:rsid w:val="E6B3C2F3"/>
    <w:rsid w:val="EDBE0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spacing w:beforeLines="100" w:afterLines="50"/>
      <w:ind w:left="482"/>
      <w:outlineLvl w:val="1"/>
    </w:pPr>
    <w:rPr>
      <w:rFonts w:ascii="宋体" w:hAnsi="宋体"/>
      <w:b/>
      <w:sz w:val="28"/>
      <w:szCs w:val="28"/>
    </w:rPr>
  </w:style>
  <w:style w:type="paragraph" w:styleId="4">
    <w:name w:val="heading 3"/>
    <w:basedOn w:val="1"/>
    <w:next w:val="1"/>
    <w:unhideWhenUsed/>
    <w:qFormat/>
    <w:uiPriority w:val="0"/>
    <w:pPr>
      <w:keepNext/>
      <w:keepLines/>
      <w:spacing w:before="260" w:after="260" w:line="413" w:lineRule="auto"/>
      <w:outlineLvl w:val="2"/>
    </w:pPr>
    <w:rPr>
      <w:rFonts w:eastAsia="仿宋"/>
      <w:b/>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Body Text"/>
    <w:basedOn w:val="1"/>
    <w:qFormat/>
    <w:uiPriority w:val="0"/>
    <w:rPr>
      <w:rFonts w:eastAsia="华文细黑"/>
      <w:sz w:val="15"/>
    </w:rPr>
  </w:style>
  <w:style w:type="paragraph" w:styleId="7">
    <w:name w:val="Plain Text"/>
    <w:basedOn w:val="1"/>
    <w:qFormat/>
    <w:uiPriority w:val="0"/>
    <w:rPr>
      <w:rFonts w:ascii="宋体" w:hAnsi="Courier New" w:cs="Courier New"/>
      <w:szCs w:val="21"/>
    </w:rPr>
  </w:style>
  <w:style w:type="paragraph" w:styleId="8">
    <w:name w:val="Balloon Text"/>
    <w:basedOn w:val="1"/>
    <w:link w:val="30"/>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tabs>
        <w:tab w:val="center" w:pos="4320"/>
        <w:tab w:val="right" w:pos="8640"/>
      </w:tabs>
      <w:snapToGrid w:val="0"/>
      <w:jc w:val="center"/>
    </w:pPr>
    <w:rPr>
      <w:sz w:val="18"/>
      <w:szCs w:val="18"/>
    </w:rPr>
  </w:style>
  <w:style w:type="paragraph" w:styleId="11">
    <w:name w:val="toc 1"/>
    <w:basedOn w:val="1"/>
    <w:next w:val="1"/>
    <w:qFormat/>
    <w:uiPriority w:val="39"/>
  </w:style>
  <w:style w:type="paragraph" w:styleId="12">
    <w:name w:val="annotation subject"/>
    <w:basedOn w:val="5"/>
    <w:next w:val="5"/>
    <w:link w:val="21"/>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99"/>
    <w:rPr>
      <w:color w:val="0000FF"/>
      <w:u w:val="single"/>
    </w:rPr>
  </w:style>
  <w:style w:type="character" w:styleId="17">
    <w:name w:val="annotation reference"/>
    <w:qFormat/>
    <w:uiPriority w:val="0"/>
    <w:rPr>
      <w:sz w:val="21"/>
      <w:szCs w:val="21"/>
    </w:rPr>
  </w:style>
  <w:style w:type="character" w:customStyle="1" w:styleId="18">
    <w:name w:val="批注文字 Char"/>
    <w:link w:val="5"/>
    <w:qFormat/>
    <w:uiPriority w:val="0"/>
    <w:rPr>
      <w:kern w:val="2"/>
      <w:sz w:val="21"/>
      <w:szCs w:val="24"/>
    </w:rPr>
  </w:style>
  <w:style w:type="character" w:customStyle="1" w:styleId="19">
    <w:name w:val="页脚 Char"/>
    <w:link w:val="9"/>
    <w:qFormat/>
    <w:uiPriority w:val="99"/>
    <w:rPr>
      <w:kern w:val="2"/>
      <w:sz w:val="18"/>
      <w:szCs w:val="18"/>
    </w:rPr>
  </w:style>
  <w:style w:type="character" w:customStyle="1" w:styleId="20">
    <w:name w:val="页眉 Char"/>
    <w:link w:val="10"/>
    <w:qFormat/>
    <w:uiPriority w:val="99"/>
    <w:rPr>
      <w:kern w:val="2"/>
      <w:sz w:val="18"/>
      <w:szCs w:val="18"/>
    </w:rPr>
  </w:style>
  <w:style w:type="character" w:customStyle="1" w:styleId="21">
    <w:name w:val="批注主题 Char"/>
    <w:link w:val="12"/>
    <w:qFormat/>
    <w:uiPriority w:val="0"/>
    <w:rPr>
      <w:b/>
      <w:bCs/>
      <w:kern w:val="2"/>
      <w:sz w:val="21"/>
      <w:szCs w:val="24"/>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Times New Roman" w:eastAsia="宋体" w:cs="Times New Roman"/>
      <w:kern w:val="2"/>
      <w:sz w:val="21"/>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adjustRightInd w:val="0"/>
      <w:spacing w:line="315" w:lineRule="atLeast"/>
      <w:textAlignment w:val="baseline"/>
    </w:pPr>
    <w:rPr>
      <w:rFonts w:ascii="宋体" w:hAnsi="Times New Roman" w:eastAsia="宋体" w:cs="Times New Roman"/>
      <w:sz w:val="21"/>
      <w:lang w:val="en-US" w:eastAsia="zh-CN" w:bidi="ar-SA"/>
    </w:rPr>
  </w:style>
  <w:style w:type="paragraph" w:customStyle="1" w:styleId="24">
    <w:name w:val="正文 New New New New New"/>
    <w:qFormat/>
    <w:uiPriority w:val="0"/>
    <w:pPr>
      <w:widowControl w:val="0"/>
      <w:jc w:val="both"/>
    </w:pPr>
    <w:rPr>
      <w:rFonts w:ascii="宋体" w:hAnsi="Times New Roman" w:eastAsia="宋体" w:cs="Times New Roman"/>
      <w:kern w:val="2"/>
      <w:sz w:val="21"/>
      <w:lang w:val="en-US" w:eastAsia="zh-CN" w:bidi="ar-SA"/>
    </w:rPr>
  </w:style>
  <w:style w:type="paragraph" w:customStyle="1" w:styleId="25">
    <w:name w:val="_Style 19"/>
    <w:unhideWhenUsed/>
    <w:qFormat/>
    <w:uiPriority w:val="99"/>
    <w:rPr>
      <w:rFonts w:ascii="Calibri" w:hAnsi="Calibri" w:eastAsia="宋体" w:cs="Times New Roman"/>
      <w:kern w:val="2"/>
      <w:sz w:val="21"/>
      <w:szCs w:val="24"/>
      <w:lang w:val="en-US" w:eastAsia="zh-CN" w:bidi="ar-SA"/>
    </w:rPr>
  </w:style>
  <w:style w:type="table" w:customStyle="1" w:styleId="26">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Table Text"/>
    <w:basedOn w:val="1"/>
    <w:semiHidden/>
    <w:qFormat/>
    <w:uiPriority w:val="0"/>
    <w:rPr>
      <w:rFonts w:ascii="宋体" w:hAnsi="宋体" w:cs="宋体"/>
      <w:sz w:val="20"/>
      <w:szCs w:val="20"/>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styleId="29">
    <w:name w:val="List Paragraph"/>
    <w:basedOn w:val="1"/>
    <w:unhideWhenUsed/>
    <w:qFormat/>
    <w:uiPriority w:val="99"/>
    <w:pPr>
      <w:ind w:firstLine="420" w:firstLineChars="200"/>
    </w:pPr>
  </w:style>
  <w:style w:type="character" w:customStyle="1" w:styleId="30">
    <w:name w:val="批注框文本 Char"/>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Company>
  <Pages>50</Pages>
  <Words>6746</Words>
  <Characters>6933</Characters>
  <Lines>160</Lines>
  <Paragraphs>45</Paragraphs>
  <TotalTime>4</TotalTime>
  <ScaleCrop>false</ScaleCrop>
  <LinksUpToDate>false</LinksUpToDate>
  <CharactersWithSpaces>7182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2025-12-18T07:33:00Z</dcterms:created>
  <dc:creator>Administrator</dc:creator>
  <cp:lastModifiedBy>三十年河东</cp:lastModifiedBy>
  <dcterms:modified xsi:type="dcterms:W3CDTF">2025-12-18T10:57:58Z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eyJoZGlkIjoiMmEzY2E3MzMxYTc3MTM3MjU1YWIyZWI0ZTU2NTBlZGIiLCJ1c2VySWQiOiIzNDY0NDk2MDIifQ==</vt:lpwstr>
  </property>
  <property fmtid="{D5CDD505-2E9C-101B-9397-08002B2CF9AE}" pid="4" name="ICV">
    <vt:lpwstr>48571FDD0C304289878F00E3494048C8_13</vt:lpwstr>
  </property>
</Properties>
</file>