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电力电缆、控制电缆采购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编号：SFLHG-GKBX-2025-HW134</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9</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电力电缆采购比选文件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编号：SFLHG-GKBX-2025-HW134</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四川宏达股份有限公司什邡磷化工分公司因技改需要，需采购电力电缆、控制电缆1批，本着“公开、公平、公正”的原则，现对该标的物进行公开比选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电力电缆、控制电缆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00"/>
        <w:gridCol w:w="3400"/>
        <w:gridCol w:w="830"/>
        <w:gridCol w:w="770"/>
        <w:gridCol w:w="248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83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7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480"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300" w:type="dxa"/>
            <w:tcBorders>
              <w:left w:val="single" w:color="auto" w:sz="4" w:space="0"/>
            </w:tcBorders>
            <w:noWrap w:val="0"/>
            <w:vAlign w:val="center"/>
          </w:tcPr>
          <w:p w14:paraId="4F858C31">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3A3BF3C7">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3*25+1*16</w:t>
            </w:r>
          </w:p>
        </w:tc>
        <w:tc>
          <w:tcPr>
            <w:tcW w:w="83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w:t>
            </w:r>
          </w:p>
        </w:tc>
        <w:tc>
          <w:tcPr>
            <w:tcW w:w="77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right w:val="single" w:color="auto" w:sz="4" w:space="0"/>
            </w:tcBorders>
            <w:noWrap w:val="0"/>
            <w:vAlign w:val="center"/>
          </w:tcPr>
          <w:p w14:paraId="1EFBD48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复肥厂生产物资</w:t>
            </w:r>
          </w:p>
        </w:tc>
      </w:tr>
      <w:tr w14:paraId="66FA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FECFC2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1300" w:type="dxa"/>
            <w:tcBorders>
              <w:left w:val="single" w:color="auto" w:sz="4" w:space="0"/>
            </w:tcBorders>
            <w:noWrap w:val="0"/>
            <w:vAlign w:val="center"/>
          </w:tcPr>
          <w:p w14:paraId="517EC638">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15802316">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ZA-KVVRP-0.45/0.75  15*1.0</w:t>
            </w:r>
          </w:p>
        </w:tc>
        <w:tc>
          <w:tcPr>
            <w:tcW w:w="830" w:type="dxa"/>
            <w:tcBorders>
              <w:left w:val="single" w:color="auto" w:sz="4" w:space="0"/>
              <w:right w:val="single" w:color="auto" w:sz="4" w:space="0"/>
            </w:tcBorders>
            <w:noWrap w:val="0"/>
            <w:vAlign w:val="center"/>
          </w:tcPr>
          <w:p w14:paraId="0FACFEF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770" w:type="dxa"/>
            <w:tcBorders>
              <w:top w:val="single" w:color="auto" w:sz="4" w:space="0"/>
              <w:bottom w:val="single" w:color="auto" w:sz="4" w:space="0"/>
              <w:right w:val="single" w:color="auto" w:sz="4" w:space="0"/>
            </w:tcBorders>
            <w:noWrap w:val="0"/>
            <w:vAlign w:val="center"/>
          </w:tcPr>
          <w:p w14:paraId="0AA10D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1FE258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建材厂20万吨粉线成品均化系统改造</w:t>
            </w:r>
          </w:p>
        </w:tc>
      </w:tr>
      <w:tr w14:paraId="57DA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B3C735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1300" w:type="dxa"/>
            <w:tcBorders>
              <w:left w:val="single" w:color="auto" w:sz="4" w:space="0"/>
            </w:tcBorders>
            <w:noWrap w:val="0"/>
            <w:vAlign w:val="center"/>
          </w:tcPr>
          <w:p w14:paraId="1DDFAD6E">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207A3E1C">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ZC-KVVP-0.45/0.75  10*1.5</w:t>
            </w:r>
          </w:p>
        </w:tc>
        <w:tc>
          <w:tcPr>
            <w:tcW w:w="830" w:type="dxa"/>
            <w:tcBorders>
              <w:left w:val="single" w:color="auto" w:sz="4" w:space="0"/>
              <w:right w:val="single" w:color="auto" w:sz="4" w:space="0"/>
            </w:tcBorders>
            <w:noWrap w:val="0"/>
            <w:vAlign w:val="center"/>
          </w:tcPr>
          <w:p w14:paraId="61BB69E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900</w:t>
            </w:r>
          </w:p>
        </w:tc>
        <w:tc>
          <w:tcPr>
            <w:tcW w:w="770" w:type="dxa"/>
            <w:tcBorders>
              <w:top w:val="single" w:color="auto" w:sz="4" w:space="0"/>
              <w:bottom w:val="single" w:color="auto" w:sz="4" w:space="0"/>
              <w:right w:val="single" w:color="auto" w:sz="4" w:space="0"/>
            </w:tcBorders>
            <w:noWrap w:val="0"/>
            <w:vAlign w:val="center"/>
          </w:tcPr>
          <w:p w14:paraId="6536261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5EAE19E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建材厂20万吨粉线成品均化系统改造</w:t>
            </w:r>
          </w:p>
        </w:tc>
      </w:tr>
      <w:tr w14:paraId="11168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8FA6C8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1300" w:type="dxa"/>
            <w:tcBorders>
              <w:left w:val="single" w:color="auto" w:sz="4" w:space="0"/>
            </w:tcBorders>
            <w:noWrap w:val="0"/>
            <w:vAlign w:val="center"/>
          </w:tcPr>
          <w:p w14:paraId="68C19C97">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2C2BA50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ZA-KVVRP-0.45/0.75  2*1.5</w:t>
            </w:r>
          </w:p>
        </w:tc>
        <w:tc>
          <w:tcPr>
            <w:tcW w:w="830" w:type="dxa"/>
            <w:tcBorders>
              <w:left w:val="single" w:color="auto" w:sz="4" w:space="0"/>
              <w:right w:val="single" w:color="auto" w:sz="4" w:space="0"/>
            </w:tcBorders>
            <w:noWrap w:val="0"/>
            <w:vAlign w:val="center"/>
          </w:tcPr>
          <w:p w14:paraId="4EDAA4C3">
            <w:pPr>
              <w:keepNext w:val="0"/>
              <w:keepLines w:val="0"/>
              <w:widowControl/>
              <w:suppressLineNumbers w:val="0"/>
              <w:jc w:val="righ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2000 </w:t>
            </w:r>
          </w:p>
        </w:tc>
        <w:tc>
          <w:tcPr>
            <w:tcW w:w="770" w:type="dxa"/>
            <w:tcBorders>
              <w:top w:val="single" w:color="auto" w:sz="4" w:space="0"/>
              <w:bottom w:val="single" w:color="auto" w:sz="4" w:space="0"/>
              <w:right w:val="single" w:color="auto" w:sz="4" w:space="0"/>
            </w:tcBorders>
            <w:noWrap w:val="0"/>
            <w:vAlign w:val="center"/>
          </w:tcPr>
          <w:p w14:paraId="5C51605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47065CB0">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硫酸厂罐区DCS改造</w:t>
            </w: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w:t>
      </w:r>
      <w:r>
        <w:rPr>
          <w:rFonts w:ascii="黑体" w:hAnsi="黑体" w:eastAsia="黑体" w:cs="宋体"/>
          <w:kern w:val="0"/>
          <w:sz w:val="28"/>
          <w:szCs w:val="28"/>
        </w:rPr>
        <w:t xml:space="preserve"> GB/T9330-2020</w:t>
      </w:r>
      <w:r>
        <w:rPr>
          <w:rFonts w:hint="eastAsia" w:ascii="黑体" w:hAnsi="黑体" w:eastAsia="黑体" w:cs="宋体"/>
          <w:kern w:val="0"/>
          <w:sz w:val="28"/>
          <w:szCs w:val="28"/>
          <w:lang w:eastAsia="zh-CN"/>
        </w:rPr>
        <w:t>、</w:t>
      </w:r>
      <w:r>
        <w:rPr>
          <w:rFonts w:hint="eastAsia" w:ascii="黑体" w:hAnsi="黑体" w:eastAsia="黑体" w:cs="黑体"/>
          <w:sz w:val="28"/>
          <w:szCs w:val="28"/>
          <w:lang w:val="en-US" w:eastAsia="zh-CN"/>
        </w:rPr>
        <w:t>TICW/06-2009</w:t>
      </w:r>
      <w:r>
        <w:rPr>
          <w:rFonts w:hint="eastAsia" w:ascii="黑体" w:hAnsi="黑体" w:eastAsia="黑体" w:cs="宋体"/>
          <w:kern w:val="0"/>
          <w:sz w:val="28"/>
          <w:szCs w:val="28"/>
        </w:rPr>
        <w:t>等国标执行。电缆铜芯采用99.9%无氧铜杆；绝缘材料采用国内一线知名生产商产品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2025年12月10日10时 00 分至 2025年12月15日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 15日10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3B2D9B7B">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本项目采用合理最低价法进行比选。由比选人根据投标人报价函、付款方式等进行综合评审后确定中选人。</w:t>
      </w:r>
    </w:p>
    <w:p w14:paraId="61A92E0B">
      <w:pPr>
        <w:numPr>
          <w:ilvl w:val="0"/>
          <w:numId w:val="0"/>
        </w:numPr>
        <w:spacing w:line="420" w:lineRule="exact"/>
        <w:rPr>
          <w:rFonts w:hint="default" w:ascii="黑体" w:hAnsi="黑体" w:eastAsia="黑体" w:cs="Times New Roman"/>
          <w:sz w:val="28"/>
          <w:szCs w:val="28"/>
          <w:lang w:val="en-US" w:eastAsia="zh-CN"/>
        </w:rPr>
      </w:pPr>
      <w:r>
        <w:rPr>
          <w:rFonts w:hint="eastAsia" w:ascii="黑体" w:hAnsi="黑体" w:eastAsia="黑体" w:cs="仿宋_GB2312"/>
          <w:sz w:val="28"/>
          <w:szCs w:val="28"/>
          <w:lang w:val="en-US" w:eastAsia="zh-CN"/>
        </w:rPr>
        <w:t>②最终价格确认：比选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92215元/吨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进行电缆报价。以中选通知书发出当日的上海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val="en-US" w:eastAsia="zh-CN"/>
        </w:rPr>
        <w:t>价格</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对比202</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均价（92215元/吨）</w:t>
      </w:r>
      <w:r>
        <w:rPr>
          <w:rFonts w:hint="eastAsia" w:ascii="黑体" w:hAnsi="黑体" w:eastAsia="黑体" w:cs="宋体"/>
          <w:kern w:val="0"/>
          <w:sz w:val="28"/>
          <w:szCs w:val="28"/>
        </w:rPr>
        <w:t>，每上涨或下降1000元（含）以上，电缆单价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r>
        <w:rPr>
          <w:rFonts w:hint="eastAsia" w:ascii="黑体" w:hAnsi="黑体" w:eastAsia="黑体" w:cs="宋体"/>
          <w:kern w:val="0"/>
          <w:sz w:val="28"/>
          <w:szCs w:val="28"/>
          <w:lang w:val="en-US" w:eastAsia="zh-CN"/>
        </w:rPr>
        <w:t>中标通知书发出当日</w:t>
      </w:r>
      <w:r>
        <w:rPr>
          <w:rFonts w:hint="eastAsia" w:ascii="黑体" w:hAnsi="黑体" w:eastAsia="黑体" w:cs="宋体"/>
          <w:kern w:val="0"/>
          <w:sz w:val="28"/>
          <w:szCs w:val="28"/>
        </w:rPr>
        <w:t>立即确认中标单位并锁定中标产品价格。</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李登成13890279539  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日</w:t>
      </w:r>
    </w:p>
    <w:p w14:paraId="12331C79">
      <w:pPr>
        <w:pStyle w:val="49"/>
        <w:rPr>
          <w:rFonts w:hint="eastAsia"/>
        </w:rPr>
      </w:pPr>
    </w:p>
    <w:p w14:paraId="5EA652D1">
      <w:pPr>
        <w:spacing w:line="360" w:lineRule="exact"/>
        <w:rPr>
          <w:rFonts w:hint="eastAsia" w:ascii="黑体" w:hAnsi="黑体" w:eastAsia="黑体" w:cs="宋体"/>
          <w:b/>
          <w:kern w:val="0"/>
          <w:sz w:val="28"/>
          <w:szCs w:val="28"/>
          <w:lang w:val="en-US" w:eastAsia="zh-CN"/>
        </w:rPr>
      </w:pPr>
    </w:p>
    <w:p w14:paraId="5EDE6FE8">
      <w:pPr>
        <w:spacing w:line="360" w:lineRule="exact"/>
        <w:rPr>
          <w:rFonts w:hint="eastAsia" w:ascii="黑体" w:hAnsi="黑体" w:eastAsia="黑体" w:cs="宋体"/>
          <w:b/>
          <w:kern w:val="0"/>
          <w:sz w:val="28"/>
          <w:szCs w:val="28"/>
          <w:lang w:val="en-US" w:eastAsia="zh-CN"/>
        </w:rPr>
      </w:pPr>
    </w:p>
    <w:p w14:paraId="6AF4419B">
      <w:pPr>
        <w:spacing w:line="360" w:lineRule="exact"/>
        <w:rPr>
          <w:rFonts w:hint="eastAsia" w:ascii="黑体" w:hAnsi="黑体" w:eastAsia="黑体" w:cs="宋体"/>
          <w:b/>
          <w:kern w:val="0"/>
          <w:sz w:val="28"/>
          <w:szCs w:val="28"/>
          <w:lang w:val="en-US" w:eastAsia="zh-CN"/>
        </w:rPr>
      </w:pPr>
    </w:p>
    <w:p w14:paraId="466FB90F">
      <w:pPr>
        <w:spacing w:line="360" w:lineRule="exact"/>
        <w:rPr>
          <w:rFonts w:hint="eastAsia" w:ascii="黑体" w:hAnsi="黑体" w:eastAsia="黑体" w:cs="宋体"/>
          <w:b/>
          <w:kern w:val="0"/>
          <w:sz w:val="28"/>
          <w:szCs w:val="28"/>
          <w:lang w:val="en-US" w:eastAsia="zh-CN"/>
        </w:rPr>
      </w:pPr>
    </w:p>
    <w:p w14:paraId="5C4F9462">
      <w:pPr>
        <w:spacing w:line="360" w:lineRule="exact"/>
        <w:rPr>
          <w:rFonts w:hint="eastAsia" w:ascii="黑体" w:hAnsi="黑体" w:eastAsia="黑体" w:cs="宋体"/>
          <w:b/>
          <w:kern w:val="0"/>
          <w:sz w:val="28"/>
          <w:szCs w:val="28"/>
          <w:lang w:val="en-US" w:eastAsia="zh-CN"/>
        </w:rPr>
      </w:pPr>
    </w:p>
    <w:p w14:paraId="2FD4FD55">
      <w:pPr>
        <w:spacing w:line="360" w:lineRule="exact"/>
        <w:rPr>
          <w:rFonts w:hint="eastAsia" w:ascii="黑体" w:hAnsi="黑体" w:eastAsia="黑体" w:cs="宋体"/>
          <w:b/>
          <w:kern w:val="0"/>
          <w:sz w:val="28"/>
          <w:szCs w:val="28"/>
          <w:lang w:val="en-US" w:eastAsia="zh-CN"/>
        </w:rPr>
      </w:pPr>
    </w:p>
    <w:p w14:paraId="173AC0BB">
      <w:pPr>
        <w:spacing w:line="360" w:lineRule="exact"/>
        <w:rPr>
          <w:rFonts w:hint="eastAsia" w:ascii="黑体" w:hAnsi="黑体" w:eastAsia="黑体" w:cs="宋体"/>
          <w:b/>
          <w:kern w:val="0"/>
          <w:sz w:val="28"/>
          <w:szCs w:val="28"/>
          <w:lang w:val="en-US" w:eastAsia="zh-CN"/>
        </w:rPr>
      </w:pPr>
    </w:p>
    <w:p w14:paraId="1FC7C989">
      <w:pPr>
        <w:spacing w:line="360" w:lineRule="exact"/>
        <w:rPr>
          <w:rFonts w:hint="eastAsia" w:ascii="黑体" w:hAnsi="黑体" w:eastAsia="黑体" w:cs="宋体"/>
          <w:b/>
          <w:kern w:val="0"/>
          <w:sz w:val="28"/>
          <w:szCs w:val="28"/>
          <w:lang w:val="en-US" w:eastAsia="zh-CN"/>
        </w:rPr>
      </w:pPr>
    </w:p>
    <w:p w14:paraId="67662C89">
      <w:pPr>
        <w:spacing w:line="360" w:lineRule="exact"/>
        <w:rPr>
          <w:rFonts w:hint="eastAsia" w:ascii="黑体" w:hAnsi="黑体" w:eastAsia="黑体" w:cs="宋体"/>
          <w:b/>
          <w:kern w:val="0"/>
          <w:sz w:val="28"/>
          <w:szCs w:val="28"/>
          <w:lang w:val="en-US" w:eastAsia="zh-CN"/>
        </w:rPr>
      </w:pPr>
    </w:p>
    <w:p w14:paraId="2FA186E0">
      <w:pPr>
        <w:spacing w:line="360" w:lineRule="exact"/>
        <w:rPr>
          <w:rFonts w:hint="eastAsia" w:ascii="黑体" w:hAnsi="黑体" w:eastAsia="黑体" w:cs="宋体"/>
          <w:b/>
          <w:kern w:val="0"/>
          <w:sz w:val="28"/>
          <w:szCs w:val="28"/>
          <w:lang w:val="en-US" w:eastAsia="zh-CN"/>
        </w:rPr>
      </w:pPr>
    </w:p>
    <w:p w14:paraId="64039E34">
      <w:pPr>
        <w:spacing w:line="360" w:lineRule="exact"/>
        <w:rPr>
          <w:rFonts w:hint="eastAsia" w:ascii="黑体" w:hAnsi="黑体" w:eastAsia="黑体" w:cs="宋体"/>
          <w:b/>
          <w:kern w:val="0"/>
          <w:sz w:val="28"/>
          <w:szCs w:val="28"/>
          <w:lang w:val="en-US" w:eastAsia="zh-CN"/>
        </w:rPr>
      </w:pPr>
    </w:p>
    <w:p w14:paraId="2F61CBFD">
      <w:pPr>
        <w:spacing w:line="360" w:lineRule="exact"/>
        <w:rPr>
          <w:rFonts w:hint="eastAsia" w:ascii="黑体" w:hAnsi="黑体" w:eastAsia="黑体" w:cs="宋体"/>
          <w:b/>
          <w:kern w:val="0"/>
          <w:sz w:val="28"/>
          <w:szCs w:val="28"/>
          <w:lang w:val="en-US" w:eastAsia="zh-CN"/>
        </w:rPr>
      </w:pPr>
    </w:p>
    <w:p w14:paraId="4EDC3C50">
      <w:pPr>
        <w:spacing w:line="360" w:lineRule="exact"/>
        <w:rPr>
          <w:rFonts w:hint="eastAsia" w:ascii="黑体" w:hAnsi="黑体" w:eastAsia="黑体" w:cs="宋体"/>
          <w:b/>
          <w:kern w:val="0"/>
          <w:sz w:val="28"/>
          <w:szCs w:val="28"/>
          <w:lang w:val="en-US" w:eastAsia="zh-CN"/>
        </w:rPr>
      </w:pPr>
    </w:p>
    <w:p w14:paraId="6E45DDBF">
      <w:pPr>
        <w:spacing w:line="360" w:lineRule="exact"/>
        <w:rPr>
          <w:rFonts w:hint="eastAsia" w:ascii="黑体" w:hAnsi="黑体" w:eastAsia="黑体" w:cs="宋体"/>
          <w:b/>
          <w:kern w:val="0"/>
          <w:sz w:val="28"/>
          <w:szCs w:val="28"/>
          <w:lang w:val="en-US" w:eastAsia="zh-CN"/>
        </w:rPr>
      </w:pPr>
    </w:p>
    <w:p w14:paraId="70484C31">
      <w:pPr>
        <w:spacing w:line="360" w:lineRule="exact"/>
        <w:rPr>
          <w:rFonts w:hint="eastAsia" w:ascii="黑体" w:hAnsi="黑体" w:eastAsia="黑体" w:cs="宋体"/>
          <w:b/>
          <w:kern w:val="0"/>
          <w:sz w:val="28"/>
          <w:szCs w:val="28"/>
          <w:lang w:val="en-US" w:eastAsia="zh-CN"/>
        </w:rPr>
      </w:pPr>
    </w:p>
    <w:p w14:paraId="4474F81C">
      <w:pPr>
        <w:spacing w:line="360" w:lineRule="exact"/>
        <w:rPr>
          <w:rFonts w:hint="eastAsia" w:ascii="黑体" w:hAnsi="黑体" w:eastAsia="黑体" w:cs="宋体"/>
          <w:b/>
          <w:kern w:val="0"/>
          <w:sz w:val="28"/>
          <w:szCs w:val="28"/>
          <w:lang w:val="en-US" w:eastAsia="zh-CN"/>
        </w:rPr>
      </w:pPr>
    </w:p>
    <w:p w14:paraId="74A99CC5">
      <w:pPr>
        <w:spacing w:line="360" w:lineRule="exact"/>
        <w:rPr>
          <w:rFonts w:hint="eastAsia" w:ascii="黑体" w:hAnsi="黑体" w:eastAsia="黑体" w:cs="宋体"/>
          <w:b/>
          <w:kern w:val="0"/>
          <w:sz w:val="28"/>
          <w:szCs w:val="28"/>
          <w:lang w:val="en-US" w:eastAsia="zh-CN"/>
        </w:rPr>
      </w:pPr>
    </w:p>
    <w:p w14:paraId="7AABCD7E">
      <w:pPr>
        <w:spacing w:line="360" w:lineRule="exact"/>
        <w:rPr>
          <w:rFonts w:hint="eastAsia" w:ascii="黑体" w:hAnsi="黑体" w:eastAsia="黑体" w:cs="宋体"/>
          <w:b/>
          <w:kern w:val="0"/>
          <w:sz w:val="28"/>
          <w:szCs w:val="28"/>
          <w:lang w:val="en-US" w:eastAsia="zh-CN"/>
        </w:rPr>
      </w:pPr>
    </w:p>
    <w:p w14:paraId="5321AC61">
      <w:pPr>
        <w:spacing w:line="360" w:lineRule="exact"/>
        <w:rPr>
          <w:rFonts w:hint="eastAsia" w:ascii="黑体" w:hAnsi="黑体" w:eastAsia="黑体" w:cs="宋体"/>
          <w:b/>
          <w:kern w:val="0"/>
          <w:sz w:val="28"/>
          <w:szCs w:val="28"/>
          <w:lang w:val="en-US" w:eastAsia="zh-CN"/>
        </w:rPr>
      </w:pPr>
    </w:p>
    <w:p w14:paraId="405E1864">
      <w:pPr>
        <w:spacing w:line="360" w:lineRule="exact"/>
        <w:rPr>
          <w:rFonts w:hint="eastAsia" w:ascii="黑体" w:hAnsi="黑体" w:eastAsia="黑体" w:cs="宋体"/>
          <w:b/>
          <w:kern w:val="0"/>
          <w:sz w:val="28"/>
          <w:szCs w:val="28"/>
          <w:lang w:val="en-US" w:eastAsia="zh-CN"/>
        </w:rPr>
      </w:pPr>
    </w:p>
    <w:p w14:paraId="087D7250">
      <w:pPr>
        <w:spacing w:line="360" w:lineRule="exact"/>
        <w:rPr>
          <w:rFonts w:hint="eastAsia" w:ascii="黑体" w:hAnsi="黑体" w:eastAsia="黑体" w:cs="宋体"/>
          <w:b/>
          <w:kern w:val="0"/>
          <w:sz w:val="28"/>
          <w:szCs w:val="28"/>
          <w:lang w:val="en-US" w:eastAsia="zh-CN"/>
        </w:rPr>
      </w:pPr>
    </w:p>
    <w:p w14:paraId="6B16D494">
      <w:pPr>
        <w:spacing w:line="360" w:lineRule="exact"/>
        <w:rPr>
          <w:rFonts w:hint="eastAsia" w:ascii="黑体" w:hAnsi="黑体" w:eastAsia="黑体" w:cs="宋体"/>
          <w:b/>
          <w:kern w:val="0"/>
          <w:sz w:val="28"/>
          <w:szCs w:val="28"/>
          <w:lang w:val="en-US" w:eastAsia="zh-CN"/>
        </w:rPr>
      </w:pPr>
    </w:p>
    <w:p w14:paraId="7225673D">
      <w:pPr>
        <w:spacing w:line="360" w:lineRule="exact"/>
        <w:rPr>
          <w:rFonts w:hint="eastAsia" w:ascii="黑体" w:hAnsi="黑体" w:eastAsia="黑体" w:cs="宋体"/>
          <w:b/>
          <w:kern w:val="0"/>
          <w:sz w:val="28"/>
          <w:szCs w:val="28"/>
          <w:lang w:val="en-US" w:eastAsia="zh-CN"/>
        </w:rPr>
      </w:pPr>
    </w:p>
    <w:p w14:paraId="1E235D85">
      <w:pPr>
        <w:spacing w:line="360" w:lineRule="exact"/>
        <w:rPr>
          <w:rFonts w:hint="eastAsia" w:ascii="黑体" w:hAnsi="黑体" w:eastAsia="黑体" w:cs="宋体"/>
          <w:b/>
          <w:kern w:val="0"/>
          <w:sz w:val="28"/>
          <w:szCs w:val="28"/>
          <w:lang w:val="en-US" w:eastAsia="zh-CN"/>
        </w:rPr>
      </w:pPr>
    </w:p>
    <w:p w14:paraId="1DA9D3AD">
      <w:pPr>
        <w:spacing w:line="360" w:lineRule="exact"/>
        <w:rPr>
          <w:rFonts w:hint="eastAsia" w:ascii="黑体" w:hAnsi="黑体" w:eastAsia="黑体" w:cs="宋体"/>
          <w:b/>
          <w:kern w:val="0"/>
          <w:sz w:val="28"/>
          <w:szCs w:val="28"/>
          <w:lang w:val="en-US" w:eastAsia="zh-CN"/>
        </w:rPr>
      </w:pPr>
    </w:p>
    <w:p w14:paraId="0B8161DA">
      <w:pPr>
        <w:spacing w:line="360" w:lineRule="exact"/>
        <w:rPr>
          <w:rFonts w:hint="eastAsia" w:ascii="黑体" w:hAnsi="黑体" w:eastAsia="黑体" w:cs="宋体"/>
          <w:b/>
          <w:kern w:val="0"/>
          <w:sz w:val="28"/>
          <w:szCs w:val="28"/>
          <w:lang w:val="en-US" w:eastAsia="zh-CN"/>
        </w:rPr>
      </w:pPr>
    </w:p>
    <w:p w14:paraId="1AD2AF24">
      <w:pPr>
        <w:spacing w:line="360" w:lineRule="exact"/>
        <w:rPr>
          <w:rFonts w:hint="eastAsia" w:ascii="黑体" w:hAnsi="黑体" w:eastAsia="黑体" w:cs="宋体"/>
          <w:b/>
          <w:kern w:val="0"/>
          <w:sz w:val="28"/>
          <w:szCs w:val="28"/>
          <w:lang w:val="en-US" w:eastAsia="zh-CN"/>
        </w:rPr>
      </w:pPr>
    </w:p>
    <w:p w14:paraId="19995396">
      <w:pPr>
        <w:spacing w:line="360" w:lineRule="exact"/>
        <w:rPr>
          <w:rFonts w:hint="eastAsia" w:ascii="黑体" w:hAnsi="黑体" w:eastAsia="黑体" w:cs="宋体"/>
          <w:b/>
          <w:kern w:val="0"/>
          <w:sz w:val="28"/>
          <w:szCs w:val="28"/>
          <w:lang w:val="en-US" w:eastAsia="zh-CN"/>
        </w:rPr>
      </w:pPr>
    </w:p>
    <w:p w14:paraId="56605BB0">
      <w:pPr>
        <w:spacing w:line="360" w:lineRule="exact"/>
        <w:rPr>
          <w:rFonts w:hint="eastAsia" w:ascii="黑体" w:hAnsi="黑体" w:eastAsia="黑体" w:cs="宋体"/>
          <w:b/>
          <w:kern w:val="0"/>
          <w:sz w:val="28"/>
          <w:szCs w:val="28"/>
          <w:lang w:val="en-US" w:eastAsia="zh-CN"/>
        </w:rPr>
      </w:pPr>
    </w:p>
    <w:p w14:paraId="4E131454">
      <w:pPr>
        <w:spacing w:line="360" w:lineRule="exact"/>
        <w:rPr>
          <w:rFonts w:hint="eastAsia" w:ascii="黑体" w:hAnsi="黑体" w:eastAsia="黑体" w:cs="宋体"/>
          <w:b/>
          <w:kern w:val="0"/>
          <w:sz w:val="28"/>
          <w:szCs w:val="28"/>
          <w:lang w:val="en-US" w:eastAsia="zh-CN"/>
        </w:rPr>
      </w:pPr>
    </w:p>
    <w:p w14:paraId="25B3B14D">
      <w:pPr>
        <w:spacing w:line="360" w:lineRule="exact"/>
        <w:rPr>
          <w:rFonts w:hint="eastAsia" w:ascii="黑体" w:hAnsi="黑体" w:eastAsia="黑体" w:cs="宋体"/>
          <w:b/>
          <w:kern w:val="0"/>
          <w:sz w:val="28"/>
          <w:szCs w:val="28"/>
          <w:lang w:val="en-US" w:eastAsia="zh-CN"/>
        </w:rPr>
      </w:pPr>
      <w:bookmarkStart w:id="6" w:name="_GoBack"/>
      <w:bookmarkEnd w:id="6"/>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电力电缆、控制电缆采购项目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5.随货提供标的物合格证及检测报告。</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4426</Words>
  <Characters>5069</Characters>
  <Lines>16</Lines>
  <Paragraphs>4</Paragraphs>
  <TotalTime>7</TotalTime>
  <ScaleCrop>false</ScaleCrop>
  <LinksUpToDate>false</LinksUpToDate>
  <CharactersWithSpaces>5978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2025-12-09T06:20:26Z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2052-12.1.0.24034</vt:lpwstr>
  </property>
  <property fmtid="{D5CDD505-2E9C-101B-9397-08002B2CF9AE}" pid="4" name="ICV">
    <vt:lpwstr>638278A91B6247A3A14F33886A0DB3EB_13</vt:lpwstr>
  </property>
</Properties>
</file>