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sz w:val="48"/>
          <w:szCs w:val="48"/>
          <w:highlight w:val="none"/>
          <w:lang w:eastAsia="zh-CN"/>
        </w:rPr>
      </w:pPr>
    </w:p>
    <w:p w14:paraId="294CAA8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FF0000"/>
          <w:sz w:val="84"/>
          <w:szCs w:val="84"/>
          <w:highlight w:val="none"/>
          <w:lang w:val="zh-CN"/>
        </w:rPr>
      </w:pPr>
      <w:r>
        <w:rPr>
          <w:rFonts w:hint="eastAsia" w:ascii="宋体" w:hAnsi="宋体" w:cs="宋体"/>
          <w:b/>
          <w:bCs/>
          <w:color w:val="FF0000"/>
          <w:sz w:val="48"/>
          <w:szCs w:val="48"/>
          <w:highlight w:val="none"/>
          <w:lang w:val="en-US" w:eastAsia="zh-CN"/>
        </w:rPr>
        <w:t>2026年电力市场化交易代理服务</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jc w:val="center"/>
        <w:rPr>
          <w:rFonts w:hint="default"/>
          <w:lang w:val="en-US" w:eastAsia="zh-CN"/>
        </w:rPr>
      </w:pPr>
      <w:r>
        <w:rPr>
          <w:rFonts w:hint="eastAsia" w:ascii="黑体" w:hAnsi="黑体" w:eastAsia="黑体" w:cs="宋体"/>
          <w:b/>
          <w:color w:val="FF0000"/>
          <w:kern w:val="0"/>
          <w:sz w:val="32"/>
          <w:szCs w:val="32"/>
          <w:lang w:val="en-US" w:eastAsia="zh-CN"/>
        </w:rPr>
        <w:t>编号：HDGF-GKBX-2025-FW35</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8</w:t>
      </w:r>
      <w:r>
        <w:rPr>
          <w:rFonts w:hint="eastAsia" w:cs="黑体" w:asciiTheme="minorEastAsia" w:hAnsiTheme="minorEastAsia" w:eastAsiaTheme="minorEastAsia"/>
          <w:b/>
          <w:bCs/>
          <w:sz w:val="30"/>
          <w:szCs w:val="30"/>
          <w:highlight w:val="none"/>
          <w:lang w:val="en-US" w:eastAsia="zh-CN"/>
        </w:rPr>
        <w:t>日</w:t>
      </w:r>
    </w:p>
    <w:p w14:paraId="29CE1B46">
      <w:pPr>
        <w:jc w:val="center"/>
        <w:rPr>
          <w:rFonts w:hint="eastAsia"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rPr>
        <w:t>2026年电力市场化交易代理服务比选</w:t>
      </w:r>
      <w:r>
        <w:rPr>
          <w:rFonts w:hint="eastAsia" w:ascii="黑体" w:hAnsi="黑体" w:eastAsia="黑体" w:cs="宋体"/>
          <w:b/>
          <w:color w:val="333333"/>
          <w:kern w:val="0"/>
          <w:sz w:val="32"/>
          <w:szCs w:val="32"/>
          <w:lang w:val="en-US" w:eastAsia="zh-CN"/>
        </w:rPr>
        <w:t>文件</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根据《四川省2026年电力市场交易总体方案》、《四川电力市场规则体系V4.0》和《关于开展2026年四川省内电力市场年度交易的通知》文件精神，四川宏达股份有限公司拟于近期开展2026年直购电业务招标工作</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themeColor="text1"/>
          <w:kern w:val="0"/>
          <w:sz w:val="28"/>
          <w:szCs w:val="28"/>
          <w:lang w:val="en-US" w:eastAsia="zh-CN"/>
          <w14:textFill>
            <w14:solidFill>
              <w14:schemeClr w14:val="tx1"/>
            </w14:solidFill>
          </w14:textFill>
        </w:rPr>
        <w:t>四川宏达股份有限公司2026年电力市场化交易代理服务</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57E5E844">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一、服务内容</w:t>
      </w:r>
    </w:p>
    <w:p w14:paraId="4B3F99B5">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1.1.服务内容</w:t>
      </w:r>
      <w:r>
        <w:rPr>
          <w:rFonts w:hint="eastAsia" w:ascii="黑体" w:hAnsi="黑体" w:eastAsia="黑体" w:cs="宋体"/>
          <w:kern w:val="0"/>
          <w:sz w:val="28"/>
          <w:szCs w:val="28"/>
        </w:rPr>
        <w:t>：</w:t>
      </w:r>
      <w:r>
        <w:rPr>
          <w:rFonts w:hint="eastAsia" w:ascii="黑体" w:hAnsi="黑体" w:eastAsia="黑体" w:cs="宋体"/>
          <w:kern w:val="0"/>
          <w:sz w:val="28"/>
          <w:szCs w:val="28"/>
          <w:lang w:eastAsia="zh-CN"/>
        </w:rPr>
        <w:t>四川宏达股份有限公司2026年电力市场化交易代理服务</w:t>
      </w:r>
      <w:r>
        <w:rPr>
          <w:rFonts w:hint="eastAsia" w:ascii="黑体" w:hAnsi="黑体" w:eastAsia="黑体" w:cs="宋体"/>
          <w:kern w:val="0"/>
          <w:sz w:val="28"/>
          <w:szCs w:val="28"/>
        </w:rPr>
        <w:t>。</w:t>
      </w:r>
    </w:p>
    <w:p w14:paraId="05088E5F">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1.2.公司各用电单元2026年预计用电量（详见附表一）：</w:t>
      </w:r>
    </w:p>
    <w:p w14:paraId="27B8A6F7">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1.2.1.宏达股份有色分公司（10kV），约为2.38亿千瓦时；</w:t>
      </w:r>
    </w:p>
    <w:p w14:paraId="3F06982D">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1.2.2.宏达股份磷化工分公司（35kV），约为0.96亿千瓦时；</w:t>
      </w:r>
    </w:p>
    <w:p w14:paraId="1E387B51">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1.2.3.四川绵竹川润化工有限公司（110kV），约为1.49亿千瓦时；</w:t>
      </w:r>
    </w:p>
    <w:p w14:paraId="66C937B6">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1.2.4.四川宏达金桥大酒店有限公司（10kV），约为163万千瓦时。</w:t>
      </w:r>
    </w:p>
    <w:p w14:paraId="7DF23E7A">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 xml:space="preserve">1.3.标段划分及报价要求（请仔细阅读） </w:t>
      </w:r>
    </w:p>
    <w:p w14:paraId="5153D1AB">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1.3.1.宏达股份有色分公司和宏达股份磷化工分公司作为一个标段，按常规直购电分水期报价。</w:t>
      </w:r>
    </w:p>
    <w:p w14:paraId="179F76FF">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1.3.2.四川绵竹川润化工有限公司和四川宏达金桥大酒店有限公司作为一个标段，按常规直购电分水期报价。</w:t>
      </w:r>
    </w:p>
    <w:p w14:paraId="6960656F">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1.3.3.各标段联动价格电量的比例为5%，售电公司批零收益分享基准为5元/兆瓦时，售电公司批零收益分享比例为80%（甲方获得）。</w:t>
      </w:r>
    </w:p>
    <w:p w14:paraId="566A44AD">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1.3.4.分日分时电价按分水期全天统一为一个价，保留4位小数（尾数为0时，也需填写）。</w:t>
      </w:r>
    </w:p>
    <w:p w14:paraId="36253A44">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1.4.</w:t>
      </w:r>
      <w:r>
        <w:rPr>
          <w:rFonts w:hint="eastAsia" w:ascii="黑体" w:hAnsi="黑体" w:eastAsia="黑体" w:cs="宋体"/>
          <w:kern w:val="0"/>
          <w:sz w:val="28"/>
          <w:szCs w:val="28"/>
        </w:rPr>
        <w:t>服务期限：</w:t>
      </w:r>
      <w:r>
        <w:rPr>
          <w:rFonts w:hint="eastAsia" w:ascii="黑体" w:hAnsi="黑体" w:eastAsia="黑体" w:cs="宋体"/>
          <w:kern w:val="0"/>
          <w:sz w:val="28"/>
          <w:szCs w:val="28"/>
          <w:lang w:val="en-US" w:eastAsia="zh-CN"/>
        </w:rPr>
        <w:t>2026年1月1日至2026年12月31日。</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二、比选人：四川宏达股份有限公司</w:t>
      </w:r>
    </w:p>
    <w:p w14:paraId="0C48047A">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E2E383C">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3.1资格评审</w:t>
      </w:r>
    </w:p>
    <w:p w14:paraId="6F4EA0DC">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3.1.1</w:t>
      </w:r>
      <w:r>
        <w:rPr>
          <w:rFonts w:hint="eastAsia" w:ascii="黑体" w:hAnsi="黑体" w:eastAsia="黑体" w:cs="宋体"/>
          <w:kern w:val="0"/>
          <w:sz w:val="28"/>
          <w:szCs w:val="28"/>
          <w:lang w:eastAsia="zh-CN"/>
        </w:rPr>
        <w:t>企业必须具有独立法人资格，具备中华人民共和国企业法人营业执照、</w:t>
      </w:r>
      <w:r>
        <w:rPr>
          <w:rFonts w:hint="eastAsia" w:ascii="黑体" w:hAnsi="黑体" w:eastAsia="黑体" w:cs="宋体"/>
          <w:kern w:val="0"/>
          <w:sz w:val="28"/>
          <w:szCs w:val="28"/>
          <w:lang w:val="en-US" w:eastAsia="zh-CN"/>
        </w:rPr>
        <w:t>并提供</w:t>
      </w:r>
      <w:r>
        <w:rPr>
          <w:rFonts w:hint="eastAsia" w:ascii="黑体" w:hAnsi="黑体" w:eastAsia="黑体" w:cs="宋体"/>
          <w:kern w:val="0"/>
          <w:sz w:val="28"/>
          <w:szCs w:val="28"/>
          <w:lang w:eastAsia="zh-CN"/>
        </w:rPr>
        <w:t>法人身份证及授权书等相关文件</w:t>
      </w:r>
      <w:r>
        <w:rPr>
          <w:rFonts w:hint="eastAsia" w:ascii="黑体" w:hAnsi="黑体" w:eastAsia="黑体" w:cs="宋体"/>
          <w:kern w:val="0"/>
          <w:sz w:val="28"/>
          <w:szCs w:val="28"/>
          <w:lang w:val="en-US" w:eastAsia="zh-CN"/>
        </w:rPr>
        <w:t>。</w:t>
      </w:r>
    </w:p>
    <w:p w14:paraId="2DDFBC30">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3.1.2近年来被四川省能源局、四川省电力交易中心纳入的市场主体，并通过四川省电力交易中心网站能够查询的售电企业（附网页截图）；</w:t>
      </w:r>
    </w:p>
    <w:p w14:paraId="2F7765DD">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3.1.3业绩要求：企业具有电力直接交易委托履行能力，具备电力市场交易实际操作、结算等经验；</w:t>
      </w:r>
    </w:p>
    <w:p w14:paraId="19CD31A9">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3.1.4信誉要求：</w:t>
      </w:r>
      <w:r>
        <w:rPr>
          <w:rFonts w:hint="eastAsia" w:ascii="微软雅黑" w:hAnsi="微软雅黑" w:eastAsia="微软雅黑" w:cs="微软雅黑"/>
          <w:kern w:val="0"/>
          <w:sz w:val="28"/>
          <w:szCs w:val="28"/>
          <w:lang w:val="en-US" w:eastAsia="zh-CN"/>
        </w:rPr>
        <w:t>①</w:t>
      </w:r>
      <w:r>
        <w:rPr>
          <w:rFonts w:hint="eastAsia" w:ascii="黑体" w:hAnsi="黑体" w:eastAsia="黑体" w:cs="宋体"/>
          <w:kern w:val="0"/>
          <w:sz w:val="28"/>
          <w:szCs w:val="28"/>
          <w:lang w:val="en-US" w:eastAsia="zh-CN"/>
        </w:rPr>
        <w:t>企业在履行购售电合同过程中无违约、无用户投诉承诺函；</w:t>
      </w:r>
    </w:p>
    <w:p w14:paraId="05C23D9A">
      <w:pPr>
        <w:spacing w:line="360" w:lineRule="exact"/>
        <w:rPr>
          <w:rFonts w:hint="eastAsia" w:ascii="黑体" w:hAnsi="黑体" w:eastAsia="黑体" w:cs="宋体"/>
          <w:kern w:val="0"/>
          <w:sz w:val="28"/>
          <w:szCs w:val="28"/>
          <w:lang w:val="en-US" w:eastAsia="zh-CN"/>
        </w:rPr>
      </w:pPr>
      <w:r>
        <w:rPr>
          <w:rFonts w:hint="eastAsia" w:ascii="微软雅黑" w:hAnsi="微软雅黑" w:eastAsia="微软雅黑" w:cs="微软雅黑"/>
          <w:kern w:val="0"/>
          <w:sz w:val="28"/>
          <w:szCs w:val="28"/>
          <w:lang w:val="en-US" w:eastAsia="zh-CN"/>
        </w:rPr>
        <w:t>②</w:t>
      </w:r>
      <w:r>
        <w:rPr>
          <w:rFonts w:hint="eastAsia" w:ascii="黑体" w:hAnsi="黑体" w:eastAsia="黑体" w:cs="宋体"/>
          <w:kern w:val="0"/>
          <w:sz w:val="28"/>
          <w:szCs w:val="28"/>
          <w:lang w:val="en-US" w:eastAsia="zh-CN"/>
        </w:rPr>
        <w:t>企业须提供四川省电力企业协会的信用评价等级的证明。</w:t>
      </w:r>
    </w:p>
    <w:p w14:paraId="630AF8E4">
      <w:pPr>
        <w:spacing w:line="360" w:lineRule="exact"/>
        <w:rPr>
          <w:rFonts w:hint="eastAsia" w:ascii="黑体" w:hAnsi="黑体" w:eastAsia="黑体" w:cs="宋体"/>
          <w:kern w:val="0"/>
          <w:sz w:val="28"/>
          <w:szCs w:val="28"/>
          <w:lang w:val="en-US" w:eastAsia="zh-CN"/>
        </w:rPr>
      </w:pPr>
    </w:p>
    <w:p w14:paraId="6FFF876D">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3.2形式评审</w:t>
      </w:r>
    </w:p>
    <w:p w14:paraId="2E1F74BF">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3.2.1报价唯一：只能有一个投标报价。</w:t>
      </w:r>
    </w:p>
    <w:p w14:paraId="5D07DA2B">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3.3响应性评审</w:t>
      </w:r>
    </w:p>
    <w:p w14:paraId="09DF9F30">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3.3.1企业具备与售电业务相匹配的售电管理平台（系统）</w:t>
      </w:r>
    </w:p>
    <w:p w14:paraId="3C444607">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3.3.2企业2024年全年直购电交易电量不低于30亿度、签约用户具体数量，并提供相应证明（从电力交易平台上截屏）；</w:t>
      </w:r>
    </w:p>
    <w:p w14:paraId="1BB5973D">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3.3.3企业须提供具备电厂资源（直属或控股电厂）的证明</w:t>
      </w:r>
    </w:p>
    <w:p w14:paraId="3C5FEC31">
      <w:pPr>
        <w:spacing w:line="360" w:lineRule="exact"/>
        <w:rPr>
          <w:rFonts w:hint="eastAsia" w:ascii="黑体" w:hAnsi="黑体" w:eastAsia="黑体" w:cs="宋体"/>
          <w:kern w:val="0"/>
          <w:sz w:val="28"/>
          <w:szCs w:val="28"/>
          <w:lang w:val="en-US" w:eastAsia="zh-CN"/>
        </w:rPr>
      </w:pPr>
      <w:bookmarkStart w:id="0" w:name="_Toc26905"/>
      <w:bookmarkStart w:id="1" w:name="_Toc3802"/>
      <w:r>
        <w:rPr>
          <w:rFonts w:hint="eastAsia" w:ascii="黑体" w:hAnsi="黑体" w:eastAsia="黑体" w:cs="宋体"/>
          <w:kern w:val="0"/>
          <w:sz w:val="28"/>
          <w:szCs w:val="28"/>
          <w:lang w:val="en-US" w:eastAsia="zh-CN"/>
        </w:rPr>
        <w:t>4．评标办法</w:t>
      </w:r>
      <w:bookmarkEnd w:id="0"/>
      <w:bookmarkEnd w:id="1"/>
    </w:p>
    <w:p w14:paraId="73812210">
      <w:p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本次招标评标采用综合评分法。</w:t>
      </w:r>
    </w:p>
    <w:p w14:paraId="6031F68B">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综合评分明细</w:t>
      </w:r>
    </w:p>
    <w:tbl>
      <w:tblPr>
        <w:tblStyle w:val="17"/>
        <w:tblW w:w="98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7"/>
        <w:gridCol w:w="1521"/>
        <w:gridCol w:w="7468"/>
      </w:tblGrid>
      <w:tr w14:paraId="3E85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9846" w:type="dxa"/>
            <w:gridSpan w:val="3"/>
            <w:noWrap w:val="0"/>
            <w:vAlign w:val="center"/>
          </w:tcPr>
          <w:p w14:paraId="752EE740">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评分标准 标段一、标段二适用</w:t>
            </w:r>
          </w:p>
        </w:tc>
      </w:tr>
      <w:tr w14:paraId="46748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7" w:type="dxa"/>
            <w:noWrap w:val="0"/>
            <w:vAlign w:val="center"/>
          </w:tcPr>
          <w:p w14:paraId="646B7801">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4.1</w:t>
            </w:r>
          </w:p>
        </w:tc>
        <w:tc>
          <w:tcPr>
            <w:tcW w:w="1521" w:type="dxa"/>
            <w:noWrap w:val="0"/>
            <w:vAlign w:val="center"/>
          </w:tcPr>
          <w:p w14:paraId="634D79F5">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分值构成</w:t>
            </w:r>
          </w:p>
          <w:p w14:paraId="7F840F2A">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(总分100分)</w:t>
            </w:r>
          </w:p>
        </w:tc>
        <w:tc>
          <w:tcPr>
            <w:tcW w:w="7468" w:type="dxa"/>
            <w:noWrap w:val="0"/>
            <w:vAlign w:val="center"/>
          </w:tcPr>
          <w:p w14:paraId="22E70DCE">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1.分水期报价：60分</w:t>
            </w:r>
          </w:p>
          <w:p w14:paraId="49785372">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2.公司服务能力：15分</w:t>
            </w:r>
          </w:p>
          <w:p w14:paraId="19CE952D">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3.业绩：15分</w:t>
            </w:r>
          </w:p>
          <w:p w14:paraId="5539E87F">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4.信用度：10分</w:t>
            </w:r>
          </w:p>
          <w:p w14:paraId="6B16E39D">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投标人总得分=分水期报价得分+公司服务能力得分+业绩得分+信用度得分</w:t>
            </w:r>
          </w:p>
          <w:p w14:paraId="5C956BD1">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注：进入综合评分的分值计算结果均保留2位小数，第3位四舍五入。</w:t>
            </w:r>
          </w:p>
        </w:tc>
      </w:tr>
      <w:tr w14:paraId="799C9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57" w:type="dxa"/>
            <w:noWrap w:val="0"/>
            <w:vAlign w:val="center"/>
          </w:tcPr>
          <w:p w14:paraId="4B2B1760">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条款号</w:t>
            </w:r>
          </w:p>
        </w:tc>
        <w:tc>
          <w:tcPr>
            <w:tcW w:w="1521" w:type="dxa"/>
            <w:noWrap w:val="0"/>
            <w:vAlign w:val="center"/>
          </w:tcPr>
          <w:p w14:paraId="39B2C24F">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评分因素</w:t>
            </w:r>
          </w:p>
        </w:tc>
        <w:tc>
          <w:tcPr>
            <w:tcW w:w="7468" w:type="dxa"/>
            <w:noWrap w:val="0"/>
            <w:vAlign w:val="center"/>
          </w:tcPr>
          <w:p w14:paraId="0F000442">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综合评分标准</w:t>
            </w:r>
          </w:p>
        </w:tc>
      </w:tr>
      <w:tr w14:paraId="7C79E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7" w:type="dxa"/>
            <w:noWrap w:val="0"/>
            <w:vAlign w:val="center"/>
          </w:tcPr>
          <w:p w14:paraId="781C8C7F">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4.2</w:t>
            </w:r>
          </w:p>
        </w:tc>
        <w:tc>
          <w:tcPr>
            <w:tcW w:w="1521" w:type="dxa"/>
            <w:noWrap w:val="0"/>
            <w:vAlign w:val="center"/>
          </w:tcPr>
          <w:p w14:paraId="7A962DCD">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分水期报价(60分)</w:t>
            </w:r>
          </w:p>
        </w:tc>
        <w:tc>
          <w:tcPr>
            <w:tcW w:w="7468" w:type="dxa"/>
            <w:noWrap w:val="0"/>
            <w:vAlign w:val="center"/>
          </w:tcPr>
          <w:p w14:paraId="2821A016">
            <w:pPr>
              <w:numPr>
                <w:ilvl w:val="0"/>
                <w:numId w:val="0"/>
              </w:numPr>
              <w:spacing w:line="360" w:lineRule="exact"/>
              <w:rPr>
                <w:rFonts w:hint="eastAsia" w:ascii="黑体" w:hAnsi="黑体" w:eastAsia="黑体" w:cs="宋体"/>
                <w:kern w:val="0"/>
                <w:sz w:val="28"/>
                <w:szCs w:val="28"/>
                <w:lang w:val="en-US" w:eastAsia="zh-CN"/>
              </w:rPr>
            </w:pPr>
            <w:r>
              <w:rPr>
                <w:rFonts w:hint="eastAsia" w:ascii="仿宋_GB2312" w:hAnsi="仿宋_GB2312" w:eastAsia="仿宋_GB2312" w:cs="仿宋_GB2312"/>
                <w:color w:val="000000"/>
                <w:sz w:val="24"/>
                <w:szCs w:val="24"/>
                <w:lang w:val="en-US" w:eastAsia="zh-CN"/>
              </w:rPr>
              <w:t>以各响应单位有效报价，根据2026年分月电量和分水期电价计算的加权平均电价为评审基准。所有有效报价中，最低的加权平均电价为基准价，得满分60分。其他报价的得分计算公式为：报价得分=60-(其他报价-基准价)/0.002×5,得分扣完为止，最低为0分。</w:t>
            </w:r>
          </w:p>
        </w:tc>
      </w:tr>
      <w:tr w14:paraId="77D4C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2" w:hRule="atLeast"/>
        </w:trPr>
        <w:tc>
          <w:tcPr>
            <w:tcW w:w="857" w:type="dxa"/>
            <w:noWrap w:val="0"/>
            <w:vAlign w:val="center"/>
          </w:tcPr>
          <w:p w14:paraId="52DC0A1E">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4.3</w:t>
            </w:r>
          </w:p>
        </w:tc>
        <w:tc>
          <w:tcPr>
            <w:tcW w:w="1521" w:type="dxa"/>
            <w:noWrap w:val="0"/>
            <w:vAlign w:val="center"/>
          </w:tcPr>
          <w:p w14:paraId="78A4BF2F">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服务能力（15分）</w:t>
            </w:r>
          </w:p>
        </w:tc>
        <w:tc>
          <w:tcPr>
            <w:tcW w:w="7468" w:type="dxa"/>
            <w:noWrap w:val="0"/>
            <w:vAlign w:val="center"/>
          </w:tcPr>
          <w:p w14:paraId="491E8EC0">
            <w:pPr>
              <w:numPr>
                <w:ilvl w:val="0"/>
                <w:numId w:val="0"/>
              </w:numPr>
              <w:spacing w:line="360" w:lineRule="exact"/>
              <w:rPr>
                <w:rFonts w:hint="default" w:ascii="黑体" w:hAnsi="黑体" w:eastAsia="黑体" w:cs="宋体"/>
                <w:kern w:val="0"/>
                <w:sz w:val="28"/>
                <w:szCs w:val="28"/>
                <w:lang w:val="en-US" w:eastAsia="zh-CN"/>
              </w:rPr>
            </w:pPr>
            <w:r>
              <w:rPr>
                <w:rFonts w:hint="eastAsia" w:ascii="仿宋_GB2312" w:hAnsi="仿宋_GB2312" w:eastAsia="仿宋_GB2312" w:cs="仿宋_GB2312"/>
                <w:color w:val="000000"/>
                <w:sz w:val="24"/>
                <w:szCs w:val="24"/>
                <w:lang w:val="en-US" w:eastAsia="zh-CN"/>
              </w:rPr>
              <w:t>投标单位电力市场化交易代理服务方案，包含运营团队核心人员配置及电网故障、现货市场价格异常波动等突发情况的应急预案等内容，根据服务方案进行评价最高得分10分（需提供详细的团队名单、劳动合同及社保缴纳证明）；另外提供有可操作性的增值服务最高得5分。</w:t>
            </w:r>
          </w:p>
        </w:tc>
      </w:tr>
      <w:tr w14:paraId="0E6CD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857" w:type="dxa"/>
            <w:noWrap w:val="0"/>
            <w:vAlign w:val="center"/>
          </w:tcPr>
          <w:p w14:paraId="35006CFB">
            <w:pPr>
              <w:numPr>
                <w:ilvl w:val="0"/>
                <w:numId w:val="0"/>
              </w:numPr>
              <w:spacing w:line="360" w:lineRule="exact"/>
              <w:jc w:val="both"/>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4.4</w:t>
            </w:r>
          </w:p>
        </w:tc>
        <w:tc>
          <w:tcPr>
            <w:tcW w:w="1521" w:type="dxa"/>
            <w:noWrap w:val="0"/>
            <w:vAlign w:val="center"/>
          </w:tcPr>
          <w:p w14:paraId="14F963A8">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业绩(15分)</w:t>
            </w:r>
          </w:p>
        </w:tc>
        <w:tc>
          <w:tcPr>
            <w:tcW w:w="7468" w:type="dxa"/>
            <w:noWrap w:val="0"/>
            <w:vAlign w:val="center"/>
          </w:tcPr>
          <w:p w14:paraId="304F5D86">
            <w:pPr>
              <w:numPr>
                <w:ilvl w:val="0"/>
                <w:numId w:val="0"/>
              </w:numPr>
              <w:spacing w:line="360" w:lineRule="exact"/>
              <w:rPr>
                <w:rFonts w:hint="eastAsia" w:ascii="黑体" w:hAnsi="黑体" w:eastAsia="黑体" w:cs="宋体"/>
                <w:kern w:val="0"/>
                <w:sz w:val="28"/>
                <w:szCs w:val="28"/>
                <w:lang w:val="en-US" w:eastAsia="zh-CN"/>
              </w:rPr>
            </w:pPr>
            <w:r>
              <w:rPr>
                <w:rFonts w:hint="eastAsia" w:ascii="仿宋_GB2312" w:hAnsi="仿宋_GB2312" w:eastAsia="仿宋_GB2312" w:cs="仿宋_GB2312"/>
                <w:color w:val="000000"/>
                <w:sz w:val="24"/>
                <w:szCs w:val="24"/>
                <w:lang w:val="en-US" w:eastAsia="zh-CN"/>
              </w:rPr>
              <w:t>2025年单个商业体年用电量5000万 或 单个工业体年电量3亿千瓦时及以上的得15分；单个商业体年用电量3000万千瓦时以上 或者 单个工业体年电量2亿千瓦时及以上的得10分，其余不得分。</w:t>
            </w:r>
          </w:p>
        </w:tc>
      </w:tr>
      <w:tr w14:paraId="58AED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6" w:hRule="atLeast"/>
        </w:trPr>
        <w:tc>
          <w:tcPr>
            <w:tcW w:w="857" w:type="dxa"/>
            <w:noWrap w:val="0"/>
            <w:vAlign w:val="center"/>
          </w:tcPr>
          <w:p w14:paraId="60F1F70F">
            <w:pPr>
              <w:numPr>
                <w:ilvl w:val="0"/>
                <w:numId w:val="0"/>
              </w:num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4.5</w:t>
            </w:r>
          </w:p>
        </w:tc>
        <w:tc>
          <w:tcPr>
            <w:tcW w:w="1521" w:type="dxa"/>
            <w:noWrap w:val="0"/>
            <w:vAlign w:val="center"/>
          </w:tcPr>
          <w:p w14:paraId="4B981FD4">
            <w:pPr>
              <w:numPr>
                <w:ilvl w:val="0"/>
                <w:numId w:val="0"/>
              </w:numPr>
              <w:spacing w:line="36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信用度（10分）</w:t>
            </w:r>
          </w:p>
        </w:tc>
        <w:tc>
          <w:tcPr>
            <w:tcW w:w="7468" w:type="dxa"/>
            <w:noWrap w:val="0"/>
            <w:vAlign w:val="center"/>
          </w:tcPr>
          <w:p w14:paraId="2020E7F3">
            <w:pPr>
              <w:numPr>
                <w:ilvl w:val="0"/>
                <w:numId w:val="0"/>
              </w:numPr>
              <w:spacing w:line="360" w:lineRule="exact"/>
              <w:rPr>
                <w:rFonts w:hint="eastAsia" w:ascii="黑体" w:hAnsi="黑体" w:eastAsia="黑体" w:cs="宋体"/>
                <w:kern w:val="0"/>
                <w:sz w:val="28"/>
                <w:szCs w:val="28"/>
                <w:lang w:val="en-US" w:eastAsia="zh-CN"/>
              </w:rPr>
            </w:pPr>
            <w:r>
              <w:rPr>
                <w:rFonts w:hint="eastAsia" w:ascii="仿宋_GB2312" w:hAnsi="仿宋_GB2312" w:eastAsia="仿宋_GB2312" w:cs="仿宋_GB2312"/>
                <w:color w:val="000000"/>
                <w:sz w:val="24"/>
                <w:szCs w:val="24"/>
                <w:lang w:val="en-US" w:eastAsia="zh-CN"/>
              </w:rPr>
              <w:t>投标人2025年度在四川电力交易中心履约保函5000万元以上的得10分，3000万元到5000万元（含5000万元）得5分，1000万元到3000万元（含3000万元）得3分，1000万元以下不得分（注：提供证明并加盖单位公章）</w:t>
            </w:r>
          </w:p>
        </w:tc>
      </w:tr>
    </w:tbl>
    <w:p w14:paraId="71105546">
      <w:pPr>
        <w:spacing w:line="360" w:lineRule="exact"/>
        <w:rPr>
          <w:rFonts w:hint="default" w:ascii="黑体" w:hAnsi="黑体" w:eastAsia="黑体" w:cs="宋体"/>
          <w:kern w:val="0"/>
          <w:sz w:val="28"/>
          <w:szCs w:val="28"/>
          <w:lang w:val="en-US" w:eastAsia="zh-CN"/>
        </w:rPr>
      </w:pPr>
    </w:p>
    <w:p w14:paraId="0B8AE554">
      <w:pPr>
        <w:spacing w:line="420" w:lineRule="exact"/>
        <w:rPr>
          <w:rFonts w:hint="eastAsia" w:ascii="黑体" w:hAnsi="黑体" w:eastAsia="黑体" w:cs="宋体"/>
          <w:kern w:val="0"/>
          <w:sz w:val="28"/>
          <w:szCs w:val="28"/>
          <w:lang w:val="en-US" w:eastAsia="zh-CN"/>
        </w:rPr>
      </w:pP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3914BA72">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按规定要求付款和开具发票。</w:t>
      </w:r>
    </w:p>
    <w:p w14:paraId="6F201807">
      <w:pPr>
        <w:numPr>
          <w:ilvl w:val="0"/>
          <w:numId w:val="0"/>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3.比选文件的获取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获取方式为：截至 2025年12月15日10时00分通过四川宏达股份有限公司集采中心招投标平台(以下简称“ 宏达股份集采平台”）（http://jc.sichuanhongda.com/）进行注册并登录后参与投标并下载比选文件。 </w:t>
      </w:r>
    </w:p>
    <w:p w14:paraId="504767B0">
      <w:pPr>
        <w:numPr>
          <w:ilvl w:val="0"/>
          <w:numId w:val="0"/>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kern w:val="2"/>
          <w:sz w:val="28"/>
          <w:szCs w:val="28"/>
          <w:lang w:val="en-US" w:eastAsia="zh-CN" w:bidi="ar-SA"/>
        </w:rPr>
        <w:t>4.</w:t>
      </w:r>
      <w:r>
        <w:rPr>
          <w:rFonts w:hint="eastAsia" w:ascii="黑体" w:hAnsi="黑体" w:eastAsia="黑体" w:cs="仿宋_GB2312"/>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递交截止时间：2025年12月15日10时00分。</w:t>
      </w:r>
    </w:p>
    <w:p w14:paraId="5B16F60F">
      <w:pPr>
        <w:spacing w:line="420" w:lineRule="exact"/>
        <w:rPr>
          <w:rFonts w:hint="default" w:ascii="黑体" w:hAnsi="黑体" w:eastAsia="黑体" w:cs="黑体"/>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仿宋_GB2312"/>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sz w:val="28"/>
          <w:szCs w:val="28"/>
          <w:lang w:val="en-US" w:eastAsia="zh-CN"/>
        </w:rPr>
        <w:t>服务期限</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p>
    <w:p w14:paraId="440F1485">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李女士</w:t>
      </w:r>
    </w:p>
    <w:p w14:paraId="213A74CF">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联系方式：15509083970</w:t>
      </w:r>
    </w:p>
    <w:p w14:paraId="321A732E">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址：四川省德阳市什邡市洛水镇</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邮 编：618401</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2A7A58D4">
      <w:pPr>
        <w:spacing w:line="420" w:lineRule="exact"/>
        <w:ind w:firstLine="5880" w:firstLineChars="2100"/>
        <w:rPr>
          <w:rFonts w:hint="eastAsia" w:ascii="黑体" w:hAnsi="黑体" w:eastAsia="黑体" w:cs="宋体"/>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日</w:t>
      </w:r>
    </w:p>
    <w:p w14:paraId="6F0CA7C7">
      <w:pPr>
        <w:spacing w:line="420" w:lineRule="exact"/>
        <w:ind w:firstLine="5880" w:firstLineChars="2100"/>
        <w:rPr>
          <w:rFonts w:hint="eastAsia" w:ascii="黑体" w:hAnsi="黑体" w:eastAsia="黑体" w:cs="宋体"/>
          <w:kern w:val="0"/>
          <w:sz w:val="28"/>
          <w:szCs w:val="28"/>
        </w:rPr>
      </w:pPr>
    </w:p>
    <w:p w14:paraId="32FC968D">
      <w:pPr>
        <w:spacing w:line="420" w:lineRule="exact"/>
        <w:ind w:firstLine="5880" w:firstLineChars="2100"/>
        <w:rPr>
          <w:rFonts w:hint="eastAsia" w:ascii="黑体" w:hAnsi="黑体" w:eastAsia="黑体" w:cs="宋体"/>
          <w:kern w:val="0"/>
          <w:sz w:val="28"/>
          <w:szCs w:val="28"/>
        </w:rPr>
      </w:pPr>
    </w:p>
    <w:p w14:paraId="6B71D90B">
      <w:pPr>
        <w:spacing w:line="420" w:lineRule="exact"/>
        <w:ind w:firstLine="5880" w:firstLineChars="2100"/>
        <w:rPr>
          <w:rFonts w:hint="eastAsia" w:ascii="黑体" w:hAnsi="黑体" w:eastAsia="黑体" w:cs="宋体"/>
          <w:kern w:val="0"/>
          <w:sz w:val="28"/>
          <w:szCs w:val="28"/>
        </w:rPr>
      </w:pPr>
    </w:p>
    <w:p w14:paraId="23768510">
      <w:pPr>
        <w:spacing w:line="420" w:lineRule="exact"/>
        <w:ind w:firstLine="5880" w:firstLineChars="2100"/>
        <w:rPr>
          <w:rFonts w:hint="eastAsia" w:ascii="黑体" w:hAnsi="黑体" w:eastAsia="黑体" w:cs="宋体"/>
          <w:kern w:val="0"/>
          <w:sz w:val="28"/>
          <w:szCs w:val="28"/>
        </w:rPr>
      </w:pPr>
    </w:p>
    <w:p w14:paraId="016F9755">
      <w:pPr>
        <w:spacing w:line="420" w:lineRule="exact"/>
        <w:ind w:firstLine="5880" w:firstLineChars="2100"/>
        <w:rPr>
          <w:rFonts w:hint="eastAsia" w:ascii="黑体" w:hAnsi="黑体" w:eastAsia="黑体" w:cs="宋体"/>
          <w:kern w:val="0"/>
          <w:sz w:val="28"/>
          <w:szCs w:val="28"/>
        </w:rPr>
      </w:pPr>
    </w:p>
    <w:p w14:paraId="643CD4F6">
      <w:pPr>
        <w:spacing w:line="420" w:lineRule="exact"/>
        <w:ind w:firstLine="5880" w:firstLineChars="2100"/>
        <w:rPr>
          <w:rFonts w:hint="eastAsia" w:ascii="黑体" w:hAnsi="黑体" w:eastAsia="黑体" w:cs="宋体"/>
          <w:kern w:val="0"/>
          <w:sz w:val="28"/>
          <w:szCs w:val="28"/>
        </w:rPr>
      </w:pPr>
    </w:p>
    <w:p w14:paraId="3C252611">
      <w:pPr>
        <w:spacing w:line="420" w:lineRule="exact"/>
        <w:ind w:firstLine="5880" w:firstLineChars="2100"/>
        <w:rPr>
          <w:rFonts w:hint="eastAsia" w:ascii="黑体" w:hAnsi="黑体" w:eastAsia="黑体" w:cs="宋体"/>
          <w:kern w:val="0"/>
          <w:sz w:val="28"/>
          <w:szCs w:val="28"/>
        </w:rPr>
      </w:pPr>
    </w:p>
    <w:p w14:paraId="4E5975D6">
      <w:pPr>
        <w:spacing w:line="520" w:lineRule="auto"/>
        <w:jc w:val="left"/>
        <w:rPr>
          <w:rFonts w:ascii="宋体" w:hAnsi="宋体" w:eastAsia="宋体" w:cs="宋体"/>
          <w:b/>
          <w:sz w:val="30"/>
        </w:rPr>
      </w:pPr>
      <w:r>
        <w:rPr>
          <w:rFonts w:ascii="宋体" w:hAnsi="宋体" w:eastAsia="宋体" w:cs="宋体"/>
          <w:b/>
          <w:sz w:val="30"/>
        </w:rPr>
        <w:t>附表一：</w:t>
      </w:r>
    </w:p>
    <w:p w14:paraId="590A762C">
      <w:pPr>
        <w:spacing w:line="520" w:lineRule="auto"/>
        <w:jc w:val="center"/>
        <w:rPr>
          <w:rFonts w:ascii="仿宋" w:hAnsi="仿宋" w:eastAsia="仿宋" w:cs="仿宋"/>
          <w:b/>
          <w:sz w:val="28"/>
        </w:rPr>
      </w:pPr>
      <w:r>
        <w:rPr>
          <w:rFonts w:ascii="宋体" w:hAnsi="宋体" w:eastAsia="宋体" w:cs="宋体"/>
          <w:b/>
          <w:sz w:val="36"/>
          <w:u w:val="single"/>
        </w:rPr>
        <w:t>宏达</w:t>
      </w:r>
      <w:r>
        <w:rPr>
          <w:rFonts w:hint="eastAsia" w:ascii="宋体" w:hAnsi="宋体" w:eastAsia="宋体" w:cs="宋体"/>
          <w:b/>
          <w:sz w:val="36"/>
          <w:u w:val="single"/>
          <w:lang w:val="en-US" w:eastAsia="zh-CN"/>
        </w:rPr>
        <w:t>股份</w:t>
      </w:r>
      <w:r>
        <w:rPr>
          <w:rFonts w:ascii="宋体" w:hAnsi="宋体" w:eastAsia="宋体" w:cs="宋体"/>
          <w:b/>
          <w:sz w:val="36"/>
          <w:u w:val="single"/>
        </w:rPr>
        <w:t>202</w:t>
      </w:r>
      <w:r>
        <w:rPr>
          <w:rFonts w:hint="eastAsia" w:ascii="宋体" w:hAnsi="宋体" w:eastAsia="宋体" w:cs="宋体"/>
          <w:b/>
          <w:sz w:val="36"/>
          <w:u w:val="single"/>
        </w:rPr>
        <w:t>6</w:t>
      </w:r>
      <w:r>
        <w:rPr>
          <w:rFonts w:ascii="宋体" w:hAnsi="宋体" w:eastAsia="宋体" w:cs="宋体"/>
          <w:b/>
          <w:sz w:val="36"/>
          <w:u w:val="single"/>
        </w:rPr>
        <w:t>年直购电计划采购量</w:t>
      </w:r>
    </w:p>
    <w:tbl>
      <w:tblPr>
        <w:tblStyle w:val="17"/>
        <w:tblW w:w="0" w:type="auto"/>
        <w:tblInd w:w="93" w:type="dxa"/>
        <w:tblLayout w:type="autofit"/>
        <w:tblCellMar>
          <w:top w:w="0" w:type="dxa"/>
          <w:left w:w="10" w:type="dxa"/>
          <w:bottom w:w="0" w:type="dxa"/>
          <w:right w:w="10" w:type="dxa"/>
        </w:tblCellMar>
      </w:tblPr>
      <w:tblGrid>
        <w:gridCol w:w="863"/>
        <w:gridCol w:w="1787"/>
        <w:gridCol w:w="2011"/>
        <w:gridCol w:w="2376"/>
        <w:gridCol w:w="2016"/>
      </w:tblGrid>
      <w:tr w14:paraId="4AE08027">
        <w:tblPrEx>
          <w:tblCellMar>
            <w:top w:w="0" w:type="dxa"/>
            <w:left w:w="10" w:type="dxa"/>
            <w:bottom w:w="0" w:type="dxa"/>
            <w:right w:w="10" w:type="dxa"/>
          </w:tblCellMar>
        </w:tblPrEx>
        <w:trPr>
          <w:trHeight w:val="492" w:hRule="atLeast"/>
        </w:trPr>
        <w:tc>
          <w:tcPr>
            <w:tcW w:w="863" w:type="dxa"/>
            <w:vMerge w:val="restart"/>
            <w:tcBorders>
              <w:top w:val="single" w:color="000000" w:sz="4"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01645140">
            <w:pPr>
              <w:jc w:val="center"/>
              <w:rPr>
                <w:rFonts w:ascii="宋体" w:hAnsi="宋体" w:eastAsia="宋体" w:cs="宋体"/>
              </w:rPr>
            </w:pPr>
            <w:r>
              <w:rPr>
                <w:rFonts w:ascii="宋体" w:hAnsi="宋体" w:eastAsia="宋体" w:cs="宋体"/>
                <w:sz w:val="24"/>
              </w:rPr>
              <w:t>月份</w:t>
            </w:r>
          </w:p>
        </w:tc>
        <w:tc>
          <w:tcPr>
            <w:tcW w:w="3798"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8DC0DF">
            <w:pPr>
              <w:jc w:val="center"/>
              <w:rPr>
                <w:rFonts w:ascii="宋体" w:hAnsi="宋体" w:eastAsia="宋体" w:cs="宋体"/>
              </w:rPr>
            </w:pPr>
            <w:r>
              <w:rPr>
                <w:rFonts w:ascii="宋体" w:hAnsi="宋体" w:eastAsia="宋体" w:cs="宋体"/>
                <w:sz w:val="24"/>
              </w:rPr>
              <w:t>一标段</w:t>
            </w:r>
          </w:p>
        </w:tc>
        <w:tc>
          <w:tcPr>
            <w:tcW w:w="4392"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12A213">
            <w:pPr>
              <w:jc w:val="center"/>
              <w:rPr>
                <w:rFonts w:ascii="宋体" w:hAnsi="宋体" w:eastAsia="宋体" w:cs="宋体"/>
              </w:rPr>
            </w:pPr>
            <w:r>
              <w:rPr>
                <w:rFonts w:ascii="宋体" w:hAnsi="宋体" w:eastAsia="宋体" w:cs="宋体"/>
                <w:sz w:val="24"/>
              </w:rPr>
              <w:t>二标段</w:t>
            </w:r>
          </w:p>
        </w:tc>
      </w:tr>
      <w:tr w14:paraId="2F35ECB9">
        <w:tblPrEx>
          <w:tblCellMar>
            <w:top w:w="0" w:type="dxa"/>
            <w:left w:w="10" w:type="dxa"/>
            <w:bottom w:w="0" w:type="dxa"/>
            <w:right w:w="10" w:type="dxa"/>
          </w:tblCellMar>
        </w:tblPrEx>
        <w:trPr>
          <w:trHeight w:val="1200" w:hRule="atLeast"/>
        </w:trPr>
        <w:tc>
          <w:tcPr>
            <w:tcW w:w="863" w:type="dxa"/>
            <w:vMerge w:val="continue"/>
            <w:tcBorders>
              <w:top w:val="single" w:color="000000" w:sz="0" w:space="0"/>
              <w:left w:val="single" w:color="000000" w:sz="4" w:space="0"/>
              <w:bottom w:val="single" w:color="000000" w:sz="0" w:space="0"/>
              <w:right w:val="single" w:color="000000" w:sz="4" w:space="0"/>
            </w:tcBorders>
            <w:shd w:val="clear" w:color="auto" w:fill="auto"/>
            <w:tcMar>
              <w:left w:w="108" w:type="dxa"/>
              <w:right w:w="108" w:type="dxa"/>
            </w:tcMar>
            <w:vAlign w:val="center"/>
          </w:tcPr>
          <w:p w14:paraId="21A13C6D">
            <w:pPr>
              <w:spacing w:after="200" w:line="276" w:lineRule="auto"/>
              <w:jc w:val="left"/>
              <w:rPr>
                <w:rFonts w:ascii="宋体" w:hAnsi="宋体" w:eastAsia="宋体" w:cs="宋体"/>
                <w:sz w:val="22"/>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97D66C">
            <w:pPr>
              <w:jc w:val="center"/>
              <w:rPr>
                <w:rFonts w:ascii="宋体" w:hAnsi="宋体" w:eastAsia="宋体" w:cs="宋体"/>
              </w:rPr>
            </w:pPr>
            <w:r>
              <w:rPr>
                <w:rFonts w:ascii="宋体" w:hAnsi="宋体" w:eastAsia="宋体" w:cs="宋体"/>
                <w:sz w:val="24"/>
              </w:rPr>
              <w:t>宏达股份有色分公司（户号：见备注）</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909C93E">
            <w:pPr>
              <w:jc w:val="center"/>
              <w:rPr>
                <w:rFonts w:ascii="宋体" w:hAnsi="宋体" w:eastAsia="宋体" w:cs="宋体"/>
              </w:rPr>
            </w:pPr>
            <w:r>
              <w:rPr>
                <w:rFonts w:ascii="宋体" w:hAnsi="宋体" w:eastAsia="宋体" w:cs="宋体"/>
                <w:sz w:val="24"/>
              </w:rPr>
              <w:t>宏达股份磷化工分公司（户号：见备注）</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7A51D4">
            <w:pPr>
              <w:jc w:val="center"/>
              <w:rPr>
                <w:rFonts w:ascii="宋体" w:hAnsi="宋体" w:eastAsia="宋体" w:cs="宋体"/>
              </w:rPr>
            </w:pPr>
            <w:r>
              <w:rPr>
                <w:rFonts w:ascii="宋体" w:hAnsi="宋体" w:eastAsia="宋体" w:cs="宋体"/>
                <w:sz w:val="24"/>
              </w:rPr>
              <w:t>四川绵竹川润化工有限公司（户号:</w:t>
            </w:r>
            <w:r>
              <w:rPr>
                <w:rFonts w:hint="eastAsia" w:ascii="宋体" w:hAnsi="宋体" w:eastAsia="宋体" w:cs="宋体"/>
                <w:sz w:val="24"/>
              </w:rPr>
              <w:t>510</w:t>
            </w:r>
            <w:r>
              <w:rPr>
                <w:rFonts w:ascii="宋体" w:hAnsi="宋体" w:eastAsia="宋体" w:cs="宋体"/>
                <w:sz w:val="24"/>
              </w:rPr>
              <w:t>5454069043）</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A1E0B1">
            <w:pPr>
              <w:jc w:val="center"/>
              <w:rPr>
                <w:rFonts w:ascii="宋体" w:hAnsi="宋体" w:eastAsia="宋体" w:cs="宋体"/>
              </w:rPr>
            </w:pPr>
            <w:r>
              <w:rPr>
                <w:rFonts w:ascii="宋体" w:hAnsi="宋体" w:eastAsia="宋体" w:cs="宋体"/>
                <w:sz w:val="24"/>
              </w:rPr>
              <w:t>四川宏达金桥大酒店有限公司（户号：</w:t>
            </w:r>
            <w:r>
              <w:rPr>
                <w:rFonts w:hint="eastAsia" w:ascii="宋体" w:hAnsi="宋体" w:eastAsia="宋体" w:cs="宋体"/>
                <w:sz w:val="24"/>
              </w:rPr>
              <w:t>510</w:t>
            </w:r>
            <w:r>
              <w:rPr>
                <w:rFonts w:ascii="宋体" w:hAnsi="宋体" w:eastAsia="宋体" w:cs="宋体"/>
                <w:sz w:val="24"/>
              </w:rPr>
              <w:t>3255160001）</w:t>
            </w:r>
          </w:p>
        </w:tc>
      </w:tr>
      <w:tr w14:paraId="0731975F">
        <w:tblPrEx>
          <w:tblCellMar>
            <w:top w:w="0" w:type="dxa"/>
            <w:left w:w="10" w:type="dxa"/>
            <w:bottom w:w="0" w:type="dxa"/>
            <w:right w:w="10" w:type="dxa"/>
          </w:tblCellMar>
        </w:tblPrEx>
        <w:trPr>
          <w:trHeight w:val="499" w:hRule="atLeast"/>
        </w:trPr>
        <w:tc>
          <w:tcPr>
            <w:tcW w:w="863" w:type="dxa"/>
            <w:vMerge w:val="continue"/>
            <w:tcBorders>
              <w:top w:val="single" w:color="000000" w:sz="0"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C749F3">
            <w:pPr>
              <w:spacing w:after="200" w:line="276" w:lineRule="auto"/>
              <w:jc w:val="left"/>
              <w:rPr>
                <w:rFonts w:ascii="宋体" w:hAnsi="宋体" w:eastAsia="宋体" w:cs="宋体"/>
                <w:sz w:val="22"/>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26CD9D3">
            <w:pPr>
              <w:jc w:val="center"/>
              <w:rPr>
                <w:rFonts w:ascii="宋体" w:hAnsi="宋体" w:eastAsia="宋体" w:cs="宋体"/>
              </w:rPr>
            </w:pPr>
            <w:r>
              <w:rPr>
                <w:rFonts w:ascii="宋体" w:hAnsi="宋体" w:eastAsia="宋体" w:cs="宋体"/>
                <w:sz w:val="24"/>
              </w:rPr>
              <w:t>计划购电量(kW.h)</w:t>
            </w:r>
          </w:p>
        </w:tc>
        <w:tc>
          <w:tcPr>
            <w:tcW w:w="201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ED58BB">
            <w:pPr>
              <w:jc w:val="center"/>
              <w:rPr>
                <w:rFonts w:ascii="宋体" w:hAnsi="宋体" w:eastAsia="宋体" w:cs="宋体"/>
              </w:rPr>
            </w:pPr>
            <w:r>
              <w:rPr>
                <w:rFonts w:ascii="宋体" w:hAnsi="宋体" w:eastAsia="宋体" w:cs="宋体"/>
                <w:sz w:val="24"/>
              </w:rPr>
              <w:t>计划购电量(kW.h)</w:t>
            </w:r>
          </w:p>
        </w:tc>
        <w:tc>
          <w:tcPr>
            <w:tcW w:w="237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3EFD0B">
            <w:pPr>
              <w:jc w:val="center"/>
              <w:rPr>
                <w:rFonts w:ascii="宋体" w:hAnsi="宋体" w:eastAsia="宋体" w:cs="宋体"/>
                <w:sz w:val="24"/>
              </w:rPr>
            </w:pPr>
            <w:r>
              <w:rPr>
                <w:rFonts w:ascii="宋体" w:hAnsi="宋体" w:eastAsia="宋体" w:cs="宋体"/>
                <w:sz w:val="24"/>
              </w:rPr>
              <w:t>计划购电量</w:t>
            </w:r>
          </w:p>
          <w:p w14:paraId="3071D91F">
            <w:pPr>
              <w:jc w:val="center"/>
              <w:rPr>
                <w:rFonts w:ascii="宋体" w:hAnsi="宋体" w:eastAsia="宋体" w:cs="宋体"/>
              </w:rPr>
            </w:pPr>
            <w:r>
              <w:rPr>
                <w:rFonts w:ascii="宋体" w:hAnsi="宋体" w:eastAsia="宋体" w:cs="宋体"/>
                <w:sz w:val="24"/>
              </w:rPr>
              <w:t>(kW.h)</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AA35647">
            <w:pPr>
              <w:jc w:val="center"/>
              <w:rPr>
                <w:rFonts w:ascii="宋体" w:hAnsi="宋体" w:eastAsia="宋体" w:cs="宋体"/>
              </w:rPr>
            </w:pPr>
            <w:r>
              <w:rPr>
                <w:rFonts w:ascii="宋体" w:hAnsi="宋体" w:eastAsia="宋体" w:cs="宋体"/>
                <w:sz w:val="24"/>
              </w:rPr>
              <w:t>计划购电量(kW.h)</w:t>
            </w:r>
          </w:p>
        </w:tc>
      </w:tr>
      <w:tr w14:paraId="2810B076">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88C61F">
            <w:pPr>
              <w:jc w:val="center"/>
              <w:rPr>
                <w:rFonts w:ascii="宋体" w:hAnsi="宋体" w:eastAsia="宋体" w:cs="宋体"/>
              </w:rPr>
            </w:pPr>
            <w:r>
              <w:rPr>
                <w:rFonts w:ascii="宋体" w:hAnsi="宋体" w:eastAsia="宋体" w:cs="宋体"/>
                <w:sz w:val="24"/>
              </w:rPr>
              <w:t>1月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E2545FD">
            <w:pPr>
              <w:jc w:val="center"/>
              <w:rPr>
                <w:rFonts w:cs="Arial" w:asciiTheme="majorEastAsia" w:hAnsiTheme="majorEastAsia" w:eastAsiaTheme="majorEastAsia"/>
                <w:sz w:val="22"/>
              </w:rPr>
            </w:pPr>
            <w:r>
              <w:t>9080450</w:t>
            </w:r>
          </w:p>
        </w:tc>
        <w:tc>
          <w:tcPr>
            <w:tcW w:w="2011"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6FAD3A0">
            <w:pPr>
              <w:jc w:val="center"/>
              <w:rPr>
                <w:rFonts w:cs="Arial" w:asciiTheme="majorEastAsia" w:hAnsiTheme="majorEastAsia" w:eastAsiaTheme="majorEastAsia"/>
                <w:sz w:val="22"/>
              </w:rPr>
            </w:pPr>
            <w:r>
              <w:t xml:space="preserve">2881800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F957D5C">
            <w:pPr>
              <w:jc w:val="center"/>
              <w:rPr>
                <w:rFonts w:cs="Arial" w:asciiTheme="majorEastAsia" w:hAnsiTheme="majorEastAsia" w:eastAsiaTheme="majorEastAsia"/>
                <w:sz w:val="22"/>
              </w:rPr>
            </w:pPr>
            <w:r>
              <w:t xml:space="preserve">12268800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4F72343">
            <w:pPr>
              <w:jc w:val="center"/>
              <w:rPr>
                <w:rFonts w:cs="Arial" w:asciiTheme="majorEastAsia" w:hAnsiTheme="majorEastAsia" w:eastAsiaTheme="majorEastAsia"/>
                <w:sz w:val="22"/>
              </w:rPr>
            </w:pPr>
            <w:r>
              <w:t>115000</w:t>
            </w:r>
          </w:p>
        </w:tc>
      </w:tr>
      <w:tr w14:paraId="6572BB9A">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34E60A8">
            <w:pPr>
              <w:jc w:val="center"/>
              <w:rPr>
                <w:rFonts w:ascii="宋体" w:hAnsi="宋体" w:eastAsia="宋体" w:cs="宋体"/>
              </w:rPr>
            </w:pPr>
            <w:r>
              <w:rPr>
                <w:rFonts w:ascii="宋体" w:hAnsi="宋体" w:eastAsia="宋体" w:cs="宋体"/>
                <w:sz w:val="24"/>
              </w:rPr>
              <w:t>2月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0DED2F1">
            <w:pPr>
              <w:jc w:val="center"/>
              <w:rPr>
                <w:rFonts w:cs="Arial" w:asciiTheme="majorEastAsia" w:hAnsiTheme="majorEastAsia" w:eastAsiaTheme="majorEastAsia"/>
                <w:sz w:val="22"/>
              </w:rPr>
            </w:pPr>
            <w:r>
              <w:t>5960650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F4F2D15">
            <w:pPr>
              <w:jc w:val="center"/>
              <w:rPr>
                <w:rFonts w:cs="Arial" w:asciiTheme="majorEastAsia" w:hAnsiTheme="majorEastAsia" w:eastAsiaTheme="majorEastAsia"/>
                <w:sz w:val="22"/>
              </w:rPr>
            </w:pPr>
            <w:r>
              <w:t xml:space="preserve">8034200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B816E0D">
            <w:pPr>
              <w:jc w:val="center"/>
              <w:rPr>
                <w:rFonts w:cs="Arial" w:asciiTheme="majorEastAsia" w:hAnsiTheme="majorEastAsia" w:eastAsiaTheme="majorEastAsia"/>
                <w:sz w:val="22"/>
              </w:rPr>
            </w:pPr>
            <w:r>
              <w:t xml:space="preserve">10949400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F67A006">
            <w:pPr>
              <w:jc w:val="center"/>
              <w:rPr>
                <w:rFonts w:cs="Arial" w:asciiTheme="majorEastAsia" w:hAnsiTheme="majorEastAsia" w:eastAsiaTheme="majorEastAsia"/>
                <w:sz w:val="22"/>
              </w:rPr>
            </w:pPr>
            <w:r>
              <w:t>100000</w:t>
            </w:r>
          </w:p>
        </w:tc>
      </w:tr>
      <w:tr w14:paraId="228F7DDF">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93F056">
            <w:pPr>
              <w:jc w:val="center"/>
              <w:rPr>
                <w:rFonts w:ascii="宋体" w:hAnsi="宋体" w:eastAsia="宋体" w:cs="宋体"/>
              </w:rPr>
            </w:pPr>
            <w:r>
              <w:rPr>
                <w:rFonts w:ascii="宋体" w:hAnsi="宋体" w:eastAsia="宋体" w:cs="宋体"/>
                <w:sz w:val="24"/>
              </w:rPr>
              <w:t>3月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F781AF0">
            <w:pPr>
              <w:jc w:val="center"/>
              <w:rPr>
                <w:rFonts w:cs="Arial" w:asciiTheme="majorEastAsia" w:hAnsiTheme="majorEastAsia" w:eastAsiaTheme="majorEastAsia"/>
                <w:sz w:val="22"/>
              </w:rPr>
            </w:pPr>
            <w:r>
              <w:t>1038450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AE413B">
            <w:pPr>
              <w:jc w:val="center"/>
              <w:rPr>
                <w:rFonts w:cs="Arial" w:asciiTheme="majorEastAsia" w:hAnsiTheme="majorEastAsia" w:eastAsiaTheme="majorEastAsia"/>
                <w:sz w:val="22"/>
              </w:rPr>
            </w:pPr>
            <w:r>
              <w:t xml:space="preserve">9944100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1093852">
            <w:pPr>
              <w:jc w:val="center"/>
              <w:rPr>
                <w:rFonts w:cs="Arial" w:asciiTheme="majorEastAsia" w:hAnsiTheme="majorEastAsia" w:eastAsiaTheme="majorEastAsia"/>
                <w:sz w:val="22"/>
              </w:rPr>
            </w:pPr>
            <w:r>
              <w:t xml:space="preserve">12561300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9C26AFF">
            <w:pPr>
              <w:jc w:val="center"/>
              <w:rPr>
                <w:rFonts w:cs="Arial" w:asciiTheme="majorEastAsia" w:hAnsiTheme="majorEastAsia" w:eastAsiaTheme="majorEastAsia"/>
                <w:sz w:val="22"/>
              </w:rPr>
            </w:pPr>
            <w:r>
              <w:t>92000</w:t>
            </w:r>
          </w:p>
        </w:tc>
      </w:tr>
      <w:tr w14:paraId="538BAC2A">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5DCA78E">
            <w:pPr>
              <w:jc w:val="center"/>
              <w:rPr>
                <w:rFonts w:ascii="宋体" w:hAnsi="宋体" w:eastAsia="宋体" w:cs="宋体"/>
              </w:rPr>
            </w:pPr>
            <w:r>
              <w:rPr>
                <w:rFonts w:ascii="宋体" w:hAnsi="宋体" w:eastAsia="宋体" w:cs="宋体"/>
                <w:sz w:val="24"/>
              </w:rPr>
              <w:t>4月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D14E0BB">
            <w:pPr>
              <w:jc w:val="center"/>
              <w:rPr>
                <w:rFonts w:cs="Arial" w:asciiTheme="majorEastAsia" w:hAnsiTheme="majorEastAsia" w:eastAsiaTheme="majorEastAsia"/>
                <w:sz w:val="22"/>
              </w:rPr>
            </w:pPr>
            <w:r>
              <w:t>15500400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4FE4060">
            <w:pPr>
              <w:jc w:val="center"/>
              <w:rPr>
                <w:rFonts w:cs="Arial" w:asciiTheme="majorEastAsia" w:hAnsiTheme="majorEastAsia" w:eastAsiaTheme="majorEastAsia"/>
                <w:sz w:val="22"/>
              </w:rPr>
            </w:pPr>
            <w:r>
              <w:t xml:space="preserve">9058300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8F85F90">
            <w:pPr>
              <w:jc w:val="center"/>
              <w:rPr>
                <w:rFonts w:cs="Arial" w:asciiTheme="majorEastAsia" w:hAnsiTheme="majorEastAsia" w:eastAsiaTheme="majorEastAsia"/>
                <w:sz w:val="22"/>
              </w:rPr>
            </w:pPr>
            <w:r>
              <w:t xml:space="preserve">12219000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771C75">
            <w:pPr>
              <w:jc w:val="center"/>
              <w:rPr>
                <w:rFonts w:cs="Arial" w:asciiTheme="majorEastAsia" w:hAnsiTheme="majorEastAsia" w:eastAsiaTheme="majorEastAsia"/>
                <w:sz w:val="22"/>
              </w:rPr>
            </w:pPr>
            <w:r>
              <w:t>93000</w:t>
            </w:r>
          </w:p>
        </w:tc>
      </w:tr>
      <w:tr w14:paraId="6E7C7AB7">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58A43F">
            <w:pPr>
              <w:jc w:val="center"/>
              <w:rPr>
                <w:rFonts w:ascii="宋体" w:hAnsi="宋体" w:eastAsia="宋体" w:cs="宋体"/>
              </w:rPr>
            </w:pPr>
            <w:r>
              <w:rPr>
                <w:rFonts w:ascii="宋体" w:hAnsi="宋体" w:eastAsia="宋体" w:cs="宋体"/>
                <w:sz w:val="24"/>
              </w:rPr>
              <w:t>5月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3A1C852">
            <w:pPr>
              <w:jc w:val="center"/>
              <w:rPr>
                <w:rFonts w:cs="Arial" w:asciiTheme="majorEastAsia" w:hAnsiTheme="majorEastAsia" w:eastAsiaTheme="majorEastAsia"/>
                <w:sz w:val="22"/>
              </w:rPr>
            </w:pPr>
            <w:r>
              <w:t>28497450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08EDDEA">
            <w:pPr>
              <w:jc w:val="center"/>
              <w:rPr>
                <w:rFonts w:cs="Arial" w:asciiTheme="majorEastAsia" w:hAnsiTheme="majorEastAsia" w:eastAsiaTheme="majorEastAsia"/>
                <w:sz w:val="22"/>
              </w:rPr>
            </w:pPr>
            <w:r>
              <w:t xml:space="preserve">9197100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03E4119C">
            <w:pPr>
              <w:jc w:val="center"/>
              <w:rPr>
                <w:rFonts w:cs="Arial" w:asciiTheme="majorEastAsia" w:hAnsiTheme="majorEastAsia" w:eastAsiaTheme="majorEastAsia"/>
                <w:sz w:val="22"/>
              </w:rPr>
            </w:pPr>
            <w:r>
              <w:t xml:space="preserve">12756300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84389B">
            <w:pPr>
              <w:jc w:val="center"/>
              <w:rPr>
                <w:rFonts w:cs="Arial" w:asciiTheme="majorEastAsia" w:hAnsiTheme="majorEastAsia" w:eastAsiaTheme="majorEastAsia"/>
                <w:sz w:val="22"/>
              </w:rPr>
            </w:pPr>
            <w:r>
              <w:t>152000</w:t>
            </w:r>
          </w:p>
        </w:tc>
      </w:tr>
      <w:tr w14:paraId="0E69F645">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7CA85B">
            <w:pPr>
              <w:jc w:val="center"/>
              <w:rPr>
                <w:rFonts w:ascii="宋体" w:hAnsi="宋体" w:eastAsia="宋体" w:cs="宋体"/>
              </w:rPr>
            </w:pPr>
            <w:r>
              <w:rPr>
                <w:rFonts w:ascii="宋体" w:hAnsi="宋体" w:eastAsia="宋体" w:cs="宋体"/>
                <w:sz w:val="24"/>
              </w:rPr>
              <w:t>6月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5377DD">
            <w:pPr>
              <w:jc w:val="center"/>
              <w:rPr>
                <w:rFonts w:cs="Arial" w:asciiTheme="majorEastAsia" w:hAnsiTheme="majorEastAsia" w:eastAsiaTheme="majorEastAsia"/>
                <w:sz w:val="22"/>
              </w:rPr>
            </w:pPr>
            <w:r>
              <w:t>28754900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A2A13BB">
            <w:pPr>
              <w:jc w:val="center"/>
              <w:rPr>
                <w:rFonts w:cs="Arial" w:asciiTheme="majorEastAsia" w:hAnsiTheme="majorEastAsia" w:eastAsiaTheme="majorEastAsia"/>
                <w:sz w:val="22"/>
              </w:rPr>
            </w:pPr>
            <w:r>
              <w:t xml:space="preserve">9225500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B43BA7C">
            <w:pPr>
              <w:jc w:val="center"/>
              <w:rPr>
                <w:rFonts w:cs="Arial" w:asciiTheme="majorEastAsia" w:hAnsiTheme="majorEastAsia" w:eastAsiaTheme="majorEastAsia"/>
                <w:sz w:val="22"/>
              </w:rPr>
            </w:pPr>
            <w:r>
              <w:t xml:space="preserve">12706500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5600CF">
            <w:pPr>
              <w:jc w:val="center"/>
              <w:rPr>
                <w:rFonts w:cs="Arial" w:asciiTheme="majorEastAsia" w:hAnsiTheme="majorEastAsia" w:eastAsiaTheme="majorEastAsia"/>
                <w:sz w:val="22"/>
              </w:rPr>
            </w:pPr>
            <w:r>
              <w:t>170000</w:t>
            </w:r>
          </w:p>
        </w:tc>
      </w:tr>
      <w:tr w14:paraId="594173E2">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196C37">
            <w:pPr>
              <w:jc w:val="center"/>
              <w:rPr>
                <w:rFonts w:ascii="宋体" w:hAnsi="宋体" w:eastAsia="宋体" w:cs="宋体"/>
              </w:rPr>
            </w:pPr>
            <w:r>
              <w:rPr>
                <w:rFonts w:ascii="宋体" w:hAnsi="宋体" w:eastAsia="宋体" w:cs="宋体"/>
                <w:sz w:val="24"/>
              </w:rPr>
              <w:t>7月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45947D4">
            <w:pPr>
              <w:jc w:val="center"/>
              <w:rPr>
                <w:rFonts w:cs="Arial" w:asciiTheme="majorEastAsia" w:hAnsiTheme="majorEastAsia" w:eastAsiaTheme="majorEastAsia"/>
                <w:sz w:val="22"/>
              </w:rPr>
            </w:pPr>
            <w:r>
              <w:t>29572050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2585A8">
            <w:pPr>
              <w:jc w:val="center"/>
              <w:rPr>
                <w:rFonts w:cs="Arial" w:asciiTheme="majorEastAsia" w:hAnsiTheme="majorEastAsia" w:eastAsiaTheme="majorEastAsia"/>
                <w:sz w:val="22"/>
              </w:rPr>
            </w:pPr>
            <w:r>
              <w:t xml:space="preserve">7488000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853866">
            <w:pPr>
              <w:jc w:val="center"/>
              <w:rPr>
                <w:rFonts w:cs="Arial" w:asciiTheme="majorEastAsia" w:hAnsiTheme="majorEastAsia" w:eastAsiaTheme="majorEastAsia"/>
                <w:sz w:val="22"/>
              </w:rPr>
            </w:pPr>
            <w:r>
              <w:t xml:space="preserve">13048800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D18E00">
            <w:pPr>
              <w:jc w:val="center"/>
              <w:rPr>
                <w:rFonts w:cs="Arial" w:asciiTheme="majorEastAsia" w:hAnsiTheme="majorEastAsia" w:eastAsiaTheme="majorEastAsia"/>
                <w:sz w:val="22"/>
              </w:rPr>
            </w:pPr>
            <w:r>
              <w:t>215000</w:t>
            </w:r>
          </w:p>
        </w:tc>
      </w:tr>
      <w:tr w14:paraId="73292C94">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F0795CB">
            <w:pPr>
              <w:jc w:val="center"/>
              <w:rPr>
                <w:rFonts w:ascii="宋体" w:hAnsi="宋体" w:eastAsia="宋体" w:cs="宋体"/>
              </w:rPr>
            </w:pPr>
            <w:r>
              <w:rPr>
                <w:rFonts w:ascii="宋体" w:hAnsi="宋体" w:eastAsia="宋体" w:cs="宋体"/>
                <w:sz w:val="24"/>
              </w:rPr>
              <w:t>8月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10A6DC8">
            <w:pPr>
              <w:jc w:val="center"/>
              <w:rPr>
                <w:rFonts w:cs="Arial" w:asciiTheme="majorEastAsia" w:hAnsiTheme="majorEastAsia" w:eastAsiaTheme="majorEastAsia"/>
                <w:sz w:val="22"/>
              </w:rPr>
            </w:pPr>
            <w:r>
              <w:t>29397300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8224DC0">
            <w:pPr>
              <w:jc w:val="center"/>
              <w:rPr>
                <w:rFonts w:cs="Arial" w:asciiTheme="majorEastAsia" w:hAnsiTheme="majorEastAsia" w:eastAsiaTheme="majorEastAsia"/>
                <w:sz w:val="22"/>
              </w:rPr>
            </w:pPr>
            <w:r>
              <w:t xml:space="preserve">6562000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70D8C27">
            <w:pPr>
              <w:jc w:val="center"/>
              <w:rPr>
                <w:rFonts w:cs="Arial" w:asciiTheme="majorEastAsia" w:hAnsiTheme="majorEastAsia" w:eastAsiaTheme="majorEastAsia"/>
                <w:sz w:val="22"/>
              </w:rPr>
            </w:pPr>
            <w:r>
              <w:t xml:space="preserve">12951300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C67FFE">
            <w:pPr>
              <w:jc w:val="center"/>
              <w:rPr>
                <w:rFonts w:cs="Arial" w:asciiTheme="majorEastAsia" w:hAnsiTheme="majorEastAsia" w:eastAsiaTheme="majorEastAsia"/>
                <w:sz w:val="22"/>
              </w:rPr>
            </w:pPr>
            <w:r>
              <w:t>235000</w:t>
            </w:r>
          </w:p>
        </w:tc>
      </w:tr>
      <w:tr w14:paraId="6EA03B39">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A02CF8">
            <w:pPr>
              <w:jc w:val="center"/>
              <w:rPr>
                <w:rFonts w:ascii="宋体" w:hAnsi="宋体" w:eastAsia="宋体" w:cs="宋体"/>
              </w:rPr>
            </w:pPr>
            <w:r>
              <w:rPr>
                <w:rFonts w:ascii="宋体" w:hAnsi="宋体" w:eastAsia="宋体" w:cs="宋体"/>
                <w:sz w:val="24"/>
              </w:rPr>
              <w:t>9月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4E9DBAB">
            <w:pPr>
              <w:jc w:val="center"/>
              <w:rPr>
                <w:rFonts w:cs="Arial" w:asciiTheme="majorEastAsia" w:hAnsiTheme="majorEastAsia" w:eastAsiaTheme="majorEastAsia"/>
                <w:sz w:val="22"/>
              </w:rPr>
            </w:pPr>
            <w:r>
              <w:t>28796375</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A9D0417">
            <w:pPr>
              <w:jc w:val="center"/>
              <w:rPr>
                <w:rFonts w:cs="Arial" w:asciiTheme="majorEastAsia" w:hAnsiTheme="majorEastAsia" w:eastAsiaTheme="majorEastAsia"/>
                <w:sz w:val="22"/>
              </w:rPr>
            </w:pPr>
            <w:r>
              <w:t xml:space="preserve">9300300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64B2BF71">
            <w:pPr>
              <w:jc w:val="center"/>
              <w:rPr>
                <w:rFonts w:cs="Arial" w:asciiTheme="majorEastAsia" w:hAnsiTheme="majorEastAsia" w:eastAsiaTheme="majorEastAsia"/>
                <w:sz w:val="22"/>
              </w:rPr>
            </w:pPr>
            <w:r>
              <w:t xml:space="preserve">12511500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8675121">
            <w:pPr>
              <w:jc w:val="center"/>
              <w:rPr>
                <w:rFonts w:cs="Arial" w:asciiTheme="majorEastAsia" w:hAnsiTheme="majorEastAsia" w:eastAsiaTheme="majorEastAsia"/>
                <w:sz w:val="22"/>
              </w:rPr>
            </w:pPr>
            <w:r>
              <w:t>172000</w:t>
            </w:r>
          </w:p>
        </w:tc>
      </w:tr>
      <w:tr w14:paraId="0DA288A2">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0CEA8D">
            <w:pPr>
              <w:jc w:val="center"/>
              <w:rPr>
                <w:rFonts w:ascii="宋体" w:hAnsi="宋体" w:eastAsia="宋体" w:cs="宋体"/>
              </w:rPr>
            </w:pPr>
            <w:r>
              <w:rPr>
                <w:rFonts w:ascii="宋体" w:hAnsi="宋体" w:eastAsia="宋体" w:cs="宋体"/>
                <w:sz w:val="24"/>
              </w:rPr>
              <w:t>10月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E8EEBFA">
            <w:pPr>
              <w:jc w:val="center"/>
              <w:rPr>
                <w:rFonts w:cs="Arial" w:asciiTheme="majorEastAsia" w:hAnsiTheme="majorEastAsia" w:eastAsiaTheme="majorEastAsia"/>
                <w:sz w:val="22"/>
              </w:rPr>
            </w:pPr>
            <w:r>
              <w:t>29637300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BFFBDF8">
            <w:pPr>
              <w:jc w:val="center"/>
              <w:rPr>
                <w:rFonts w:cs="Arial" w:asciiTheme="majorEastAsia" w:hAnsiTheme="majorEastAsia" w:eastAsiaTheme="majorEastAsia"/>
                <w:sz w:val="22"/>
              </w:rPr>
            </w:pPr>
            <w:r>
              <w:t xml:space="preserve">7896100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D27BF5D">
            <w:pPr>
              <w:jc w:val="center"/>
              <w:rPr>
                <w:rFonts w:cs="Arial" w:asciiTheme="majorEastAsia" w:hAnsiTheme="majorEastAsia" w:eastAsiaTheme="majorEastAsia"/>
                <w:sz w:val="22"/>
              </w:rPr>
            </w:pPr>
            <w:r>
              <w:t xml:space="preserve">12561300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8E53EAE">
            <w:pPr>
              <w:jc w:val="center"/>
              <w:rPr>
                <w:rFonts w:cs="Arial" w:asciiTheme="majorEastAsia" w:hAnsiTheme="majorEastAsia" w:eastAsiaTheme="majorEastAsia"/>
                <w:sz w:val="22"/>
              </w:rPr>
            </w:pPr>
            <w:r>
              <w:t>95000</w:t>
            </w:r>
          </w:p>
        </w:tc>
      </w:tr>
      <w:tr w14:paraId="5FAA43E7">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60663A">
            <w:pPr>
              <w:jc w:val="center"/>
              <w:rPr>
                <w:rFonts w:ascii="宋体" w:hAnsi="宋体" w:eastAsia="宋体" w:cs="宋体"/>
              </w:rPr>
            </w:pPr>
            <w:r>
              <w:rPr>
                <w:rFonts w:ascii="宋体" w:hAnsi="宋体" w:eastAsia="宋体" w:cs="宋体"/>
                <w:sz w:val="24"/>
              </w:rPr>
              <w:t>11月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203E7B77">
            <w:pPr>
              <w:jc w:val="center"/>
              <w:rPr>
                <w:rFonts w:cs="Arial" w:asciiTheme="majorEastAsia" w:hAnsiTheme="majorEastAsia" w:eastAsiaTheme="majorEastAsia"/>
                <w:sz w:val="22"/>
              </w:rPr>
            </w:pPr>
            <w:r>
              <w:t>28796375</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18134725">
            <w:pPr>
              <w:jc w:val="center"/>
              <w:rPr>
                <w:rFonts w:cs="Arial" w:asciiTheme="majorEastAsia" w:hAnsiTheme="majorEastAsia" w:eastAsiaTheme="majorEastAsia"/>
                <w:sz w:val="22"/>
              </w:rPr>
            </w:pPr>
            <w:r>
              <w:t xml:space="preserve">7565300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9D11C9">
            <w:pPr>
              <w:jc w:val="center"/>
              <w:rPr>
                <w:rFonts w:cs="Arial" w:asciiTheme="majorEastAsia" w:hAnsiTheme="majorEastAsia" w:eastAsiaTheme="majorEastAsia"/>
                <w:sz w:val="22"/>
              </w:rPr>
            </w:pPr>
            <w:r>
              <w:t xml:space="preserve">12219000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C02077">
            <w:pPr>
              <w:jc w:val="center"/>
              <w:rPr>
                <w:rFonts w:cs="Arial" w:asciiTheme="majorEastAsia" w:hAnsiTheme="majorEastAsia" w:eastAsiaTheme="majorEastAsia"/>
                <w:sz w:val="22"/>
              </w:rPr>
            </w:pPr>
            <w:r>
              <w:t>88000</w:t>
            </w:r>
          </w:p>
        </w:tc>
      </w:tr>
      <w:tr w14:paraId="2CF98A11">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1FBEA7C">
            <w:pPr>
              <w:jc w:val="center"/>
              <w:rPr>
                <w:rFonts w:ascii="宋体" w:hAnsi="宋体" w:eastAsia="宋体" w:cs="宋体"/>
              </w:rPr>
            </w:pPr>
            <w:r>
              <w:rPr>
                <w:rFonts w:ascii="宋体" w:hAnsi="宋体" w:eastAsia="宋体" w:cs="宋体"/>
                <w:sz w:val="24"/>
              </w:rPr>
              <w:t>12月</w:t>
            </w:r>
          </w:p>
        </w:tc>
        <w:tc>
          <w:tcPr>
            <w:tcW w:w="1787" w:type="dxa"/>
            <w:tcBorders>
              <w:top w:val="single" w:color="000000" w:sz="0"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85F4A4C">
            <w:pPr>
              <w:jc w:val="center"/>
              <w:rPr>
                <w:rFonts w:cs="Arial" w:asciiTheme="majorEastAsia" w:hAnsiTheme="majorEastAsia" w:eastAsiaTheme="majorEastAsia"/>
                <w:sz w:val="22"/>
              </w:rPr>
            </w:pPr>
            <w:r>
              <w:t>2932850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AB228BD">
            <w:pPr>
              <w:jc w:val="center"/>
              <w:rPr>
                <w:rFonts w:cs="Arial" w:asciiTheme="majorEastAsia" w:hAnsiTheme="majorEastAsia" w:eastAsiaTheme="majorEastAsia"/>
                <w:sz w:val="22"/>
              </w:rPr>
            </w:pPr>
            <w:r>
              <w:t xml:space="preserve">8650000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7FD1C069">
            <w:pPr>
              <w:jc w:val="center"/>
              <w:rPr>
                <w:rFonts w:cs="Arial" w:asciiTheme="majorEastAsia" w:hAnsiTheme="majorEastAsia" w:eastAsiaTheme="majorEastAsia"/>
                <w:sz w:val="22"/>
              </w:rPr>
            </w:pPr>
            <w:r>
              <w:t xml:space="preserve">12561300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CF6F9C">
            <w:pPr>
              <w:jc w:val="center"/>
              <w:rPr>
                <w:rFonts w:cs="Arial" w:asciiTheme="majorEastAsia" w:hAnsiTheme="majorEastAsia" w:eastAsiaTheme="majorEastAsia"/>
                <w:sz w:val="22"/>
              </w:rPr>
            </w:pPr>
            <w:r>
              <w:t>103000</w:t>
            </w:r>
          </w:p>
        </w:tc>
      </w:tr>
      <w:tr w14:paraId="21CD1323">
        <w:tblPrEx>
          <w:tblCellMar>
            <w:top w:w="0" w:type="dxa"/>
            <w:left w:w="10" w:type="dxa"/>
            <w:bottom w:w="0" w:type="dxa"/>
            <w:right w:w="10" w:type="dxa"/>
          </w:tblCellMar>
        </w:tblPrEx>
        <w:trPr>
          <w:trHeight w:val="499" w:hRule="atLeast"/>
        </w:trPr>
        <w:tc>
          <w:tcPr>
            <w:tcW w:w="86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C327235">
            <w:pPr>
              <w:jc w:val="center"/>
              <w:rPr>
                <w:rFonts w:ascii="宋体" w:hAnsi="宋体" w:eastAsia="宋体" w:cs="宋体"/>
              </w:rPr>
            </w:pPr>
            <w:r>
              <w:rPr>
                <w:rFonts w:ascii="宋体" w:hAnsi="宋体" w:eastAsia="宋体" w:cs="宋体"/>
                <w:sz w:val="24"/>
              </w:rPr>
              <w:t>合计</w:t>
            </w:r>
          </w:p>
        </w:tc>
        <w:tc>
          <w:tcPr>
            <w:tcW w:w="1787"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365458C2">
            <w:pPr>
              <w:jc w:val="center"/>
              <w:rPr>
                <w:rFonts w:cs="宋体" w:asciiTheme="majorEastAsia" w:hAnsiTheme="majorEastAsia" w:eastAsiaTheme="majorEastAsia"/>
                <w:b/>
              </w:rPr>
            </w:pPr>
            <w:r>
              <w:rPr>
                <w:b/>
              </w:rPr>
              <w:t>237964550</w:t>
            </w:r>
          </w:p>
        </w:tc>
        <w:tc>
          <w:tcPr>
            <w:tcW w:w="2011"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5CDDEDE8">
            <w:pPr>
              <w:jc w:val="center"/>
              <w:rPr>
                <w:rFonts w:cs="Arial" w:asciiTheme="majorEastAsia" w:hAnsiTheme="majorEastAsia" w:eastAsiaTheme="majorEastAsia"/>
                <w:b/>
                <w:sz w:val="22"/>
              </w:rPr>
            </w:pPr>
            <w:r>
              <w:rPr>
                <w:b/>
              </w:rPr>
              <w:t xml:space="preserve">95802700 </w:t>
            </w:r>
          </w:p>
        </w:tc>
        <w:tc>
          <w:tcPr>
            <w:tcW w:w="2376" w:type="dxa"/>
            <w:tcBorders>
              <w:top w:val="single" w:color="000000" w:sz="4" w:space="0"/>
              <w:left w:val="single" w:color="000000" w:sz="0" w:space="0"/>
              <w:bottom w:val="single" w:color="000000" w:sz="4" w:space="0"/>
              <w:right w:val="single" w:color="000000" w:sz="4" w:space="0"/>
            </w:tcBorders>
            <w:shd w:val="clear" w:color="auto" w:fill="auto"/>
            <w:tcMar>
              <w:left w:w="108" w:type="dxa"/>
              <w:right w:w="108" w:type="dxa"/>
            </w:tcMar>
            <w:vAlign w:val="center"/>
          </w:tcPr>
          <w:p w14:paraId="48FCB88B">
            <w:pPr>
              <w:jc w:val="center"/>
              <w:rPr>
                <w:rFonts w:asciiTheme="majorEastAsia" w:hAnsiTheme="majorEastAsia" w:eastAsiaTheme="majorEastAsia"/>
                <w:b/>
                <w:sz w:val="22"/>
              </w:rPr>
            </w:pPr>
            <w:r>
              <w:rPr>
                <w:b/>
              </w:rPr>
              <w:t xml:space="preserve">149314500 </w:t>
            </w:r>
          </w:p>
        </w:tc>
        <w:tc>
          <w:tcPr>
            <w:tcW w:w="2016"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2408F7A">
            <w:pPr>
              <w:jc w:val="center"/>
              <w:rPr>
                <w:rFonts w:asciiTheme="majorEastAsia" w:hAnsiTheme="majorEastAsia" w:eastAsiaTheme="majorEastAsia"/>
                <w:b/>
                <w:sz w:val="22"/>
              </w:rPr>
            </w:pPr>
            <w:r>
              <w:rPr>
                <w:b/>
              </w:rPr>
              <w:t xml:space="preserve">1630000 </w:t>
            </w:r>
          </w:p>
        </w:tc>
      </w:tr>
      <w:tr w14:paraId="3DA34405">
        <w:tblPrEx>
          <w:tblCellMar>
            <w:top w:w="0" w:type="dxa"/>
            <w:left w:w="10" w:type="dxa"/>
            <w:bottom w:w="0" w:type="dxa"/>
            <w:right w:w="10" w:type="dxa"/>
          </w:tblCellMar>
        </w:tblPrEx>
        <w:trPr>
          <w:trHeight w:val="880" w:hRule="atLeast"/>
        </w:trPr>
        <w:tc>
          <w:tcPr>
            <w:tcW w:w="9053" w:type="dxa"/>
            <w:gridSpan w:val="5"/>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363FB0F">
            <w:pPr>
              <w:jc w:val="left"/>
              <w:rPr>
                <w:rFonts w:ascii="宋体" w:hAnsi="宋体" w:eastAsia="宋体" w:cs="宋体"/>
              </w:rPr>
            </w:pPr>
            <w:r>
              <w:rPr>
                <w:rFonts w:ascii="宋体" w:hAnsi="宋体" w:eastAsia="宋体" w:cs="宋体"/>
                <w:sz w:val="24"/>
              </w:rPr>
              <w:t>备注：宏达股份有色分公司7个户号：</w:t>
            </w:r>
            <w:r>
              <w:rPr>
                <w:rFonts w:hint="eastAsia" w:ascii="宋体" w:hAnsi="宋体" w:eastAsia="宋体" w:cs="宋体"/>
                <w:sz w:val="24"/>
              </w:rPr>
              <w:t>510</w:t>
            </w:r>
            <w:r>
              <w:rPr>
                <w:rFonts w:ascii="宋体" w:hAnsi="宋体" w:eastAsia="宋体" w:cs="宋体"/>
                <w:sz w:val="24"/>
              </w:rPr>
              <w:t>7200009000；</w:t>
            </w:r>
            <w:r>
              <w:rPr>
                <w:rFonts w:hint="eastAsia" w:ascii="宋体" w:hAnsi="宋体" w:eastAsia="宋体" w:cs="宋体"/>
                <w:sz w:val="24"/>
              </w:rPr>
              <w:t>510</w:t>
            </w:r>
            <w:r>
              <w:rPr>
                <w:rFonts w:ascii="宋体" w:hAnsi="宋体" w:eastAsia="宋体" w:cs="宋体"/>
                <w:sz w:val="24"/>
              </w:rPr>
              <w:t>0063954500；</w:t>
            </w:r>
            <w:r>
              <w:rPr>
                <w:rFonts w:hint="eastAsia" w:ascii="宋体" w:hAnsi="宋体" w:eastAsia="宋体" w:cs="宋体"/>
                <w:sz w:val="24"/>
              </w:rPr>
              <w:t>510</w:t>
            </w:r>
            <w:r>
              <w:rPr>
                <w:rFonts w:ascii="宋体" w:hAnsi="宋体" w:eastAsia="宋体" w:cs="宋体"/>
                <w:sz w:val="24"/>
              </w:rPr>
              <w:t>0063967409；</w:t>
            </w:r>
            <w:r>
              <w:rPr>
                <w:rFonts w:hint="eastAsia" w:ascii="宋体" w:hAnsi="宋体" w:eastAsia="宋体" w:cs="宋体"/>
                <w:sz w:val="24"/>
              </w:rPr>
              <w:t>510</w:t>
            </w:r>
            <w:r>
              <w:rPr>
                <w:rFonts w:ascii="宋体" w:hAnsi="宋体" w:eastAsia="宋体" w:cs="宋体"/>
                <w:sz w:val="24"/>
              </w:rPr>
              <w:t>0064027470；</w:t>
            </w:r>
            <w:r>
              <w:rPr>
                <w:rFonts w:hint="eastAsia" w:ascii="宋体" w:hAnsi="宋体" w:eastAsia="宋体" w:cs="宋体"/>
                <w:sz w:val="24"/>
              </w:rPr>
              <w:t>510</w:t>
            </w:r>
            <w:r>
              <w:rPr>
                <w:rFonts w:ascii="宋体" w:hAnsi="宋体" w:eastAsia="宋体" w:cs="宋体"/>
                <w:sz w:val="24"/>
              </w:rPr>
              <w:t>0064034078；</w:t>
            </w:r>
            <w:r>
              <w:rPr>
                <w:rFonts w:hint="eastAsia" w:ascii="宋体" w:hAnsi="宋体" w:eastAsia="宋体" w:cs="宋体"/>
                <w:sz w:val="24"/>
              </w:rPr>
              <w:t>510</w:t>
            </w:r>
            <w:r>
              <w:rPr>
                <w:rFonts w:ascii="宋体" w:hAnsi="宋体" w:eastAsia="宋体" w:cs="宋体"/>
                <w:sz w:val="24"/>
              </w:rPr>
              <w:t>0064036739；</w:t>
            </w:r>
            <w:r>
              <w:rPr>
                <w:rFonts w:hint="eastAsia" w:ascii="宋体" w:hAnsi="宋体" w:eastAsia="宋体" w:cs="宋体"/>
                <w:sz w:val="24"/>
              </w:rPr>
              <w:t>510</w:t>
            </w:r>
            <w:r>
              <w:rPr>
                <w:rFonts w:ascii="宋体" w:hAnsi="宋体" w:eastAsia="宋体" w:cs="宋体"/>
                <w:sz w:val="24"/>
              </w:rPr>
              <w:t>7200021001。</w:t>
            </w:r>
            <w:r>
              <w:rPr>
                <w:rFonts w:hint="eastAsia" w:ascii="宋体" w:hAnsi="宋体" w:eastAsia="宋体" w:cs="宋体"/>
                <w:sz w:val="24"/>
              </w:rPr>
              <w:t>宏达股份磷化工分公司5个户号：5103255730001；5101221253262；5107205128141；5107205148108；5101232517159。</w:t>
            </w:r>
          </w:p>
        </w:tc>
      </w:tr>
    </w:tbl>
    <w:p w14:paraId="09593072">
      <w:pPr>
        <w:spacing w:line="420" w:lineRule="exact"/>
        <w:ind w:firstLine="5880" w:firstLineChars="2100"/>
        <w:rPr>
          <w:rFonts w:hint="eastAsia" w:ascii="黑体" w:hAnsi="黑体" w:eastAsia="黑体" w:cs="宋体"/>
          <w:kern w:val="0"/>
          <w:sz w:val="28"/>
          <w:szCs w:val="28"/>
        </w:rPr>
      </w:pPr>
    </w:p>
    <w:p w14:paraId="104BB685">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2331C79">
      <w:pPr>
        <w:pStyle w:val="50"/>
        <w:rPr>
          <w:rFonts w:hint="eastAsia"/>
        </w:rPr>
      </w:pPr>
    </w:p>
    <w:p w14:paraId="444EDB62">
      <w:pPr>
        <w:spacing w:line="360" w:lineRule="exact"/>
        <w:rPr>
          <w:rFonts w:hint="eastAsia" w:ascii="黑体" w:hAnsi="黑体" w:eastAsia="黑体" w:cs="宋体"/>
          <w:b/>
          <w:kern w:val="0"/>
          <w:sz w:val="28"/>
          <w:szCs w:val="28"/>
        </w:rPr>
      </w:pP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bookmarkStart w:id="5" w:name="_GoBack"/>
      <w:bookmarkEnd w:id="5"/>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r>
        <w:rPr>
          <w:rFonts w:hint="eastAsia" w:ascii="宋体" w:hAnsi="宋体" w:cs="宋体"/>
          <w:b/>
          <w:bCs/>
          <w:color w:val="auto"/>
          <w:sz w:val="28"/>
          <w:szCs w:val="28"/>
        </w:rPr>
        <w:br w:type="page"/>
      </w:r>
      <w:bookmarkStart w:id="2" w:name="_Toc9978"/>
      <w:bookmarkStart w:id="3" w:name="_Toc30198"/>
      <w:bookmarkStart w:id="4" w:name="_Toc4384"/>
      <w:r>
        <w:rPr>
          <w:rFonts w:hint="eastAsia" w:cs="黑体" w:asciiTheme="minorEastAsia" w:hAnsiTheme="minorEastAsia" w:eastAsiaTheme="minorEastAsia"/>
          <w:b/>
          <w:bCs/>
          <w:kern w:val="44"/>
          <w:sz w:val="28"/>
          <w:szCs w:val="28"/>
          <w:highlight w:val="none"/>
          <w:lang w:val="zh-CN"/>
        </w:rPr>
        <w:t>（一）</w:t>
      </w:r>
      <w:bookmarkEnd w:id="2"/>
      <w:bookmarkEnd w:id="3"/>
      <w:bookmarkEnd w:id="4"/>
      <w:r>
        <w:rPr>
          <w:rFonts w:hint="eastAsia" w:ascii="黑体" w:hAnsi="黑体" w:eastAsia="黑体" w:cs="宋体"/>
          <w:kern w:val="0"/>
          <w:sz w:val="28"/>
          <w:szCs w:val="28"/>
          <w:lang w:eastAsia="zh-CN"/>
        </w:rPr>
        <w:t>营业执照</w:t>
      </w:r>
    </w:p>
    <w:p w14:paraId="71696485">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402BB7E9">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29D0809B">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3007C67A">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0B1A37EB">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5737CCE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1B876186">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1FB7DAA1">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43997246">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7412B719">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69DD284B">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315AFCA6">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669D4475">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eastAsia="zh-CN"/>
        </w:rPr>
      </w:pPr>
    </w:p>
    <w:p w14:paraId="6BE0AA63">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二）法人身份证及授权书</w:t>
      </w:r>
    </w:p>
    <w:p w14:paraId="0DACC3D3">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85DE80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D66606E">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D66349B">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53273B9">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8E6FE70">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1827E9AE">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61FB4DBF">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D5A7979">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362B9379">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140A47A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4AF8EC1A">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88ADC36">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59FB5FB3">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（三）业绩证明</w:t>
      </w:r>
    </w:p>
    <w:p w14:paraId="4ABA6E8C">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4E2508E">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C2439AA">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4767E9E3">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41FB8DE5">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460AB6D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F07A846">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2DCDBA9A">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52FFCB5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5A3DE7D">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2914259E">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0FD5B59">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0200C2A3">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2F9FBBBB">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（四）报价</w:t>
      </w:r>
    </w:p>
    <w:p w14:paraId="5459A38D">
      <w:pPr>
        <w:spacing w:line="520" w:lineRule="auto"/>
        <w:jc w:val="center"/>
        <w:rPr>
          <w:rFonts w:ascii="宋体" w:hAnsi="宋体" w:eastAsia="宋体" w:cs="宋体"/>
          <w:b/>
          <w:sz w:val="36"/>
          <w:u w:val="single"/>
        </w:rPr>
      </w:pPr>
      <w:r>
        <w:rPr>
          <w:rFonts w:hint="eastAsia" w:ascii="宋体" w:hAnsi="宋体" w:eastAsia="宋体" w:cs="宋体"/>
          <w:b/>
          <w:sz w:val="36"/>
          <w:u w:val="single"/>
        </w:rPr>
        <w:t>宏达股份</w:t>
      </w:r>
      <w:r>
        <w:rPr>
          <w:rFonts w:ascii="宋体" w:hAnsi="宋体" w:eastAsia="宋体" w:cs="宋体"/>
          <w:b/>
          <w:sz w:val="36"/>
          <w:u w:val="single"/>
        </w:rPr>
        <w:t>202</w:t>
      </w:r>
      <w:r>
        <w:rPr>
          <w:rFonts w:hint="eastAsia" w:ascii="宋体" w:hAnsi="宋体" w:eastAsia="宋体" w:cs="宋体"/>
          <w:b/>
          <w:sz w:val="36"/>
          <w:u w:val="single"/>
        </w:rPr>
        <w:t>6</w:t>
      </w:r>
      <w:r>
        <w:rPr>
          <w:rFonts w:ascii="宋体" w:hAnsi="宋体" w:eastAsia="宋体" w:cs="宋体"/>
          <w:b/>
          <w:sz w:val="36"/>
          <w:u w:val="single"/>
        </w:rPr>
        <w:t>年直购电报价表</w:t>
      </w:r>
    </w:p>
    <w:p w14:paraId="0DE42BEC">
      <w:pPr>
        <w:spacing w:line="520" w:lineRule="auto"/>
        <w:ind w:right="663"/>
        <w:jc w:val="right"/>
        <w:rPr>
          <w:rFonts w:ascii="宋体" w:hAnsi="宋体" w:eastAsia="宋体" w:cs="宋体"/>
          <w:b/>
          <w:sz w:val="22"/>
          <w:szCs w:val="16"/>
        </w:rPr>
      </w:pPr>
      <w:r>
        <w:rPr>
          <w:rFonts w:hint="eastAsia" w:ascii="宋体" w:hAnsi="宋体" w:eastAsia="宋体" w:cs="宋体"/>
          <w:b/>
          <w:sz w:val="22"/>
          <w:szCs w:val="16"/>
        </w:rPr>
        <w:t>电价单位：元/千瓦时</w:t>
      </w:r>
    </w:p>
    <w:tbl>
      <w:tblPr>
        <w:tblStyle w:val="17"/>
        <w:tblW w:w="0" w:type="auto"/>
        <w:tblInd w:w="91" w:type="dxa"/>
        <w:tblLayout w:type="autofit"/>
        <w:tblCellMar>
          <w:top w:w="0" w:type="dxa"/>
          <w:left w:w="10" w:type="dxa"/>
          <w:bottom w:w="0" w:type="dxa"/>
          <w:right w:w="10" w:type="dxa"/>
        </w:tblCellMar>
      </w:tblPr>
      <w:tblGrid>
        <w:gridCol w:w="2170"/>
        <w:gridCol w:w="2520"/>
        <w:gridCol w:w="2408"/>
        <w:gridCol w:w="2453"/>
      </w:tblGrid>
      <w:tr w14:paraId="0E57C068">
        <w:tblPrEx>
          <w:tblCellMar>
            <w:top w:w="0" w:type="dxa"/>
            <w:left w:w="10" w:type="dxa"/>
            <w:bottom w:w="0" w:type="dxa"/>
            <w:right w:w="10" w:type="dxa"/>
          </w:tblCellMar>
        </w:tblPrEx>
        <w:trPr>
          <w:trHeight w:val="683"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AD02683">
            <w:pPr>
              <w:jc w:val="left"/>
              <w:rPr>
                <w:rFonts w:ascii="宋体" w:hAnsi="宋体" w:eastAsia="宋体" w:cs="宋体"/>
              </w:rPr>
            </w:pPr>
            <w:r>
              <w:rPr>
                <w:rFonts w:ascii="宋体" w:hAnsi="宋体" w:eastAsia="宋体" w:cs="宋体"/>
                <w:b/>
                <w:sz w:val="24"/>
                <w:szCs w:val="24"/>
              </w:rPr>
              <w:t>投标单位：</w:t>
            </w:r>
          </w:p>
        </w:tc>
        <w:tc>
          <w:tcPr>
            <w:tcW w:w="7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75AC18">
            <w:pPr>
              <w:jc w:val="left"/>
              <w:rPr>
                <w:rFonts w:ascii="宋体" w:hAnsi="宋体" w:eastAsia="宋体" w:cs="宋体"/>
              </w:rPr>
            </w:pPr>
          </w:p>
        </w:tc>
      </w:tr>
      <w:tr w14:paraId="34809F7D">
        <w:tblPrEx>
          <w:tblCellMar>
            <w:top w:w="0" w:type="dxa"/>
            <w:left w:w="10" w:type="dxa"/>
            <w:bottom w:w="0" w:type="dxa"/>
            <w:right w:w="10" w:type="dxa"/>
          </w:tblCellMar>
        </w:tblPrEx>
        <w:trPr>
          <w:trHeight w:val="501" w:hRule="atLeast"/>
        </w:trPr>
        <w:tc>
          <w:tcPr>
            <w:tcW w:w="4690" w:type="dxa"/>
            <w:gridSpan w:val="2"/>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577D0549">
            <w:pPr>
              <w:jc w:val="center"/>
              <w:rPr>
                <w:rFonts w:ascii="宋体" w:hAnsi="宋体" w:eastAsia="宋体" w:cs="宋体"/>
              </w:rPr>
            </w:pPr>
            <w:r>
              <w:rPr>
                <w:rFonts w:ascii="宋体" w:hAnsi="宋体" w:eastAsia="宋体" w:cs="宋体"/>
                <w:sz w:val="24"/>
                <w:szCs w:val="24"/>
              </w:rPr>
              <w:t>项</w:t>
            </w:r>
            <w:r>
              <w:rPr>
                <w:rFonts w:hint="eastAsia" w:ascii="宋体" w:hAnsi="宋体" w:eastAsia="宋体" w:cs="宋体"/>
                <w:sz w:val="24"/>
                <w:szCs w:val="24"/>
              </w:rPr>
              <w:t xml:space="preserve"> </w:t>
            </w:r>
            <w:r>
              <w:rPr>
                <w:rFonts w:ascii="宋体" w:hAnsi="宋体" w:eastAsia="宋体" w:cs="宋体"/>
                <w:sz w:val="24"/>
                <w:szCs w:val="24"/>
              </w:rPr>
              <w:t>目</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240A180">
            <w:pPr>
              <w:jc w:val="center"/>
              <w:rPr>
                <w:rFonts w:ascii="宋体" w:hAnsi="宋体" w:eastAsia="宋体" w:cs="宋体"/>
                <w:b/>
                <w:bCs/>
              </w:rPr>
            </w:pPr>
            <w:r>
              <w:rPr>
                <w:rFonts w:hint="eastAsia" w:ascii="宋体" w:hAnsi="宋体" w:eastAsia="宋体" w:cs="宋体"/>
                <w:b/>
                <w:sz w:val="24"/>
                <w:szCs w:val="24"/>
              </w:rPr>
              <w:t>一标段</w:t>
            </w:r>
          </w:p>
        </w:tc>
      </w:tr>
      <w:tr w14:paraId="3A8CC795">
        <w:tblPrEx>
          <w:tblCellMar>
            <w:top w:w="0" w:type="dxa"/>
            <w:left w:w="10" w:type="dxa"/>
            <w:bottom w:w="0" w:type="dxa"/>
            <w:right w:w="10" w:type="dxa"/>
          </w:tblCellMar>
        </w:tblPrEx>
        <w:trPr>
          <w:trHeight w:val="550" w:hRule="atLeast"/>
        </w:trPr>
        <w:tc>
          <w:tcPr>
            <w:tcW w:w="4690" w:type="dxa"/>
            <w:gridSpan w:val="2"/>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45735F24">
            <w:pPr>
              <w:jc w:val="center"/>
              <w:rPr>
                <w:rFonts w:ascii="宋体" w:hAnsi="宋体" w:eastAsia="宋体" w:cs="宋体"/>
                <w:sz w:val="28"/>
              </w:rPr>
            </w:pPr>
          </w:p>
        </w:tc>
        <w:tc>
          <w:tcPr>
            <w:tcW w:w="240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615D505">
            <w:pPr>
              <w:jc w:val="center"/>
              <w:rPr>
                <w:rFonts w:ascii="宋体" w:hAnsi="宋体" w:eastAsia="宋体" w:cs="宋体"/>
                <w:sz w:val="24"/>
                <w:szCs w:val="24"/>
              </w:rPr>
            </w:pPr>
            <w:r>
              <w:rPr>
                <w:rFonts w:hint="eastAsia" w:ascii="宋体" w:hAnsi="宋体" w:eastAsia="宋体" w:cs="宋体"/>
                <w:sz w:val="24"/>
                <w:szCs w:val="24"/>
              </w:rPr>
              <w:t>磷化工分公司</w:t>
            </w:r>
          </w:p>
        </w:tc>
        <w:tc>
          <w:tcPr>
            <w:tcW w:w="2453" w:type="dxa"/>
            <w:tcBorders>
              <w:left w:val="single" w:color="000000" w:sz="4" w:space="0"/>
              <w:bottom w:val="single" w:color="000000" w:sz="4" w:space="0"/>
              <w:right w:val="single" w:color="000000" w:sz="4" w:space="0"/>
            </w:tcBorders>
            <w:shd w:val="clear" w:color="auto" w:fill="FFFFFF"/>
            <w:vAlign w:val="center"/>
          </w:tcPr>
          <w:p w14:paraId="3E9A2511">
            <w:pPr>
              <w:jc w:val="center"/>
              <w:rPr>
                <w:rFonts w:ascii="宋体" w:hAnsi="宋体" w:eastAsia="宋体" w:cs="宋体"/>
                <w:sz w:val="24"/>
                <w:szCs w:val="24"/>
              </w:rPr>
            </w:pPr>
            <w:r>
              <w:rPr>
                <w:rFonts w:hint="eastAsia" w:ascii="宋体" w:hAnsi="宋体" w:eastAsia="宋体" w:cs="宋体"/>
                <w:sz w:val="24"/>
                <w:szCs w:val="24"/>
              </w:rPr>
              <w:t>有色分公司</w:t>
            </w:r>
          </w:p>
        </w:tc>
      </w:tr>
      <w:tr w14:paraId="2CA8A7D2">
        <w:tblPrEx>
          <w:tblCellMar>
            <w:top w:w="0" w:type="dxa"/>
            <w:left w:w="10" w:type="dxa"/>
            <w:bottom w:w="0" w:type="dxa"/>
            <w:right w:w="10" w:type="dxa"/>
          </w:tblCellMar>
        </w:tblPrEx>
        <w:trPr>
          <w:trHeight w:val="680" w:hRule="atLeast"/>
        </w:trPr>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CC04E9">
            <w:pPr>
              <w:jc w:val="center"/>
              <w:rPr>
                <w:rFonts w:ascii="仿宋" w:hAnsi="仿宋" w:eastAsia="仿宋" w:cs="仿宋"/>
                <w:color w:val="000000"/>
                <w:spacing w:val="-3"/>
                <w:kern w:val="0"/>
                <w:sz w:val="24"/>
                <w:szCs w:val="24"/>
              </w:rPr>
            </w:pPr>
            <w:r>
              <w:rPr>
                <w:rFonts w:ascii="仿宋" w:hAnsi="仿宋" w:eastAsia="仿宋" w:cs="仿宋"/>
                <w:color w:val="000000"/>
                <w:spacing w:val="-3"/>
                <w:kern w:val="0"/>
                <w:sz w:val="24"/>
                <w:szCs w:val="24"/>
              </w:rPr>
              <w:t>丰水期</w:t>
            </w:r>
            <w:r>
              <w:rPr>
                <w:rFonts w:hint="eastAsia" w:ascii="仿宋" w:hAnsi="仿宋" w:eastAsia="仿宋" w:cs="仿宋"/>
                <w:color w:val="000000"/>
                <w:spacing w:val="-3"/>
                <w:kern w:val="0"/>
                <w:sz w:val="24"/>
                <w:szCs w:val="24"/>
              </w:rPr>
              <w:t>（6月-10月）</w:t>
            </w:r>
          </w:p>
        </w:tc>
        <w:tc>
          <w:tcPr>
            <w:tcW w:w="240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4E526F4">
            <w:pPr>
              <w:jc w:val="center"/>
              <w:rPr>
                <w:rFonts w:ascii="宋体" w:hAnsi="宋体" w:eastAsia="宋体" w:cs="宋体"/>
                <w:sz w:val="22"/>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41CFB">
            <w:pPr>
              <w:jc w:val="center"/>
              <w:rPr>
                <w:rFonts w:ascii="宋体" w:hAnsi="宋体" w:eastAsia="宋体" w:cs="宋体"/>
                <w:sz w:val="22"/>
              </w:rPr>
            </w:pPr>
          </w:p>
        </w:tc>
      </w:tr>
      <w:tr w14:paraId="4C10BD96">
        <w:tblPrEx>
          <w:tblCellMar>
            <w:top w:w="0" w:type="dxa"/>
            <w:left w:w="10" w:type="dxa"/>
            <w:bottom w:w="0" w:type="dxa"/>
            <w:right w:w="10" w:type="dxa"/>
          </w:tblCellMar>
        </w:tblPrEx>
        <w:trPr>
          <w:trHeight w:val="680" w:hRule="atLeast"/>
        </w:trPr>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DDB27B1">
            <w:pPr>
              <w:jc w:val="center"/>
              <w:rPr>
                <w:rFonts w:ascii="仿宋" w:hAnsi="仿宋" w:eastAsia="仿宋" w:cs="仿宋"/>
                <w:color w:val="000000"/>
                <w:spacing w:val="-3"/>
                <w:kern w:val="0"/>
                <w:sz w:val="24"/>
                <w:szCs w:val="24"/>
              </w:rPr>
            </w:pPr>
            <w:r>
              <w:rPr>
                <w:rFonts w:ascii="仿宋" w:hAnsi="仿宋" w:eastAsia="仿宋" w:cs="仿宋"/>
                <w:color w:val="000000"/>
                <w:spacing w:val="-3"/>
                <w:kern w:val="0"/>
                <w:sz w:val="24"/>
                <w:szCs w:val="24"/>
              </w:rPr>
              <w:t>平水期</w:t>
            </w:r>
            <w:r>
              <w:rPr>
                <w:rFonts w:hint="eastAsia" w:ascii="仿宋" w:hAnsi="仿宋" w:eastAsia="仿宋" w:cs="仿宋"/>
                <w:color w:val="000000"/>
                <w:spacing w:val="-3"/>
                <w:kern w:val="0"/>
                <w:sz w:val="24"/>
                <w:szCs w:val="24"/>
              </w:rPr>
              <w:t>（5月11月）</w:t>
            </w:r>
          </w:p>
        </w:tc>
        <w:tc>
          <w:tcPr>
            <w:tcW w:w="240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B8EA837">
            <w:pPr>
              <w:jc w:val="center"/>
              <w:rPr>
                <w:rFonts w:ascii="宋体" w:hAnsi="宋体" w:eastAsia="宋体" w:cs="宋体"/>
                <w:sz w:val="22"/>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803A5">
            <w:pPr>
              <w:jc w:val="center"/>
              <w:rPr>
                <w:rFonts w:ascii="宋体" w:hAnsi="宋体" w:eastAsia="宋体" w:cs="宋体"/>
                <w:sz w:val="22"/>
              </w:rPr>
            </w:pPr>
          </w:p>
        </w:tc>
      </w:tr>
      <w:tr w14:paraId="7C43226E">
        <w:tblPrEx>
          <w:tblCellMar>
            <w:top w:w="0" w:type="dxa"/>
            <w:left w:w="10" w:type="dxa"/>
            <w:bottom w:w="0" w:type="dxa"/>
            <w:right w:w="10" w:type="dxa"/>
          </w:tblCellMar>
        </w:tblPrEx>
        <w:trPr>
          <w:trHeight w:val="680" w:hRule="atLeast"/>
        </w:trPr>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24482F">
            <w:pPr>
              <w:jc w:val="center"/>
              <w:rPr>
                <w:rFonts w:ascii="仿宋" w:hAnsi="仿宋" w:eastAsia="仿宋" w:cs="仿宋"/>
                <w:color w:val="000000"/>
                <w:spacing w:val="-3"/>
                <w:kern w:val="0"/>
                <w:sz w:val="24"/>
                <w:szCs w:val="24"/>
              </w:rPr>
            </w:pPr>
            <w:r>
              <w:rPr>
                <w:rFonts w:ascii="仿宋" w:hAnsi="仿宋" w:eastAsia="仿宋" w:cs="仿宋"/>
                <w:color w:val="000000"/>
                <w:spacing w:val="-3"/>
                <w:kern w:val="0"/>
                <w:sz w:val="24"/>
                <w:szCs w:val="24"/>
              </w:rPr>
              <w:t>枯水期</w:t>
            </w:r>
            <w:r>
              <w:rPr>
                <w:rFonts w:hint="eastAsia" w:ascii="仿宋" w:hAnsi="仿宋" w:eastAsia="仿宋" w:cs="仿宋"/>
                <w:color w:val="000000"/>
                <w:spacing w:val="-3"/>
                <w:kern w:val="0"/>
                <w:sz w:val="24"/>
                <w:szCs w:val="24"/>
              </w:rPr>
              <w:t>（1月-4月+12月）</w:t>
            </w:r>
          </w:p>
        </w:tc>
        <w:tc>
          <w:tcPr>
            <w:tcW w:w="240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71F1FE00">
            <w:pPr>
              <w:jc w:val="center"/>
              <w:rPr>
                <w:rFonts w:ascii="宋体" w:hAnsi="宋体" w:eastAsia="宋体" w:cs="宋体"/>
                <w:sz w:val="22"/>
              </w:rPr>
            </w:pPr>
          </w:p>
        </w:tc>
        <w:tc>
          <w:tcPr>
            <w:tcW w:w="24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A386A">
            <w:pPr>
              <w:jc w:val="center"/>
              <w:rPr>
                <w:rFonts w:ascii="宋体" w:hAnsi="宋体" w:eastAsia="宋体" w:cs="宋体"/>
                <w:sz w:val="22"/>
              </w:rPr>
            </w:pPr>
          </w:p>
        </w:tc>
      </w:tr>
      <w:tr w14:paraId="13E9A5B7">
        <w:tblPrEx>
          <w:tblCellMar>
            <w:top w:w="0" w:type="dxa"/>
            <w:left w:w="10" w:type="dxa"/>
            <w:bottom w:w="0" w:type="dxa"/>
            <w:right w:w="10" w:type="dxa"/>
          </w:tblCellMar>
        </w:tblPrEx>
        <w:trPr>
          <w:trHeight w:val="680" w:hRule="atLeast"/>
        </w:trPr>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18FDFA">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联动价格比例</w:t>
            </w:r>
            <w:r>
              <w:rPr>
                <w:rFonts w:ascii="仿宋" w:hAnsi="仿宋" w:eastAsia="仿宋" w:cs="仿宋"/>
                <w:color w:val="000000"/>
                <w:spacing w:val="-3"/>
                <w:kern w:val="0"/>
                <w:sz w:val="24"/>
                <w:szCs w:val="24"/>
              </w:rPr>
              <w:t>（%）</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44EA9E">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5</w:t>
            </w:r>
          </w:p>
        </w:tc>
      </w:tr>
      <w:tr w14:paraId="0FF1B210">
        <w:tblPrEx>
          <w:tblCellMar>
            <w:top w:w="0" w:type="dxa"/>
            <w:left w:w="10" w:type="dxa"/>
            <w:bottom w:w="0" w:type="dxa"/>
            <w:right w:w="10" w:type="dxa"/>
          </w:tblCellMar>
        </w:tblPrEx>
        <w:trPr>
          <w:trHeight w:val="680" w:hRule="atLeast"/>
        </w:trPr>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96A566">
            <w:pPr>
              <w:jc w:val="center"/>
              <w:rPr>
                <w:rFonts w:hint="eastAsia"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售电公司批零收益分享基准</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2EDD6F">
            <w:pPr>
              <w:jc w:val="center"/>
              <w:rPr>
                <w:rFonts w:hint="eastAsia"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0.005</w:t>
            </w:r>
          </w:p>
        </w:tc>
      </w:tr>
      <w:tr w14:paraId="099A1EEE">
        <w:tblPrEx>
          <w:tblCellMar>
            <w:top w:w="0" w:type="dxa"/>
            <w:left w:w="10" w:type="dxa"/>
            <w:bottom w:w="0" w:type="dxa"/>
            <w:right w:w="10" w:type="dxa"/>
          </w:tblCellMar>
        </w:tblPrEx>
        <w:trPr>
          <w:trHeight w:val="680" w:hRule="atLeast"/>
        </w:trPr>
        <w:tc>
          <w:tcPr>
            <w:tcW w:w="469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8B8539">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售电公司批零收益分享比例</w:t>
            </w:r>
            <w:r>
              <w:rPr>
                <w:rFonts w:ascii="仿宋" w:hAnsi="仿宋" w:eastAsia="仿宋" w:cs="仿宋"/>
                <w:color w:val="000000"/>
                <w:spacing w:val="-3"/>
                <w:kern w:val="0"/>
                <w:sz w:val="24"/>
                <w:szCs w:val="24"/>
              </w:rPr>
              <w:t>（%）</w:t>
            </w:r>
          </w:p>
        </w:tc>
        <w:tc>
          <w:tcPr>
            <w:tcW w:w="4861"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1494B8">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lang w:val="en-US" w:eastAsia="zh-CN"/>
              </w:rPr>
              <w:t>8</w:t>
            </w:r>
            <w:r>
              <w:rPr>
                <w:rFonts w:ascii="仿宋" w:hAnsi="仿宋" w:eastAsia="仿宋" w:cs="仿宋"/>
                <w:color w:val="000000"/>
                <w:spacing w:val="-3"/>
                <w:kern w:val="0"/>
                <w:sz w:val="24"/>
                <w:szCs w:val="24"/>
              </w:rPr>
              <w:t>0</w:t>
            </w:r>
          </w:p>
        </w:tc>
      </w:tr>
      <w:tr w14:paraId="199915FD">
        <w:tblPrEx>
          <w:tblCellMar>
            <w:top w:w="0" w:type="dxa"/>
            <w:left w:w="10" w:type="dxa"/>
            <w:bottom w:w="0" w:type="dxa"/>
            <w:right w:w="10" w:type="dxa"/>
          </w:tblCellMar>
        </w:tblPrEx>
        <w:trPr>
          <w:trHeight w:val="680"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C36F130">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联系人</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A6F6">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 xml:space="preserve">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141E">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联系电话</w:t>
            </w:r>
          </w:p>
        </w:tc>
        <w:tc>
          <w:tcPr>
            <w:tcW w:w="2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4BB">
            <w:pPr>
              <w:jc w:val="center"/>
              <w:rPr>
                <w:rFonts w:ascii="仿宋" w:hAnsi="仿宋" w:eastAsia="仿宋" w:cs="仿宋"/>
                <w:color w:val="000000"/>
                <w:spacing w:val="-3"/>
                <w:kern w:val="0"/>
                <w:sz w:val="24"/>
                <w:szCs w:val="24"/>
              </w:rPr>
            </w:pPr>
          </w:p>
        </w:tc>
      </w:tr>
      <w:tr w14:paraId="56B7EC9F">
        <w:tblPrEx>
          <w:tblCellMar>
            <w:top w:w="0" w:type="dxa"/>
            <w:left w:w="10" w:type="dxa"/>
            <w:bottom w:w="0" w:type="dxa"/>
            <w:right w:w="10" w:type="dxa"/>
          </w:tblCellMar>
        </w:tblPrEx>
        <w:trPr>
          <w:trHeight w:val="680"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79CE69">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联系人邮箱</w:t>
            </w:r>
          </w:p>
        </w:tc>
        <w:tc>
          <w:tcPr>
            <w:tcW w:w="7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F17FD">
            <w:pPr>
              <w:jc w:val="center"/>
              <w:rPr>
                <w:rFonts w:ascii="仿宋" w:hAnsi="仿宋" w:eastAsia="仿宋" w:cs="仿宋"/>
                <w:color w:val="000000"/>
                <w:spacing w:val="-3"/>
                <w:kern w:val="0"/>
                <w:sz w:val="24"/>
                <w:szCs w:val="24"/>
              </w:rPr>
            </w:pPr>
          </w:p>
        </w:tc>
      </w:tr>
      <w:tr w14:paraId="02000663">
        <w:tblPrEx>
          <w:tblCellMar>
            <w:top w:w="0" w:type="dxa"/>
            <w:left w:w="10" w:type="dxa"/>
            <w:bottom w:w="0" w:type="dxa"/>
            <w:right w:w="10" w:type="dxa"/>
          </w:tblCellMar>
        </w:tblPrEx>
        <w:trPr>
          <w:trHeight w:val="680"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EF9898">
            <w:pPr>
              <w:jc w:val="center"/>
              <w:rPr>
                <w:rFonts w:hint="eastAsia"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备注</w:t>
            </w:r>
          </w:p>
        </w:tc>
        <w:tc>
          <w:tcPr>
            <w:tcW w:w="73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DEB7E">
            <w:pPr>
              <w:jc w:val="center"/>
              <w:rPr>
                <w:rFonts w:ascii="仿宋" w:hAnsi="仿宋" w:eastAsia="仿宋" w:cs="仿宋"/>
                <w:color w:val="000000"/>
                <w:spacing w:val="-3"/>
                <w:kern w:val="0"/>
                <w:sz w:val="24"/>
                <w:szCs w:val="24"/>
              </w:rPr>
            </w:pPr>
          </w:p>
        </w:tc>
      </w:tr>
    </w:tbl>
    <w:p w14:paraId="5F75F928">
      <w:pPr>
        <w:spacing w:line="520" w:lineRule="auto"/>
        <w:jc w:val="left"/>
        <w:rPr>
          <w:rFonts w:ascii="仿宋" w:hAnsi="仿宋" w:eastAsia="仿宋" w:cs="仿宋"/>
          <w:sz w:val="28"/>
        </w:rPr>
      </w:pPr>
    </w:p>
    <w:p w14:paraId="137B6487">
      <w:pPr>
        <w:rPr>
          <w:rFonts w:hint="eastAsia" w:ascii="宋体" w:hAnsi="宋体" w:eastAsia="宋体" w:cs="宋体"/>
          <w:b/>
          <w:sz w:val="30"/>
          <w:u w:val="single"/>
        </w:rPr>
      </w:pPr>
      <w:r>
        <w:rPr>
          <w:rFonts w:ascii="宋体" w:hAnsi="宋体" w:eastAsia="宋体" w:cs="宋体"/>
          <w:b/>
          <w:sz w:val="30"/>
          <w:u w:val="single"/>
        </w:rPr>
        <w:br w:type="page"/>
      </w:r>
    </w:p>
    <w:p w14:paraId="425C20E9">
      <w:pPr>
        <w:spacing w:line="520" w:lineRule="auto"/>
        <w:jc w:val="left"/>
        <w:rPr>
          <w:rFonts w:hint="eastAsia" w:ascii="宋体" w:hAnsi="宋体" w:eastAsia="宋体" w:cs="宋体"/>
          <w:b/>
          <w:sz w:val="30"/>
          <w:u w:val="single"/>
        </w:rPr>
      </w:pPr>
    </w:p>
    <w:p w14:paraId="11B1AD46">
      <w:pPr>
        <w:spacing w:line="520" w:lineRule="auto"/>
        <w:jc w:val="center"/>
        <w:rPr>
          <w:rFonts w:ascii="宋体" w:hAnsi="宋体" w:eastAsia="宋体" w:cs="宋体"/>
          <w:b/>
          <w:sz w:val="36"/>
          <w:u w:val="single"/>
        </w:rPr>
      </w:pPr>
      <w:r>
        <w:rPr>
          <w:rFonts w:hint="eastAsia" w:ascii="宋体" w:hAnsi="宋体" w:eastAsia="宋体" w:cs="宋体"/>
          <w:b/>
          <w:sz w:val="36"/>
          <w:u w:val="single"/>
        </w:rPr>
        <w:t>宏达股份</w:t>
      </w:r>
      <w:r>
        <w:rPr>
          <w:rFonts w:ascii="宋体" w:hAnsi="宋体" w:eastAsia="宋体" w:cs="宋体"/>
          <w:b/>
          <w:sz w:val="36"/>
          <w:u w:val="single"/>
        </w:rPr>
        <w:t>202</w:t>
      </w:r>
      <w:r>
        <w:rPr>
          <w:rFonts w:hint="eastAsia" w:ascii="宋体" w:hAnsi="宋体" w:eastAsia="宋体" w:cs="宋体"/>
          <w:b/>
          <w:sz w:val="36"/>
          <w:u w:val="single"/>
        </w:rPr>
        <w:t>6</w:t>
      </w:r>
      <w:r>
        <w:rPr>
          <w:rFonts w:ascii="宋体" w:hAnsi="宋体" w:eastAsia="宋体" w:cs="宋体"/>
          <w:b/>
          <w:sz w:val="36"/>
          <w:u w:val="single"/>
        </w:rPr>
        <w:t>年直购电报价表</w:t>
      </w:r>
    </w:p>
    <w:p w14:paraId="685102DC">
      <w:pPr>
        <w:spacing w:line="520" w:lineRule="auto"/>
        <w:ind w:right="663"/>
        <w:jc w:val="right"/>
        <w:rPr>
          <w:rFonts w:ascii="宋体" w:hAnsi="宋体" w:eastAsia="宋体" w:cs="宋体"/>
          <w:b/>
          <w:sz w:val="22"/>
          <w:szCs w:val="16"/>
        </w:rPr>
      </w:pPr>
      <w:r>
        <w:rPr>
          <w:rFonts w:hint="eastAsia" w:ascii="宋体" w:hAnsi="宋体" w:eastAsia="宋体" w:cs="宋体"/>
          <w:b/>
          <w:sz w:val="22"/>
          <w:szCs w:val="16"/>
        </w:rPr>
        <w:t>电价单位：元/千瓦时</w:t>
      </w:r>
    </w:p>
    <w:tbl>
      <w:tblPr>
        <w:tblStyle w:val="17"/>
        <w:tblW w:w="0" w:type="auto"/>
        <w:tblInd w:w="91" w:type="dxa"/>
        <w:tblLayout w:type="autofit"/>
        <w:tblCellMar>
          <w:top w:w="0" w:type="dxa"/>
          <w:left w:w="10" w:type="dxa"/>
          <w:bottom w:w="0" w:type="dxa"/>
          <w:right w:w="10" w:type="dxa"/>
        </w:tblCellMar>
      </w:tblPr>
      <w:tblGrid>
        <w:gridCol w:w="2172"/>
        <w:gridCol w:w="2381"/>
        <w:gridCol w:w="2558"/>
        <w:gridCol w:w="2412"/>
      </w:tblGrid>
      <w:tr w14:paraId="03B23A13">
        <w:tblPrEx>
          <w:tblCellMar>
            <w:top w:w="0" w:type="dxa"/>
            <w:left w:w="10" w:type="dxa"/>
            <w:bottom w:w="0" w:type="dxa"/>
            <w:right w:w="10" w:type="dxa"/>
          </w:tblCellMar>
        </w:tblPrEx>
        <w:trPr>
          <w:trHeight w:val="683"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6E7A71D">
            <w:pPr>
              <w:jc w:val="left"/>
              <w:rPr>
                <w:rFonts w:ascii="宋体" w:hAnsi="宋体" w:eastAsia="宋体" w:cs="宋体"/>
              </w:rPr>
            </w:pPr>
            <w:r>
              <w:rPr>
                <w:rFonts w:ascii="宋体" w:hAnsi="宋体" w:eastAsia="宋体" w:cs="宋体"/>
                <w:b/>
                <w:sz w:val="24"/>
                <w:szCs w:val="24"/>
              </w:rPr>
              <w:t>投标单位：</w:t>
            </w:r>
          </w:p>
        </w:tc>
        <w:tc>
          <w:tcPr>
            <w:tcW w:w="7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02BA50">
            <w:pPr>
              <w:jc w:val="left"/>
              <w:rPr>
                <w:rFonts w:ascii="宋体" w:hAnsi="宋体" w:eastAsia="宋体" w:cs="宋体"/>
              </w:rPr>
            </w:pPr>
          </w:p>
        </w:tc>
      </w:tr>
      <w:tr w14:paraId="09C5A580">
        <w:tblPrEx>
          <w:tblCellMar>
            <w:top w:w="0" w:type="dxa"/>
            <w:left w:w="10" w:type="dxa"/>
            <w:bottom w:w="0" w:type="dxa"/>
            <w:right w:w="10" w:type="dxa"/>
          </w:tblCellMar>
        </w:tblPrEx>
        <w:trPr>
          <w:trHeight w:val="501" w:hRule="atLeast"/>
        </w:trPr>
        <w:tc>
          <w:tcPr>
            <w:tcW w:w="4553" w:type="dxa"/>
            <w:gridSpan w:val="2"/>
            <w:vMerge w:val="restart"/>
            <w:tcBorders>
              <w:top w:val="single" w:color="000000" w:sz="4" w:space="0"/>
              <w:left w:val="single" w:color="000000" w:sz="4" w:space="0"/>
              <w:right w:val="single" w:color="000000" w:sz="4" w:space="0"/>
            </w:tcBorders>
            <w:shd w:val="clear" w:color="auto" w:fill="auto"/>
            <w:tcMar>
              <w:left w:w="108" w:type="dxa"/>
              <w:right w:w="108" w:type="dxa"/>
            </w:tcMar>
            <w:vAlign w:val="center"/>
          </w:tcPr>
          <w:p w14:paraId="676AA86B">
            <w:pPr>
              <w:jc w:val="center"/>
              <w:rPr>
                <w:rFonts w:ascii="宋体" w:hAnsi="宋体" w:eastAsia="宋体" w:cs="宋体"/>
                <w:sz w:val="24"/>
                <w:szCs w:val="24"/>
              </w:rPr>
            </w:pPr>
            <w:r>
              <w:rPr>
                <w:rFonts w:ascii="宋体" w:hAnsi="宋体" w:eastAsia="宋体" w:cs="宋体"/>
                <w:sz w:val="24"/>
                <w:szCs w:val="24"/>
              </w:rPr>
              <w:t>项</w:t>
            </w:r>
            <w:r>
              <w:rPr>
                <w:rFonts w:hint="eastAsia" w:ascii="宋体" w:hAnsi="宋体" w:eastAsia="宋体" w:cs="宋体"/>
                <w:sz w:val="24"/>
                <w:szCs w:val="24"/>
              </w:rPr>
              <w:t xml:space="preserve"> </w:t>
            </w:r>
            <w:r>
              <w:rPr>
                <w:rFonts w:ascii="宋体" w:hAnsi="宋体" w:eastAsia="宋体" w:cs="宋体"/>
                <w:sz w:val="24"/>
                <w:szCs w:val="24"/>
              </w:rPr>
              <w:t>目</w:t>
            </w:r>
          </w:p>
        </w:tc>
        <w:tc>
          <w:tcPr>
            <w:tcW w:w="4970" w:type="dxa"/>
            <w:gridSpan w:val="2"/>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01CBFD6B">
            <w:pPr>
              <w:jc w:val="center"/>
              <w:rPr>
                <w:rFonts w:ascii="宋体" w:hAnsi="宋体" w:eastAsia="宋体" w:cs="宋体"/>
                <w:b/>
                <w:bCs/>
                <w:sz w:val="24"/>
                <w:szCs w:val="24"/>
              </w:rPr>
            </w:pPr>
            <w:r>
              <w:rPr>
                <w:rFonts w:hint="eastAsia" w:ascii="宋体" w:hAnsi="宋体" w:eastAsia="宋体" w:cs="宋体"/>
                <w:b/>
                <w:sz w:val="24"/>
                <w:szCs w:val="24"/>
              </w:rPr>
              <w:t>二标段</w:t>
            </w:r>
          </w:p>
        </w:tc>
      </w:tr>
      <w:tr w14:paraId="0DBFE558">
        <w:tblPrEx>
          <w:tblCellMar>
            <w:top w:w="0" w:type="dxa"/>
            <w:left w:w="10" w:type="dxa"/>
            <w:bottom w:w="0" w:type="dxa"/>
            <w:right w:w="10" w:type="dxa"/>
          </w:tblCellMar>
        </w:tblPrEx>
        <w:trPr>
          <w:trHeight w:val="550" w:hRule="atLeast"/>
        </w:trPr>
        <w:tc>
          <w:tcPr>
            <w:tcW w:w="4553" w:type="dxa"/>
            <w:gridSpan w:val="2"/>
            <w:vMerge w:val="continue"/>
            <w:tcBorders>
              <w:left w:val="single" w:color="000000" w:sz="4" w:space="0"/>
              <w:bottom w:val="single" w:color="000000" w:sz="4" w:space="0"/>
              <w:right w:val="single" w:color="000000" w:sz="4" w:space="0"/>
            </w:tcBorders>
            <w:shd w:val="clear" w:color="auto" w:fill="auto"/>
            <w:tcMar>
              <w:left w:w="108" w:type="dxa"/>
              <w:right w:w="108" w:type="dxa"/>
            </w:tcMar>
            <w:vAlign w:val="center"/>
          </w:tcPr>
          <w:p w14:paraId="7E6AD8BE">
            <w:pPr>
              <w:jc w:val="center"/>
              <w:rPr>
                <w:rFonts w:ascii="宋体" w:hAnsi="宋体" w:eastAsia="宋体" w:cs="宋体"/>
                <w:sz w:val="24"/>
                <w:szCs w:val="24"/>
              </w:rPr>
            </w:pPr>
          </w:p>
        </w:tc>
        <w:tc>
          <w:tcPr>
            <w:tcW w:w="25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6409FF87">
            <w:pPr>
              <w:jc w:val="center"/>
              <w:rPr>
                <w:rFonts w:ascii="宋体" w:hAnsi="宋体" w:eastAsia="宋体" w:cs="宋体"/>
                <w:sz w:val="24"/>
                <w:szCs w:val="24"/>
              </w:rPr>
            </w:pPr>
            <w:r>
              <w:rPr>
                <w:rFonts w:hint="eastAsia" w:ascii="宋体" w:hAnsi="宋体" w:eastAsia="宋体" w:cs="宋体"/>
                <w:sz w:val="24"/>
                <w:szCs w:val="24"/>
              </w:rPr>
              <w:t>川润化工</w:t>
            </w:r>
          </w:p>
        </w:tc>
        <w:tc>
          <w:tcPr>
            <w:tcW w:w="2412" w:type="dxa"/>
            <w:tcBorders>
              <w:left w:val="single" w:color="000000" w:sz="4" w:space="0"/>
              <w:bottom w:val="single" w:color="000000" w:sz="4" w:space="0"/>
              <w:right w:val="single" w:color="000000" w:sz="4" w:space="0"/>
            </w:tcBorders>
            <w:shd w:val="clear" w:color="auto" w:fill="FFFFFF"/>
            <w:vAlign w:val="center"/>
          </w:tcPr>
          <w:p w14:paraId="6E9CBB07">
            <w:pPr>
              <w:jc w:val="center"/>
              <w:rPr>
                <w:rFonts w:ascii="宋体" w:hAnsi="宋体" w:eastAsia="宋体" w:cs="宋体"/>
                <w:sz w:val="24"/>
                <w:szCs w:val="24"/>
              </w:rPr>
            </w:pPr>
            <w:r>
              <w:rPr>
                <w:rFonts w:hint="eastAsia" w:ascii="宋体" w:hAnsi="宋体" w:eastAsia="宋体" w:cs="宋体"/>
                <w:sz w:val="24"/>
                <w:szCs w:val="24"/>
              </w:rPr>
              <w:t>金桥酒店</w:t>
            </w:r>
          </w:p>
        </w:tc>
      </w:tr>
      <w:tr w14:paraId="205A23CE">
        <w:tblPrEx>
          <w:tblCellMar>
            <w:top w:w="0" w:type="dxa"/>
            <w:left w:w="10" w:type="dxa"/>
            <w:bottom w:w="0" w:type="dxa"/>
            <w:right w:w="10" w:type="dxa"/>
          </w:tblCellMar>
        </w:tblPrEx>
        <w:trPr>
          <w:trHeight w:val="680" w:hRule="atLeas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B08B88">
            <w:pPr>
              <w:jc w:val="center"/>
              <w:rPr>
                <w:rFonts w:ascii="仿宋" w:hAnsi="仿宋" w:eastAsia="仿宋" w:cs="仿宋"/>
                <w:color w:val="000000"/>
                <w:spacing w:val="-3"/>
                <w:kern w:val="0"/>
                <w:sz w:val="24"/>
                <w:szCs w:val="24"/>
              </w:rPr>
            </w:pPr>
            <w:r>
              <w:rPr>
                <w:rFonts w:ascii="仿宋" w:hAnsi="仿宋" w:eastAsia="仿宋" w:cs="仿宋"/>
                <w:color w:val="000000"/>
                <w:spacing w:val="-3"/>
                <w:kern w:val="0"/>
                <w:sz w:val="24"/>
                <w:szCs w:val="24"/>
              </w:rPr>
              <w:t>丰水期</w:t>
            </w:r>
            <w:r>
              <w:rPr>
                <w:rFonts w:hint="eastAsia" w:ascii="仿宋" w:hAnsi="仿宋" w:eastAsia="仿宋" w:cs="仿宋"/>
                <w:color w:val="000000"/>
                <w:spacing w:val="-3"/>
                <w:kern w:val="0"/>
                <w:sz w:val="24"/>
                <w:szCs w:val="24"/>
              </w:rPr>
              <w:t>（6-10月）</w:t>
            </w:r>
          </w:p>
        </w:tc>
        <w:tc>
          <w:tcPr>
            <w:tcW w:w="25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2FE5B1B4">
            <w:pPr>
              <w:jc w:val="center"/>
              <w:rPr>
                <w:rFonts w:ascii="宋体" w:hAnsi="宋体" w:eastAsia="宋体" w:cs="宋体"/>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F234E">
            <w:pPr>
              <w:jc w:val="center"/>
              <w:rPr>
                <w:rFonts w:ascii="宋体" w:hAnsi="宋体" w:eastAsia="宋体" w:cs="宋体"/>
                <w:sz w:val="24"/>
                <w:szCs w:val="24"/>
              </w:rPr>
            </w:pPr>
          </w:p>
        </w:tc>
      </w:tr>
      <w:tr w14:paraId="75C6E456">
        <w:tblPrEx>
          <w:tblCellMar>
            <w:top w:w="0" w:type="dxa"/>
            <w:left w:w="10" w:type="dxa"/>
            <w:bottom w:w="0" w:type="dxa"/>
            <w:right w:w="10" w:type="dxa"/>
          </w:tblCellMar>
        </w:tblPrEx>
        <w:trPr>
          <w:trHeight w:val="680" w:hRule="atLeas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490CD12">
            <w:pPr>
              <w:jc w:val="center"/>
              <w:rPr>
                <w:rFonts w:ascii="仿宋" w:hAnsi="仿宋" w:eastAsia="仿宋" w:cs="仿宋"/>
                <w:color w:val="000000"/>
                <w:spacing w:val="-3"/>
                <w:kern w:val="0"/>
                <w:sz w:val="24"/>
                <w:szCs w:val="24"/>
              </w:rPr>
            </w:pPr>
            <w:r>
              <w:rPr>
                <w:rFonts w:ascii="仿宋" w:hAnsi="仿宋" w:eastAsia="仿宋" w:cs="仿宋"/>
                <w:color w:val="000000"/>
                <w:spacing w:val="-3"/>
                <w:kern w:val="0"/>
                <w:sz w:val="24"/>
                <w:szCs w:val="24"/>
              </w:rPr>
              <w:t>平水期</w:t>
            </w:r>
            <w:r>
              <w:rPr>
                <w:rFonts w:hint="eastAsia" w:ascii="仿宋" w:hAnsi="仿宋" w:eastAsia="仿宋" w:cs="仿宋"/>
                <w:color w:val="000000"/>
                <w:spacing w:val="-3"/>
                <w:kern w:val="0"/>
                <w:sz w:val="24"/>
                <w:szCs w:val="24"/>
              </w:rPr>
              <w:t>（5月+11月）</w:t>
            </w:r>
          </w:p>
        </w:tc>
        <w:tc>
          <w:tcPr>
            <w:tcW w:w="25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4217D9FF">
            <w:pPr>
              <w:jc w:val="center"/>
              <w:rPr>
                <w:rFonts w:ascii="宋体" w:hAnsi="宋体" w:eastAsia="宋体" w:cs="宋体"/>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D6CB">
            <w:pPr>
              <w:jc w:val="center"/>
              <w:rPr>
                <w:rFonts w:ascii="宋体" w:hAnsi="宋体" w:eastAsia="宋体" w:cs="宋体"/>
                <w:sz w:val="24"/>
                <w:szCs w:val="24"/>
              </w:rPr>
            </w:pPr>
          </w:p>
        </w:tc>
      </w:tr>
      <w:tr w14:paraId="27E9C317">
        <w:tblPrEx>
          <w:tblCellMar>
            <w:top w:w="0" w:type="dxa"/>
            <w:left w:w="10" w:type="dxa"/>
            <w:bottom w:w="0" w:type="dxa"/>
            <w:right w:w="10" w:type="dxa"/>
          </w:tblCellMar>
        </w:tblPrEx>
        <w:trPr>
          <w:trHeight w:val="680" w:hRule="atLeas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6F39F51">
            <w:pPr>
              <w:jc w:val="center"/>
              <w:rPr>
                <w:rFonts w:ascii="仿宋" w:hAnsi="仿宋" w:eastAsia="仿宋" w:cs="仿宋"/>
                <w:color w:val="000000"/>
                <w:spacing w:val="-3"/>
                <w:kern w:val="0"/>
                <w:sz w:val="24"/>
                <w:szCs w:val="24"/>
              </w:rPr>
            </w:pPr>
            <w:r>
              <w:rPr>
                <w:rFonts w:ascii="仿宋" w:hAnsi="仿宋" w:eastAsia="仿宋" w:cs="仿宋"/>
                <w:color w:val="000000"/>
                <w:spacing w:val="-3"/>
                <w:kern w:val="0"/>
                <w:sz w:val="24"/>
                <w:szCs w:val="24"/>
              </w:rPr>
              <w:t>枯水期</w:t>
            </w:r>
            <w:r>
              <w:rPr>
                <w:rFonts w:hint="eastAsia" w:ascii="仿宋" w:hAnsi="仿宋" w:eastAsia="仿宋" w:cs="仿宋"/>
                <w:color w:val="000000"/>
                <w:spacing w:val="-3"/>
                <w:kern w:val="0"/>
                <w:sz w:val="24"/>
                <w:szCs w:val="24"/>
              </w:rPr>
              <w:t>（1-4月+12月）</w:t>
            </w:r>
          </w:p>
        </w:tc>
        <w:tc>
          <w:tcPr>
            <w:tcW w:w="2558"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14:paraId="3B33B8D9">
            <w:pPr>
              <w:jc w:val="center"/>
              <w:rPr>
                <w:rFonts w:ascii="宋体" w:hAnsi="宋体" w:eastAsia="宋体" w:cs="宋体"/>
                <w:sz w:val="24"/>
                <w:szCs w:val="24"/>
              </w:rPr>
            </w:pPr>
          </w:p>
        </w:tc>
        <w:tc>
          <w:tcPr>
            <w:tcW w:w="24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72F2E">
            <w:pPr>
              <w:jc w:val="center"/>
              <w:rPr>
                <w:rFonts w:ascii="宋体" w:hAnsi="宋体" w:eastAsia="宋体" w:cs="宋体"/>
                <w:sz w:val="24"/>
                <w:szCs w:val="24"/>
              </w:rPr>
            </w:pPr>
          </w:p>
        </w:tc>
      </w:tr>
      <w:tr w14:paraId="7A65BF97">
        <w:tblPrEx>
          <w:tblCellMar>
            <w:top w:w="0" w:type="dxa"/>
            <w:left w:w="10" w:type="dxa"/>
            <w:bottom w:w="0" w:type="dxa"/>
            <w:right w:w="10" w:type="dxa"/>
          </w:tblCellMar>
        </w:tblPrEx>
        <w:trPr>
          <w:trHeight w:val="680" w:hRule="atLeas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EE18DB">
            <w:pPr>
              <w:jc w:val="center"/>
              <w:rPr>
                <w:rFonts w:ascii="宋体" w:hAnsi="宋体" w:eastAsia="宋体" w:cs="宋体"/>
                <w:sz w:val="24"/>
                <w:szCs w:val="24"/>
              </w:rPr>
            </w:pPr>
            <w:r>
              <w:rPr>
                <w:rFonts w:hint="eastAsia" w:ascii="仿宋" w:hAnsi="仿宋" w:eastAsia="仿宋" w:cs="仿宋"/>
                <w:color w:val="000000"/>
                <w:spacing w:val="-3"/>
                <w:kern w:val="0"/>
                <w:sz w:val="24"/>
                <w:szCs w:val="24"/>
              </w:rPr>
              <w:t>联动价格比例</w:t>
            </w:r>
            <w:r>
              <w:rPr>
                <w:rFonts w:ascii="宋体" w:hAnsi="宋体" w:eastAsia="宋体" w:cs="宋体"/>
                <w:sz w:val="24"/>
                <w:szCs w:val="24"/>
              </w:rPr>
              <w:t>（%）</w:t>
            </w:r>
          </w:p>
        </w:tc>
        <w:tc>
          <w:tcPr>
            <w:tcW w:w="49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0230439">
            <w:pPr>
              <w:jc w:val="center"/>
              <w:rPr>
                <w:rFonts w:ascii="宋体" w:hAnsi="宋体" w:eastAsia="宋体" w:cs="宋体"/>
                <w:sz w:val="24"/>
                <w:szCs w:val="24"/>
              </w:rPr>
            </w:pPr>
            <w:r>
              <w:rPr>
                <w:rFonts w:hint="eastAsia" w:ascii="宋体" w:hAnsi="宋体" w:eastAsia="宋体" w:cs="宋体"/>
                <w:sz w:val="24"/>
                <w:szCs w:val="24"/>
              </w:rPr>
              <w:t>0.005</w:t>
            </w:r>
          </w:p>
        </w:tc>
      </w:tr>
      <w:tr w14:paraId="4E28B102">
        <w:tblPrEx>
          <w:tblCellMar>
            <w:top w:w="0" w:type="dxa"/>
            <w:left w:w="10" w:type="dxa"/>
            <w:bottom w:w="0" w:type="dxa"/>
            <w:right w:w="10" w:type="dxa"/>
          </w:tblCellMar>
        </w:tblPrEx>
        <w:trPr>
          <w:trHeight w:val="680" w:hRule="atLeas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C740F99">
            <w:pPr>
              <w:jc w:val="center"/>
              <w:rPr>
                <w:rFonts w:ascii="宋体" w:hAnsi="宋体" w:eastAsia="宋体" w:cs="宋体"/>
                <w:sz w:val="24"/>
                <w:szCs w:val="24"/>
              </w:rPr>
            </w:pPr>
            <w:r>
              <w:rPr>
                <w:rFonts w:hint="eastAsia" w:ascii="仿宋" w:hAnsi="仿宋" w:eastAsia="仿宋" w:cs="仿宋"/>
                <w:color w:val="000000"/>
                <w:spacing w:val="-3"/>
                <w:kern w:val="0"/>
                <w:sz w:val="24"/>
                <w:szCs w:val="24"/>
              </w:rPr>
              <w:t>售电公司批零收益分享基准</w:t>
            </w:r>
          </w:p>
        </w:tc>
        <w:tc>
          <w:tcPr>
            <w:tcW w:w="49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7A62B0">
            <w:pPr>
              <w:jc w:val="center"/>
              <w:rPr>
                <w:rFonts w:ascii="宋体" w:hAnsi="宋体" w:eastAsia="宋体" w:cs="宋体"/>
                <w:sz w:val="24"/>
                <w:szCs w:val="24"/>
              </w:rPr>
            </w:pPr>
            <w:r>
              <w:rPr>
                <w:rFonts w:hint="eastAsia" w:ascii="宋体" w:hAnsi="宋体" w:eastAsia="宋体" w:cs="宋体"/>
                <w:sz w:val="24"/>
                <w:szCs w:val="24"/>
              </w:rPr>
              <w:t>0.005</w:t>
            </w:r>
          </w:p>
        </w:tc>
      </w:tr>
      <w:tr w14:paraId="6B835B39">
        <w:tblPrEx>
          <w:tblCellMar>
            <w:top w:w="0" w:type="dxa"/>
            <w:left w:w="10" w:type="dxa"/>
            <w:bottom w:w="0" w:type="dxa"/>
            <w:right w:w="10" w:type="dxa"/>
          </w:tblCellMar>
        </w:tblPrEx>
        <w:trPr>
          <w:trHeight w:val="680" w:hRule="atLeast"/>
        </w:trPr>
        <w:tc>
          <w:tcPr>
            <w:tcW w:w="4553"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007FEC">
            <w:pPr>
              <w:jc w:val="center"/>
              <w:rPr>
                <w:rFonts w:hint="eastAsia"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售电公司批零收益分享比例</w:t>
            </w:r>
            <w:r>
              <w:rPr>
                <w:rFonts w:ascii="宋体" w:hAnsi="宋体" w:eastAsia="宋体" w:cs="宋体"/>
                <w:sz w:val="24"/>
                <w:szCs w:val="24"/>
              </w:rPr>
              <w:t>（%）</w:t>
            </w:r>
          </w:p>
        </w:tc>
        <w:tc>
          <w:tcPr>
            <w:tcW w:w="4970" w:type="dxa"/>
            <w:gridSpan w:val="2"/>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020204A">
            <w:pPr>
              <w:jc w:val="center"/>
              <w:rPr>
                <w:rFonts w:ascii="宋体" w:hAnsi="宋体" w:eastAsia="宋体" w:cs="宋体"/>
                <w:sz w:val="24"/>
                <w:szCs w:val="24"/>
              </w:rPr>
            </w:pPr>
            <w:r>
              <w:rPr>
                <w:rFonts w:hint="eastAsia" w:ascii="宋体" w:hAnsi="宋体" w:eastAsia="宋体" w:cs="宋体"/>
                <w:sz w:val="24"/>
                <w:szCs w:val="24"/>
                <w:lang w:val="en-US" w:eastAsia="zh-CN"/>
              </w:rPr>
              <w:t>8</w:t>
            </w:r>
            <w:r>
              <w:rPr>
                <w:rFonts w:ascii="宋体" w:hAnsi="宋体" w:eastAsia="宋体" w:cs="宋体"/>
                <w:sz w:val="24"/>
                <w:szCs w:val="24"/>
              </w:rPr>
              <w:t>0</w:t>
            </w:r>
          </w:p>
        </w:tc>
      </w:tr>
      <w:tr w14:paraId="7396E3A5">
        <w:tblPrEx>
          <w:tblCellMar>
            <w:top w:w="0" w:type="dxa"/>
            <w:left w:w="10" w:type="dxa"/>
            <w:bottom w:w="0" w:type="dxa"/>
            <w:right w:w="10" w:type="dxa"/>
          </w:tblCellMar>
        </w:tblPrEx>
        <w:trPr>
          <w:trHeight w:val="68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A1B86FA">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联系人</w:t>
            </w:r>
          </w:p>
        </w:tc>
        <w:tc>
          <w:tcPr>
            <w:tcW w:w="2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D1DA">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 xml:space="preserve">   </w:t>
            </w:r>
          </w:p>
        </w:tc>
        <w:tc>
          <w:tcPr>
            <w:tcW w:w="2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7868">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联系电话</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E9F2">
            <w:pPr>
              <w:jc w:val="center"/>
              <w:rPr>
                <w:rFonts w:ascii="仿宋" w:hAnsi="仿宋" w:eastAsia="仿宋" w:cs="仿宋"/>
                <w:color w:val="000000"/>
                <w:spacing w:val="-3"/>
                <w:kern w:val="0"/>
                <w:sz w:val="24"/>
                <w:szCs w:val="24"/>
              </w:rPr>
            </w:pPr>
          </w:p>
        </w:tc>
      </w:tr>
      <w:tr w14:paraId="19393A55">
        <w:tblPrEx>
          <w:tblCellMar>
            <w:top w:w="0" w:type="dxa"/>
            <w:left w:w="10" w:type="dxa"/>
            <w:bottom w:w="0" w:type="dxa"/>
            <w:right w:w="10" w:type="dxa"/>
          </w:tblCellMar>
        </w:tblPrEx>
        <w:trPr>
          <w:trHeight w:val="68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EA81F02">
            <w:pPr>
              <w:jc w:val="center"/>
              <w:rPr>
                <w:rFonts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联系人邮箱</w:t>
            </w:r>
          </w:p>
        </w:tc>
        <w:tc>
          <w:tcPr>
            <w:tcW w:w="7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A897D">
            <w:pPr>
              <w:jc w:val="center"/>
              <w:rPr>
                <w:rFonts w:ascii="仿宋" w:hAnsi="仿宋" w:eastAsia="仿宋" w:cs="仿宋"/>
                <w:color w:val="000000"/>
                <w:spacing w:val="-3"/>
                <w:kern w:val="0"/>
                <w:sz w:val="24"/>
                <w:szCs w:val="24"/>
              </w:rPr>
            </w:pPr>
          </w:p>
        </w:tc>
      </w:tr>
      <w:tr w14:paraId="0890887A">
        <w:tblPrEx>
          <w:tblCellMar>
            <w:top w:w="0" w:type="dxa"/>
            <w:left w:w="10" w:type="dxa"/>
            <w:bottom w:w="0" w:type="dxa"/>
            <w:right w:w="10" w:type="dxa"/>
          </w:tblCellMar>
        </w:tblPrEx>
        <w:trPr>
          <w:trHeight w:val="680" w:hRule="atLeast"/>
        </w:trPr>
        <w:tc>
          <w:tcPr>
            <w:tcW w:w="2172"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7F9204">
            <w:pPr>
              <w:jc w:val="center"/>
              <w:rPr>
                <w:rFonts w:hint="eastAsia" w:ascii="仿宋" w:hAnsi="仿宋" w:eastAsia="仿宋" w:cs="仿宋"/>
                <w:color w:val="000000"/>
                <w:spacing w:val="-3"/>
                <w:kern w:val="0"/>
                <w:sz w:val="24"/>
                <w:szCs w:val="24"/>
              </w:rPr>
            </w:pPr>
            <w:r>
              <w:rPr>
                <w:rFonts w:hint="eastAsia" w:ascii="仿宋" w:hAnsi="仿宋" w:eastAsia="仿宋" w:cs="仿宋"/>
                <w:color w:val="000000"/>
                <w:spacing w:val="-3"/>
                <w:kern w:val="0"/>
                <w:sz w:val="24"/>
                <w:szCs w:val="24"/>
              </w:rPr>
              <w:t>备注</w:t>
            </w:r>
          </w:p>
        </w:tc>
        <w:tc>
          <w:tcPr>
            <w:tcW w:w="73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173B4">
            <w:pPr>
              <w:jc w:val="center"/>
              <w:rPr>
                <w:rFonts w:ascii="仿宋" w:hAnsi="仿宋" w:eastAsia="仿宋" w:cs="仿宋"/>
                <w:color w:val="000000"/>
                <w:spacing w:val="-3"/>
                <w:kern w:val="0"/>
                <w:sz w:val="24"/>
                <w:szCs w:val="24"/>
              </w:rPr>
            </w:pPr>
          </w:p>
        </w:tc>
      </w:tr>
    </w:tbl>
    <w:p w14:paraId="2160DD72">
      <w:pPr>
        <w:keepNext w:val="0"/>
        <w:keepLines w:val="0"/>
        <w:pageBreakBefore w:val="0"/>
        <w:widowControl/>
        <w:numPr>
          <w:ilvl w:val="0"/>
          <w:numId w:val="0"/>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asciiTheme="minorEastAsia" w:hAnsiTheme="minorEastAsia" w:eastAsiaTheme="minorEastAsia" w:cstheme="minorBidi"/>
          <w:kern w:val="2"/>
          <w:sz w:val="24"/>
          <w:szCs w:val="24"/>
          <w:lang w:val="en-US" w:eastAsia="zh-CN" w:bidi="ar-SA"/>
        </w:rPr>
        <w:t>1、</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824183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2B87FE22">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19BC668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6A71AC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黑体" w:hAnsi="黑体" w:eastAsia="黑体" w:cs="宋体"/>
          <w:kern w:val="0"/>
          <w:sz w:val="28"/>
          <w:szCs w:val="28"/>
          <w:lang w:val="en-US" w:eastAsia="zh-CN"/>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4A79FC85">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（五）信用评价等级的证明</w:t>
      </w:r>
    </w:p>
    <w:p w14:paraId="412B7B5E">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1D0F0064">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18EA8E96">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314FCAC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43D62C9E">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16DD7EDF">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B94B5C5">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20FAE90F">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2FDF6C3A">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30D8D2A5">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7AD1597D">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117A3B07">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5CE39403">
      <w:pPr>
        <w:keepNext/>
        <w:keepLines/>
        <w:tabs>
          <w:tab w:val="left" w:pos="215"/>
          <w:tab w:val="center" w:pos="4535"/>
        </w:tabs>
        <w:autoSpaceDE w:val="0"/>
        <w:autoSpaceDN w:val="0"/>
        <w:adjustRightInd w:val="0"/>
        <w:spacing w:before="340" w:after="330"/>
        <w:jc w:val="center"/>
        <w:rPr>
          <w:rFonts w:hint="eastAsia" w:ascii="黑体" w:hAnsi="黑体" w:eastAsia="黑体" w:cs="宋体"/>
          <w:kern w:val="0"/>
          <w:sz w:val="28"/>
          <w:szCs w:val="28"/>
          <w:lang w:val="en-US" w:eastAsia="zh-CN"/>
        </w:rPr>
      </w:pPr>
    </w:p>
    <w:p w14:paraId="4593FDE2">
      <w:pPr>
        <w:keepNext/>
        <w:keepLines/>
        <w:tabs>
          <w:tab w:val="left" w:pos="215"/>
          <w:tab w:val="center" w:pos="4535"/>
        </w:tabs>
        <w:autoSpaceDE w:val="0"/>
        <w:autoSpaceDN w:val="0"/>
        <w:adjustRightInd w:val="0"/>
        <w:spacing w:before="340" w:after="330"/>
        <w:jc w:val="center"/>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（六）其他文件（格式自拟）</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7FF0CDEC">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178998BF">
      <w:pPr>
        <w:widowControl/>
        <w:kinsoku/>
        <w:overflowPunct/>
        <w:topLinePunct w:val="0"/>
        <w:bidi w:val="0"/>
        <w:spacing w:line="360" w:lineRule="auto"/>
        <w:ind w:right="0" w:rightChars="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p>
    <w:p w14:paraId="2316C6D9">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1"/>
      </w:rPr>
    </w:pPr>
    <w:r>
      <w:fldChar w:fldCharType="begin"/>
    </w:r>
    <w:r>
      <w:rPr>
        <w:rStyle w:val="21"/>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212517"/>
    <w:rsid w:val="043B2184"/>
    <w:rsid w:val="0475718F"/>
    <w:rsid w:val="0485137E"/>
    <w:rsid w:val="04C66C1A"/>
    <w:rsid w:val="04D1736D"/>
    <w:rsid w:val="05573D16"/>
    <w:rsid w:val="057443B4"/>
    <w:rsid w:val="05C017FD"/>
    <w:rsid w:val="0687687D"/>
    <w:rsid w:val="06F2489E"/>
    <w:rsid w:val="070268E6"/>
    <w:rsid w:val="076636BD"/>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B4B273B"/>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F6510A"/>
    <w:rsid w:val="24FA55ED"/>
    <w:rsid w:val="25CC5B88"/>
    <w:rsid w:val="26933E36"/>
    <w:rsid w:val="26BC19A6"/>
    <w:rsid w:val="279E3E6D"/>
    <w:rsid w:val="27A73E71"/>
    <w:rsid w:val="27B8643F"/>
    <w:rsid w:val="27D6160C"/>
    <w:rsid w:val="28564D7B"/>
    <w:rsid w:val="289607B9"/>
    <w:rsid w:val="28F11C08"/>
    <w:rsid w:val="290166AE"/>
    <w:rsid w:val="2A5A72A6"/>
    <w:rsid w:val="2A7A0382"/>
    <w:rsid w:val="2A9A281E"/>
    <w:rsid w:val="2AAB5DE7"/>
    <w:rsid w:val="2AC075D6"/>
    <w:rsid w:val="2B2D317A"/>
    <w:rsid w:val="2C0635BA"/>
    <w:rsid w:val="2C612895"/>
    <w:rsid w:val="2C672453"/>
    <w:rsid w:val="2EC03E0B"/>
    <w:rsid w:val="2EE64169"/>
    <w:rsid w:val="300E355A"/>
    <w:rsid w:val="30337F16"/>
    <w:rsid w:val="30464A25"/>
    <w:rsid w:val="3082583C"/>
    <w:rsid w:val="31A45B7D"/>
    <w:rsid w:val="31A5035D"/>
    <w:rsid w:val="323E55F6"/>
    <w:rsid w:val="33980AB1"/>
    <w:rsid w:val="344A7D4E"/>
    <w:rsid w:val="347D19AD"/>
    <w:rsid w:val="34C3271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73623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7330CF"/>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1391</Words>
  <Characters>1605</Characters>
  <Lines>16</Lines>
  <Paragraphs>4</Paragraphs>
  <TotalTime>15</TotalTime>
  <ScaleCrop>false</ScaleCrop>
  <LinksUpToDate>false</LinksUpToDate>
  <CharactersWithSpaces>1607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2025-12-08T01:23:07Z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74C37D07B0854818B3AE08D2C91E0919_13</vt:lpwstr>
  </property>
</Properties>
</file>