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299E14F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宏达股份磷化工分公司</w:t>
      </w:r>
    </w:p>
    <w:p w14:paraId="64D0A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增量和延续取用地表水办理取水许可证书的咨询服务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编号：SFLHG-GKBX-2025-FW127</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四川宏达股份有限公司什邡磷化工分公司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w:t>
      </w:r>
      <w:r>
        <w:rPr>
          <w:rFonts w:hint="eastAsia" w:cs="黑体" w:asciiTheme="minorEastAsia" w:hAnsiTheme="minorEastAsia" w:eastAsiaTheme="minorEastAsia"/>
          <w:b/>
          <w:bCs/>
          <w:color w:val="auto"/>
          <w:sz w:val="30"/>
          <w:szCs w:val="30"/>
          <w:highlight w:val="none"/>
          <w:lang w:val="en-US" w:eastAsia="zh-CN"/>
        </w:rPr>
        <w:t>日</w:t>
      </w:r>
    </w:p>
    <w:p w14:paraId="44B8DB51">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w:t>
      </w:r>
      <w:r>
        <w:rPr>
          <w:rFonts w:hint="eastAsia" w:ascii="黑体" w:hAnsi="黑体" w:eastAsia="黑体" w:cs="宋体"/>
          <w:b/>
          <w:color w:val="auto"/>
          <w:kern w:val="0"/>
          <w:sz w:val="32"/>
          <w:szCs w:val="32"/>
          <w:lang w:val="en-US" w:eastAsia="zh-CN"/>
        </w:rPr>
        <w:t>磷化工</w:t>
      </w:r>
      <w:r>
        <w:rPr>
          <w:rFonts w:hint="eastAsia" w:ascii="黑体" w:hAnsi="黑体" w:eastAsia="黑体" w:cs="宋体"/>
          <w:b/>
          <w:color w:val="auto"/>
          <w:kern w:val="0"/>
          <w:sz w:val="32"/>
          <w:szCs w:val="32"/>
        </w:rPr>
        <w:t>分公司</w:t>
      </w:r>
    </w:p>
    <w:p w14:paraId="3C2905FA">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增量和延续取用地表水办理取水许可证书的咨询服务</w:t>
      </w:r>
    </w:p>
    <w:p w14:paraId="73D0156D">
      <w:pPr>
        <w:jc w:val="center"/>
        <w:rPr>
          <w:rFonts w:hint="eastAsia" w:ascii="黑体" w:hAnsi="黑体" w:eastAsia="黑体" w:cs="宋体"/>
          <w:b/>
          <w:color w:val="auto"/>
          <w:kern w:val="0"/>
          <w:sz w:val="32"/>
          <w:szCs w:val="32"/>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宋体"/>
          <w:color w:val="auto"/>
          <w:kern w:val="0"/>
          <w:sz w:val="28"/>
          <w:szCs w:val="28"/>
        </w:rPr>
        <w:t>宏达股份</w:t>
      </w:r>
      <w:r>
        <w:rPr>
          <w:rFonts w:hint="eastAsia" w:ascii="黑体" w:hAnsi="黑体" w:eastAsia="黑体" w:cs="宋体"/>
          <w:color w:val="auto"/>
          <w:kern w:val="0"/>
          <w:sz w:val="28"/>
          <w:szCs w:val="28"/>
          <w:lang w:val="en-US" w:eastAsia="zh-CN"/>
        </w:rPr>
        <w:t>磷化工</w:t>
      </w:r>
      <w:r>
        <w:rPr>
          <w:rFonts w:hint="eastAsia" w:ascii="黑体" w:hAnsi="黑体" w:eastAsia="黑体" w:cs="宋体"/>
          <w:color w:val="auto"/>
          <w:kern w:val="0"/>
          <w:sz w:val="28"/>
          <w:szCs w:val="28"/>
        </w:rPr>
        <w:t>分公司增量和延续取用地表水办理取水许可证书的咨询服务进行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jc w:val="both"/>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72C05037">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w:t>
      </w:r>
    </w:p>
    <w:p w14:paraId="0A106167">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1.1、增量取用地表水办理取水许可证书的咨询服务（验收标准：取得取水许可证）：①、咨询单位编制水资源论证报告等增量取水所需的所有资料，提交水利主管部门进行审查，并根据审查意见进行完善，业主协助提供企业相关资料；②咨询单位完善水资源论证报告后并完成报批，获得水利主管部门出具的行政许可决定，之后由业主试运行（取水量由151万m3/年申请调整为≥280万m3/年,越大越好，具体以水利主管部门出具的批文为准）；③咨询单位根据业主单位的试运行，编制取水验收报告，并提交水利主管部门，完成现场核验取得现场核验报告；④咨询单位协助完成水利主管部门组织的取水验收报告审查，并根据审查意见进行完善。⑤咨询单位完善取水验收报告、后，进行报批，最终取得四川省水行政主管部门审批并发放取水许可证。</w:t>
      </w:r>
    </w:p>
    <w:p w14:paraId="10616962">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1.2、延续取用地下水办理取水许可证书的咨询服务（验收标准：取得取水许可证）。①咨询单位编制地下水延续取水评估报告、地下水取水许可申请书等延续取水所需的所有资料，提交地方水利主管部门进行审查，协助完成地方水利主管部门组织的延续取水评估报告审查，并根据审查意见进行完善，业主协助提供企业相关资料（取水量 为8万m³/年）；②咨询单位完善延续取水评估报告后，进行报批，最终取得什邡市水行政主管部门审批并发放取水许可证。</w:t>
      </w:r>
    </w:p>
    <w:p w14:paraId="566A44AD">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2.服务地点：四川省什邡市洛水镇。</w:t>
      </w:r>
    </w:p>
    <w:p w14:paraId="3189E225">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 xml:space="preserve">二、比选人：宏达股份磷化工分公司。 </w:t>
      </w:r>
    </w:p>
    <w:p w14:paraId="0C48047A">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三、具体内容及要求：</w:t>
      </w:r>
    </w:p>
    <w:p w14:paraId="63E84639">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1.资质要求：具有有效的营业执照。</w:t>
      </w:r>
    </w:p>
    <w:p w14:paraId="171409D2">
      <w:pPr>
        <w:numPr>
          <w:ilvl w:val="0"/>
          <w:numId w:val="0"/>
        </w:numPr>
        <w:spacing w:line="420" w:lineRule="exact"/>
        <w:ind w:left="0" w:leftChars="0" w:firstLine="0" w:firstLineChars="0"/>
        <w:rPr>
          <w:rFonts w:hint="default"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2.业绩要求：提供近3</w:t>
      </w:r>
      <w:bookmarkStart w:id="2" w:name="_GoBack"/>
      <w:bookmarkEnd w:id="2"/>
      <w:r>
        <w:rPr>
          <w:rFonts w:hint="eastAsia" w:ascii="黑体" w:hAnsi="黑体" w:eastAsia="黑体" w:cs="仿宋_GB2312"/>
          <w:color w:val="auto"/>
          <w:kern w:val="2"/>
          <w:sz w:val="28"/>
          <w:szCs w:val="28"/>
          <w:lang w:val="en-US" w:eastAsia="zh-CN" w:bidi="ar-SA"/>
        </w:rPr>
        <w:t>年内完成的</w:t>
      </w:r>
      <w:r>
        <w:rPr>
          <w:rFonts w:hint="default" w:ascii="黑体" w:hAnsi="黑体" w:eastAsia="黑体" w:cs="仿宋_GB2312"/>
          <w:color w:val="auto"/>
          <w:kern w:val="2"/>
          <w:sz w:val="28"/>
          <w:szCs w:val="28"/>
          <w:lang w:val="en-US" w:eastAsia="zh-CN" w:bidi="ar-SA"/>
        </w:rPr>
        <w:t> “取水许可证办理” 或 “水资源论证报告编制” 的合同复印件、项目验收证明或用户证明</w:t>
      </w:r>
      <w:r>
        <w:rPr>
          <w:rFonts w:hint="eastAsia" w:ascii="黑体" w:hAnsi="黑体" w:eastAsia="黑体" w:cs="仿宋_GB2312"/>
          <w:color w:val="auto"/>
          <w:kern w:val="2"/>
          <w:sz w:val="28"/>
          <w:szCs w:val="28"/>
          <w:lang w:val="en-US" w:eastAsia="zh-CN" w:bidi="ar-SA"/>
        </w:rPr>
        <w:t>。</w:t>
      </w:r>
    </w:p>
    <w:p w14:paraId="4BF66C18">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3.服务期限：2026.4.7前取得批文。</w:t>
      </w:r>
    </w:p>
    <w:p w14:paraId="21E751E1">
      <w:pPr>
        <w:numPr>
          <w:ilvl w:val="0"/>
          <w:numId w:val="0"/>
        </w:numPr>
        <w:spacing w:line="420" w:lineRule="exact"/>
        <w:ind w:left="0" w:leftChars="0" w:firstLine="0" w:firstLineChars="0"/>
        <w:rPr>
          <w:rFonts w:hint="default"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4.服务要求：咨询单位完善取水验收报告及延续取水评估报告后，进行报批，最终取得省水利主管部门颁发的取水许可证书及什邡市水行政主管部门审批并发放取水许可证。</w:t>
      </w:r>
    </w:p>
    <w:p w14:paraId="318C942C">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 xml:space="preserve">5.付款方式及发票： </w:t>
      </w:r>
    </w:p>
    <w:p w14:paraId="506037F6">
      <w:pPr>
        <w:numPr>
          <w:ilvl w:val="0"/>
          <w:numId w:val="0"/>
        </w:numPr>
        <w:spacing w:line="420" w:lineRule="exact"/>
        <w:ind w:left="0" w:leftChars="0" w:firstLine="0" w:firstLineChars="0"/>
        <w:rPr>
          <w:rFonts w:hint="default"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①付款方式：出具报告后一次性支付。</w:t>
      </w:r>
    </w:p>
    <w:p w14:paraId="3914BA72">
      <w:pPr>
        <w:numPr>
          <w:ilvl w:val="0"/>
          <w:numId w:val="0"/>
        </w:numPr>
        <w:spacing w:line="420" w:lineRule="exact"/>
        <w:ind w:left="0" w:leftChars="0" w:firstLine="0" w:firstLineChars="0"/>
        <w:rPr>
          <w:rFonts w:hint="eastAsia" w:ascii="黑体" w:hAnsi="黑体" w:eastAsia="黑体" w:cs="仿宋_GB2312"/>
          <w:color w:val="auto"/>
          <w:kern w:val="2"/>
          <w:sz w:val="28"/>
          <w:szCs w:val="28"/>
          <w:lang w:val="en-US" w:eastAsia="zh-CN" w:bidi="ar-SA"/>
        </w:rPr>
      </w:pPr>
      <w:r>
        <w:rPr>
          <w:rFonts w:hint="eastAsia" w:ascii="黑体" w:hAnsi="黑体" w:eastAsia="黑体" w:cs="仿宋_GB2312"/>
          <w:color w:val="auto"/>
          <w:kern w:val="2"/>
          <w:sz w:val="28"/>
          <w:szCs w:val="28"/>
          <w:lang w:val="en-US" w:eastAsia="zh-CN" w:bidi="ar-SA"/>
        </w:rPr>
        <w:t>②一票制，供应商开具全额增值税专用发票(税率  %)。</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4.比选文件的获取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12 月 10 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5.</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12 月 10 日 9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人按本询价文件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、合计金额、付款方式等（若询价约定的</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77B870EC">
      <w:pPr>
        <w:pStyle w:val="2"/>
      </w:pPr>
    </w:p>
    <w:p w14:paraId="45D7D3E6">
      <w:pPr>
        <w:spacing w:line="420" w:lineRule="exact"/>
        <w:rPr>
          <w:rFonts w:hint="default"/>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       联系方式：15509083970</w:t>
      </w:r>
    </w:p>
    <w:p w14:paraId="1B17BF49">
      <w:pPr>
        <w:spacing w:line="420" w:lineRule="exact"/>
        <w:rPr>
          <w:rFonts w:hint="default"/>
          <w:lang w:val="en-US" w:eastAsia="zh-CN"/>
        </w:rPr>
      </w:pPr>
      <w:r>
        <w:rPr>
          <w:rFonts w:hint="eastAsia" w:ascii="黑体" w:hAnsi="黑体" w:eastAsia="黑体" w:cs="宋体"/>
          <w:color w:val="auto"/>
          <w:kern w:val="0"/>
          <w:sz w:val="28"/>
          <w:szCs w:val="28"/>
          <w:lang w:val="en-US" w:eastAsia="zh-CN"/>
        </w:rPr>
        <w:t>技术咨询：潘先生     联系方式：13981042340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5EE89FF4">
      <w:pPr>
        <w:spacing w:line="420" w:lineRule="exact"/>
        <w:ind w:firstLine="5880" w:firstLineChars="2100"/>
        <w:rPr>
          <w:rFonts w:hint="eastAsia" w:ascii="宋体" w:hAnsi="宋体" w:cs="仿宋"/>
          <w:color w:val="auto"/>
          <w:szCs w:val="21"/>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12</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日</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一</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1700"/>
        <w:gridCol w:w="2977"/>
        <w:gridCol w:w="650"/>
        <w:gridCol w:w="483"/>
        <w:gridCol w:w="1972"/>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700"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77"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50"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972"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cs="宋体"/>
                <w:b/>
                <w:bCs/>
                <w:i w:val="0"/>
                <w:iCs w:val="0"/>
                <w:color w:val="auto"/>
                <w:kern w:val="0"/>
                <w:sz w:val="18"/>
                <w:szCs w:val="18"/>
                <w:highlight w:val="none"/>
                <w:u w:val="none"/>
                <w:lang w:val="en-US" w:eastAsia="zh-CN" w:bidi="ar"/>
              </w:rPr>
              <w:t>增量取用地表水办理取水许可证书的咨询服务</w:t>
            </w:r>
            <w:r>
              <w:rPr>
                <w:rFonts w:hint="eastAsia" w:ascii="宋体" w:hAnsi="宋体" w:cs="宋体"/>
                <w:b/>
                <w:bCs/>
                <w:i w:val="0"/>
                <w:iCs w:val="0"/>
                <w:color w:val="auto"/>
                <w:kern w:val="0"/>
                <w:sz w:val="18"/>
                <w:szCs w:val="18"/>
                <w:highlight w:val="none"/>
                <w:u w:val="none"/>
                <w:lang w:val="en-US" w:eastAsia="zh-CN" w:bidi="ar"/>
              </w:rPr>
              <w:t>（验收标准：取得取水许可证）</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①、咨询单位编制水资源论证报告等增量取水所需的所有资料，提交水利主管部门进行审查，并根据审查意见进行完善，业主协助提供企业相关资料；②咨询单位完善水资源论证报告后并完成报批，获得水利主管部门出具的行政许可决定，之后由业主试运行（取水量由151万m3/年申请调整为≥280万m3/年,越大越好，具体以水利主管部门出具的批文为准）；③咨询单位根据业主单位的试运行，编制取水验收报告，并提交水利主管部门，完成现场核验取得现场核验报告；④咨询单位协助完成水利主管部门组织的取水验收报告审查，并根据审查意见进行完善。⑤咨询单位完善取水验收报告、后，进行报批，最终取得四川省水行政主管部门审批并发放取水许可证。</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lang w:eastAsia="zh-CN"/>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r w14:paraId="6E0528CA">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FDC6E74">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A7136">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cs="宋体"/>
                <w:b/>
                <w:bCs/>
                <w:i w:val="0"/>
                <w:iCs w:val="0"/>
                <w:color w:val="auto"/>
                <w:kern w:val="0"/>
                <w:sz w:val="18"/>
                <w:szCs w:val="18"/>
                <w:highlight w:val="none"/>
                <w:u w:val="none"/>
                <w:lang w:val="en-US" w:eastAsia="zh-CN" w:bidi="ar"/>
              </w:rPr>
              <w:t>延续取用地下水办理取水许可证书的咨询服务（验收标准：取得取水许可证）</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0F149">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①咨询单位编制地下水延续取水评估报告、地下水取水许可申请书等延续取水所需的所有资料，提交地方水利主管部门进行审查，协助完成地方水利主管部门组织的延续取水评估报告审查，并根据审查意见进行完善，业主协助提供企业相关资料（取水量 为8万m³/年）；②咨询单位完善延续取水评估报告后，进行报批，最终取得什邡市水行政主管部门审批并发放取水许可证。</w:t>
            </w:r>
          </w:p>
          <w:p w14:paraId="2C8A1195">
            <w:pPr>
              <w:jc w:val="center"/>
              <w:rPr>
                <w:rFonts w:hint="default" w:ascii="宋体" w:hAnsi="宋体" w:eastAsia="宋体" w:cs="宋体"/>
                <w:i w:val="0"/>
                <w:color w:val="auto"/>
                <w:sz w:val="18"/>
                <w:szCs w:val="18"/>
                <w:highlight w:val="none"/>
                <w:u w:val="none"/>
                <w:lang w:val="en-US"/>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6DE44">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C7487">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6B0FF">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DE7B12B">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58A2D475">
      <w:pPr>
        <w:spacing w:line="360" w:lineRule="exact"/>
        <w:ind w:firstLine="2811" w:firstLineChars="1000"/>
        <w:rPr>
          <w:rFonts w:hint="eastAsia" w:ascii="黑体" w:hAnsi="黑体" w:eastAsia="黑体" w:cs="宋体"/>
          <w:b/>
          <w:color w:val="auto"/>
          <w:kern w:val="0"/>
          <w:sz w:val="28"/>
          <w:szCs w:val="28"/>
          <w:lang w:val="en-US" w:eastAsia="zh-CN"/>
        </w:rPr>
      </w:pPr>
    </w:p>
    <w:p w14:paraId="445E8863">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三、其他文件（方案）</w:t>
      </w:r>
    </w:p>
    <w:p w14:paraId="26F89609">
      <w:pPr>
        <w:spacing w:line="360" w:lineRule="exact"/>
        <w:rPr>
          <w:rFonts w:hint="eastAsia" w:ascii="黑体" w:hAnsi="黑体" w:eastAsia="黑体" w:cs="宋体"/>
          <w:b/>
          <w:color w:val="auto"/>
          <w:kern w:val="0"/>
          <w:sz w:val="28"/>
          <w:szCs w:val="28"/>
        </w:rPr>
      </w:pPr>
    </w:p>
    <w:p w14:paraId="6FDD1743">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5857D0"/>
    <w:rsid w:val="057443B4"/>
    <w:rsid w:val="05C017FD"/>
    <w:rsid w:val="061F0441"/>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030D22"/>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CA05B4B"/>
    <w:rsid w:val="1D64697C"/>
    <w:rsid w:val="1DD969AB"/>
    <w:rsid w:val="1ED14404"/>
    <w:rsid w:val="1EF74148"/>
    <w:rsid w:val="1FA15E62"/>
    <w:rsid w:val="1FDB7383"/>
    <w:rsid w:val="207C2252"/>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94A1318"/>
    <w:rsid w:val="2A5A72A6"/>
    <w:rsid w:val="2A7A0382"/>
    <w:rsid w:val="2AAB5DE7"/>
    <w:rsid w:val="2AC075D6"/>
    <w:rsid w:val="2B604E23"/>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6C3370"/>
    <w:rsid w:val="3BA23F27"/>
    <w:rsid w:val="3BB75F0B"/>
    <w:rsid w:val="3BF62074"/>
    <w:rsid w:val="3D2D4ECB"/>
    <w:rsid w:val="3D8E7046"/>
    <w:rsid w:val="3DB1150E"/>
    <w:rsid w:val="3DD85B51"/>
    <w:rsid w:val="3E197344"/>
    <w:rsid w:val="3E583D12"/>
    <w:rsid w:val="3F213F33"/>
    <w:rsid w:val="3FE536F1"/>
    <w:rsid w:val="40083152"/>
    <w:rsid w:val="40085CD0"/>
    <w:rsid w:val="4041301D"/>
    <w:rsid w:val="417B5D9F"/>
    <w:rsid w:val="42587944"/>
    <w:rsid w:val="42932E0A"/>
    <w:rsid w:val="43243278"/>
    <w:rsid w:val="435B56FC"/>
    <w:rsid w:val="43884ABF"/>
    <w:rsid w:val="43C024AB"/>
    <w:rsid w:val="44A00219"/>
    <w:rsid w:val="45367494"/>
    <w:rsid w:val="45877724"/>
    <w:rsid w:val="465C4B01"/>
    <w:rsid w:val="467A2DE5"/>
    <w:rsid w:val="470A03A4"/>
    <w:rsid w:val="47F46EAE"/>
    <w:rsid w:val="48724017"/>
    <w:rsid w:val="48750F6C"/>
    <w:rsid w:val="492B4B3C"/>
    <w:rsid w:val="4A185620"/>
    <w:rsid w:val="4A6F4C2B"/>
    <w:rsid w:val="4B964C95"/>
    <w:rsid w:val="4BA97CC9"/>
    <w:rsid w:val="4BDF7931"/>
    <w:rsid w:val="4C0249B3"/>
    <w:rsid w:val="4D477799"/>
    <w:rsid w:val="4DCF4AEB"/>
    <w:rsid w:val="4E0D1159"/>
    <w:rsid w:val="4E286FB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5C1D7C"/>
    <w:rsid w:val="54887ACF"/>
    <w:rsid w:val="548B2661"/>
    <w:rsid w:val="54AA722A"/>
    <w:rsid w:val="55BE4F5F"/>
    <w:rsid w:val="55E22755"/>
    <w:rsid w:val="56543200"/>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3AB23D8"/>
    <w:rsid w:val="64132ACB"/>
    <w:rsid w:val="64E511A9"/>
    <w:rsid w:val="661512EF"/>
    <w:rsid w:val="66A77D57"/>
    <w:rsid w:val="66C75014"/>
    <w:rsid w:val="67073DC9"/>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9C445B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2272</Words>
  <Characters>2412</Characters>
  <Lines>16</Lines>
  <Paragraphs>4</Paragraphs>
  <TotalTime>100</TotalTime>
  <ScaleCrop>false</ScaleCrop>
  <LinksUpToDate>false</LinksUpToDate>
  <CharactersWithSpaces>3062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2025-12-04T03:14:08Z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