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宏达股份川润公司水质在线自动监测系统运维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编号：CR-GKBX-2025-FW05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宏达股份川润公司水质在线自动监测系统运维服务公开比选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宏达股份川润公司水质在线自动监测系统运维服务进行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6A21000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①进行设备的维护；</w:t>
      </w:r>
    </w:p>
    <w:p w14:paraId="605FD78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②巡检，每个月巡检四次，检查设备取样装置、废液排水是否正常，检查试剂容器是否需要清洁、是否需要或者添加试剂，检查控制装置是否运行正常，检查分析装置及管道是否有漏液、腐蚀、温度是否正常稳定、试剂和水样是否添加正常，检查监测数据是否发送正常，测试标液、校正曲线，水样测试。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二、比选人：四川宏达股份有限公司什邡磷化工分公司  </w:t>
      </w:r>
    </w:p>
    <w:p w14:paraId="0C4804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7F2DE17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1.资质要求：需提供有效的营业执照。</w:t>
      </w:r>
    </w:p>
    <w:p w14:paraId="4BF66C1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服务期限：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合同签订后一年。</w:t>
      </w:r>
    </w:p>
    <w:p w14:paraId="14860B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3.服务要求：</w:t>
      </w:r>
    </w:p>
    <w:p w14:paraId="7C86B9C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①在运营期限内，保证水质在线自动检测系统的正常运行和使用，符合国家行业标准；</w:t>
      </w:r>
    </w:p>
    <w:p w14:paraId="1F5202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②须保持24小时畅通有效的报修受理电话，在接到甲方设备报修电话后的2小时作出响应，通过电话与现场操作人员进行沟通排故，当确定需到现场维护后，应在48小时内及时到达现场进行处理；现场处理问题时限：一般故障要求到达现场后24小时内解决完成，较难处理故障在一周内解决完成，并说明原因；如因甲方没有提供需要更换的备品备件，设备维修时间相应顺廷；</w:t>
      </w:r>
    </w:p>
    <w:p w14:paraId="0071C5D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③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指定专人负责运行维护服务相关工作，并作好相应记录；乙方在巡检过程中发现故障或隐患的，应及时向甲方报告并进行维护，确保检测系统处于正常运行状态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；</w:t>
      </w:r>
    </w:p>
    <w:p w14:paraId="54ACB4E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④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、乙方负责对甲方水质在线自动监测系统设备管理人员免费进</w:t>
      </w:r>
    </w:p>
    <w:p w14:paraId="44E630A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行技术培训；</w:t>
      </w:r>
    </w:p>
    <w:p w14:paraId="318C942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4.付款方式及发票： 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①一票制，供应商开具全额增值税专用发票(税率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2025年 12 月 12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递交截止时间：2025年12 月 12日 9 时 00 分。</w:t>
      </w:r>
    </w:p>
    <w:p w14:paraId="5B16F60F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9.交送报价文件前，比选申请人可自愿前来我公司进行实地考查、技术交流或咨询。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联系人：李女士                         技术老师：尹先生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联系方式：15509083970                      联系方式：13981014789</w:t>
      </w:r>
      <w:bookmarkStart w:id="2" w:name="_GoBack"/>
      <w:bookmarkEnd w:id="2"/>
    </w:p>
    <w:p w14:paraId="446C7FA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0BEE090F">
      <w:pPr>
        <w:bidi w:val="0"/>
        <w:ind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8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水质在线自动监测系统运维服务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、进行设备的维护；2、巡检，每个月巡检四次，检查设备取样装置、废液排水是否正常，检查试剂容器是否需要清洁、是否需要或者添加试剂，检查控制装置是否运行正常，检查分析装置及管道是否有漏液、腐蚀、温度是否正常稳定、试剂和水样是否添加正常，检查监测数据是否发送正常，测试标液、校正曲线，水样测试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0340A2"/>
    <w:rsid w:val="0EC51CF1"/>
    <w:rsid w:val="0ED92A26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4457</Words>
  <Characters>4657</Characters>
  <Lines>16</Lines>
  <Paragraphs>4</Paragraphs>
  <TotalTime>51</TotalTime>
  <ScaleCrop>false</ScaleCrop>
  <LinksUpToDate>false</LinksUpToDate>
  <CharactersWithSpaces>4660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2025-12-04T02:38:41Z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