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普通化肥防结块剂油、普通化肥防结块剂粉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年度采购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11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月 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普通化肥防结块剂油、普通化肥防结块剂粉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年度采购比选文件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《普通化肥防结块剂油》、《普通化肥防结块剂粉》，本着“公开、公平、公正”的原则，现对《普通化肥防结块剂油》、《普通化肥防结块剂粉》进行公开比选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特别说明：本次采购项目为年度采购，投标单位需同时投标普通化肥防结块剂油、普通化肥防结块剂粉。</w:t>
      </w:r>
      <w:r>
        <w:rPr>
          <w:rFonts w:hint="eastAsia" w:ascii="微软雅黑" w:hAnsi="微软雅黑" w:eastAsia="微软雅黑" w:cs="宋体"/>
          <w:kern w:val="0"/>
          <w:szCs w:val="21"/>
        </w:rPr>
        <w:t>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A3FCC04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1.名称：普通化肥防结块剂油</w:t>
      </w:r>
    </w:p>
    <w:p w14:paraId="7C1AF94C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预计年度采购数量：500吨</w:t>
      </w:r>
    </w:p>
    <w:p w14:paraId="25336992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2.名称：普通化肥防结块剂粉</w:t>
      </w:r>
    </w:p>
    <w:p w14:paraId="3A519D75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预计年度采购数量：550吨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2446926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1、供应商要求：</w:t>
      </w:r>
    </w:p>
    <w:p w14:paraId="5B2356BF">
      <w:pPr>
        <w:numPr>
          <w:ilvl w:val="0"/>
          <w:numId w:val="2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供应商必须具备相应的生产资质，且在比选人（四川宏达股份有限公司）复合肥生产装置做过试验，满足比选人（四川宏达股份有限公司）生产工艺条件。</w:t>
      </w:r>
    </w:p>
    <w:p w14:paraId="12F308C0">
      <w:pPr>
        <w:numPr>
          <w:ilvl w:val="0"/>
          <w:numId w:val="2"/>
        </w:numPr>
        <w:spacing w:line="360" w:lineRule="exac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供应商承诺免费为比选人（四川宏达股份有限公司）提供存储普通化肥防结块剂油的集装罐及其附属设备，包括对集装罐及其附属设备的维护及更换。</w:t>
      </w:r>
    </w:p>
    <w:p w14:paraId="7F8DA3AB">
      <w:pPr>
        <w:spacing w:line="360" w:lineRule="exac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1A98B4C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普通化肥防结块剂油为槽车罐装运输（供应商单位自行提供），普通化肥防结块剂粉为编织袋标准包装，净重25kg/袋，包装物不回收。</w:t>
      </w:r>
    </w:p>
    <w:p w14:paraId="03F47E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33851C9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适用于高塔、氨酸工艺的硫钾型、氯钾型复合肥料防结剂，氯钾型复合肥料中含氯化铵，部分产品含硝态氮。</w:t>
      </w:r>
    </w:p>
    <w:p w14:paraId="4E8339D0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比选申请人产品符合以下标准:水分≤1.2%,颗粒强度≥20N，颗粒度(φ2-4mm)≥90%，包装温度≤50℃，产品堆码高度不超过30包。</w:t>
      </w:r>
    </w:p>
    <w:p w14:paraId="7DD8ADC0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防结块剂使用效果达到以下要求:正确添加防结块剂后的复合肥料存放时间在6个月内,松散度≥90%。</w:t>
      </w:r>
    </w:p>
    <w:p w14:paraId="49EAE6A6">
      <w:pPr>
        <w:widowControl/>
        <w:numPr>
          <w:ilvl w:val="0"/>
          <w:numId w:val="3"/>
        </w:numPr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松散度的测定:将每袋产品抬高1.0米，自由落体，正反两次，拆包测量松散肥料的重量占测包肥料总重量的百分比。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供应商单位提供普通化肥防结块剂油、普通化肥防结块剂粉样品。样品外观、白度、细度等经我司品管部进行取样检测留存，防结块效果在我司生产装置中先做实验验证。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5、供货时间、地点及方式：</w:t>
      </w:r>
    </w:p>
    <w:p w14:paraId="597B25F9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供货时间及数量：分批次运输，每批具体供货数量和交货日期，根据买方生产安排，买卖双方以“防结块剂供需确认单”为准。</w:t>
      </w:r>
    </w:p>
    <w:p w14:paraId="01391CD6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5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01B8C21D">
      <w:pPr>
        <w:widowControl/>
        <w:numPr>
          <w:ilvl w:val="0"/>
          <w:numId w:val="4"/>
        </w:numPr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结算方式：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按实际收货数量每月结算。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12月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8 时 30分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至 2025年12月15日 12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时0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分通过四川宏达股份有限公司集采中心招投标平台(以下简称“ 宏达股份集采平台”）（http://jc.sichuanhongda.com/）进行注册并登录后下载比选文件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递交截止时间：2025年12月15日 12时00分。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8AB56AC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6F9677B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</w:t>
      </w: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C5A20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238797630"/>
      <w:bookmarkStart w:id="3" w:name="_Toc303149804"/>
      <w:bookmarkStart w:id="4" w:name="_Toc275019836"/>
      <w:bookmarkStart w:id="5" w:name="_Toc238552273"/>
      <w:bookmarkStart w:id="6" w:name="_Toc16684"/>
      <w:bookmarkStart w:id="7" w:name="_Toc275019290"/>
      <w:bookmarkStart w:id="8" w:name="_Toc318986166"/>
      <w:bookmarkStart w:id="9" w:name="_Toc275019684"/>
      <w:bookmarkStart w:id="10" w:name="_Toc274236999"/>
      <w:bookmarkStart w:id="11" w:name="_Toc269113527"/>
      <w:bookmarkStart w:id="12" w:name="_Toc274596702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附件一：四川宏达股份有限公司防结剂购销合同（word文件）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普通化肥防结块剂油、普通化肥防结块剂粉年度采购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C1FB991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A0CEC6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21BC9C0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EBAB4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普通化肥防结块剂油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602ECD3D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普通化肥防结块剂油</w:t>
      </w:r>
    </w:p>
    <w:p w14:paraId="20B83AD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DC364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44FA7FF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槽车罐装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桶装     </w:t>
      </w:r>
    </w:p>
    <w:p w14:paraId="4535304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77EED4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以比选文件质量要求为准，外观为液态。</w:t>
      </w:r>
    </w:p>
    <w:p w14:paraId="183DE99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0AFB0F3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4A40CAC0">
      <w:pPr>
        <w:pStyle w:val="6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FF7A60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5468F40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59CDE3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D1A42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4904C55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FDDBF7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659B630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1CD32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F2404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FF50D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8F9C8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CBDB8D6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74BF8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32D43B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48B69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16478A7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F0B1559">
      <w:pPr>
        <w:spacing w:line="400" w:lineRule="exact"/>
        <w:rPr>
          <w:rFonts w:ascii="宋体" w:hAnsi="宋体" w:eastAsia="宋体" w:cs="Times New Roman"/>
          <w:sz w:val="24"/>
        </w:rPr>
      </w:pPr>
    </w:p>
    <w:p w14:paraId="3025870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6367AE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F12D84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</w:p>
    <w:p w14:paraId="1B6BAA35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1979F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普通化肥防结块剂粉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78C89B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普通化肥防结块剂粉</w:t>
      </w:r>
    </w:p>
    <w:p w14:paraId="6FBE52E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85B458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537217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</w:t>
      </w:r>
    </w:p>
    <w:p w14:paraId="525BF19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85927C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以比选文件质量要求为准。</w:t>
      </w:r>
    </w:p>
    <w:p w14:paraId="37D441E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585C2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56CDE099">
      <w:pPr>
        <w:pStyle w:val="6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6447EC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5B620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5DBAB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406A2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9CCF15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89F3A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0E3A0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9918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9B19AAE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6664E4B5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DB32A87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76D7F15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C70CDB0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4938A54">
      <w:pPr>
        <w:spacing w:line="400" w:lineRule="exact"/>
        <w:rPr>
          <w:rFonts w:ascii="宋体" w:hAnsi="宋体" w:eastAsia="宋体" w:cs="Times New Roman"/>
          <w:sz w:val="24"/>
        </w:rPr>
      </w:pPr>
    </w:p>
    <w:p w14:paraId="2A32D3FD">
      <w:pPr>
        <w:spacing w:line="400" w:lineRule="exact"/>
        <w:rPr>
          <w:rFonts w:ascii="宋体" w:hAnsi="宋体" w:eastAsia="宋体" w:cs="Times New Roman"/>
          <w:sz w:val="24"/>
        </w:rPr>
      </w:pPr>
    </w:p>
    <w:p w14:paraId="583E442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729F7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D16C93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、相关产品生产资质。</w:t>
      </w:r>
    </w:p>
    <w:p w14:paraId="5BE70987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需分别提供至少两个普通化肥防结块剂油、普通化肥防结块剂粉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鉴定报告（或第三方检测机构出具的普通化肥防结块剂油、普通化肥防结块剂粉检测报告）（报告需为近一个月内的检测数据）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/>
    <w:p w14:paraId="5675C6A4"/>
    <w:p w14:paraId="79C2213F"/>
    <w:p w14:paraId="50FE1078"/>
    <w:p w14:paraId="196020ED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BC15E9D"/>
    <w:multiLevelType w:val="singleLevel"/>
    <w:tmpl w:val="9BC15E9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2">
    <w:nsid w:val="C167A062"/>
    <w:multiLevelType w:val="singleLevel"/>
    <w:tmpl w:val="C167A0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DAE5983"/>
    <w:multiLevelType w:val="singleLevel"/>
    <w:tmpl w:val="2DAE5983"/>
    <w:lvl w:ilvl="0" w:tentative="0">
      <w:start w:val="7"/>
      <w:numFmt w:val="decimal"/>
      <w:suff w:val="nothing"/>
      <w:lvlText w:val="%1、"/>
      <w:lvlJc w:val="left"/>
      <w:rPr>
        <w:rFonts w:hint="default" w:ascii="微软雅黑" w:hAnsi="微软雅黑" w:eastAsia="微软雅黑" w:cs="微软雅黑"/>
      </w:rPr>
    </w:lvl>
  </w:abstractNum>
  <w:abstractNum w:abstractNumId="5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433E64"/>
    <w:rsid w:val="006209EC"/>
    <w:rsid w:val="008511B8"/>
    <w:rsid w:val="009E70C5"/>
    <w:rsid w:val="00B84BC3"/>
    <w:rsid w:val="00C528D4"/>
    <w:rsid w:val="00C711B4"/>
    <w:rsid w:val="00D8723B"/>
    <w:rsid w:val="00E564EB"/>
    <w:rsid w:val="0297204E"/>
    <w:rsid w:val="04934A97"/>
    <w:rsid w:val="059705B7"/>
    <w:rsid w:val="05B178CA"/>
    <w:rsid w:val="05D92791"/>
    <w:rsid w:val="05DD246D"/>
    <w:rsid w:val="064E5119"/>
    <w:rsid w:val="08B050D5"/>
    <w:rsid w:val="0B4D66D9"/>
    <w:rsid w:val="0B5807E8"/>
    <w:rsid w:val="0B8E5FB8"/>
    <w:rsid w:val="0E76345F"/>
    <w:rsid w:val="0FA14CC1"/>
    <w:rsid w:val="10C5422A"/>
    <w:rsid w:val="116C0B49"/>
    <w:rsid w:val="132316DC"/>
    <w:rsid w:val="137F4B64"/>
    <w:rsid w:val="151314EF"/>
    <w:rsid w:val="17516817"/>
    <w:rsid w:val="182C2DE0"/>
    <w:rsid w:val="192F2B88"/>
    <w:rsid w:val="193A0579"/>
    <w:rsid w:val="19E842D9"/>
    <w:rsid w:val="1A501008"/>
    <w:rsid w:val="1B6B1E72"/>
    <w:rsid w:val="1C024584"/>
    <w:rsid w:val="1D6F3BBF"/>
    <w:rsid w:val="1EF26B32"/>
    <w:rsid w:val="21D92536"/>
    <w:rsid w:val="24A120AD"/>
    <w:rsid w:val="25D725DE"/>
    <w:rsid w:val="25E1345C"/>
    <w:rsid w:val="262A4E03"/>
    <w:rsid w:val="26751DF6"/>
    <w:rsid w:val="27CE2397"/>
    <w:rsid w:val="2E052D2F"/>
    <w:rsid w:val="2EB931C8"/>
    <w:rsid w:val="2EDE2C2F"/>
    <w:rsid w:val="30E023CF"/>
    <w:rsid w:val="3A742699"/>
    <w:rsid w:val="3A9643BE"/>
    <w:rsid w:val="3D6C3AFB"/>
    <w:rsid w:val="3D9F4E7A"/>
    <w:rsid w:val="4554734F"/>
    <w:rsid w:val="45605CF4"/>
    <w:rsid w:val="467C4DAF"/>
    <w:rsid w:val="46B8390E"/>
    <w:rsid w:val="48FC21D7"/>
    <w:rsid w:val="4C575977"/>
    <w:rsid w:val="4DCA0C49"/>
    <w:rsid w:val="4EE01C53"/>
    <w:rsid w:val="523F3135"/>
    <w:rsid w:val="548117E3"/>
    <w:rsid w:val="55284354"/>
    <w:rsid w:val="58A238DA"/>
    <w:rsid w:val="59EF3692"/>
    <w:rsid w:val="59FB2037"/>
    <w:rsid w:val="5B2F1F99"/>
    <w:rsid w:val="5C0A47B4"/>
    <w:rsid w:val="5CF35248"/>
    <w:rsid w:val="5D50269A"/>
    <w:rsid w:val="5E4C2E61"/>
    <w:rsid w:val="5E677ACB"/>
    <w:rsid w:val="613D2F35"/>
    <w:rsid w:val="62BB05B6"/>
    <w:rsid w:val="63FC0E86"/>
    <w:rsid w:val="64524F4A"/>
    <w:rsid w:val="666135E9"/>
    <w:rsid w:val="66D954AE"/>
    <w:rsid w:val="69C441F4"/>
    <w:rsid w:val="6B686E01"/>
    <w:rsid w:val="6BC86054"/>
    <w:rsid w:val="6EB9645C"/>
    <w:rsid w:val="6ED84C48"/>
    <w:rsid w:val="74485A21"/>
    <w:rsid w:val="752D01A1"/>
    <w:rsid w:val="75A849CA"/>
    <w:rsid w:val="77073972"/>
    <w:rsid w:val="778B6351"/>
    <w:rsid w:val="78436C2C"/>
    <w:rsid w:val="7AFE2F70"/>
    <w:rsid w:val="7CE64029"/>
    <w:rsid w:val="7DCC76C3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2670</Words>
  <Characters>2847</Characters>
  <Lines>153</Lines>
  <Paragraphs>148</Paragraphs>
  <TotalTime>8</TotalTime>
  <ScaleCrop>false</ScaleCrop>
  <LinksUpToDate>false</LinksUpToDate>
  <CharactersWithSpaces>3366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2025-11-28T03:14:00Z</dcterms:created>
  <dc:creator>lijiewai</dc:creator>
  <cp:lastModifiedBy>䕿</cp:lastModifiedBy>
  <dcterms:modified xsi:type="dcterms:W3CDTF">2025-11-29T08:53:15Z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